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3B79E496"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PROTECCIÓN DE DATOS PERSONALES DEL ESTADO DE</w:t>
      </w:r>
      <w:r w:rsidR="00F662BC">
        <w:rPr>
          <w:rFonts w:ascii="Palatino Linotype" w:hAnsi="Palatino Linotype" w:cs="Tahoma"/>
          <w:b/>
        </w:rPr>
        <w:t xml:space="preserve"> </w:t>
      </w:r>
      <w:r w:rsidR="00876484">
        <w:rPr>
          <w:rFonts w:ascii="Palatino Linotype" w:hAnsi="Palatino Linotype" w:cs="Tahoma"/>
          <w:b/>
        </w:rPr>
        <w:t xml:space="preserve">MÉXICO Y MUNICIPIOS AL RECURSO DE REVISIÓN </w:t>
      </w:r>
      <w:r w:rsidR="00876484">
        <w:rPr>
          <w:rFonts w:ascii="Palatino Linotype" w:hAnsi="Palatino Linotype" w:cs="Arial"/>
          <w:b/>
          <w:bCs/>
        </w:rPr>
        <w:t>016690/INFOEM/IP/RR/2022</w:t>
      </w:r>
      <w:r w:rsidR="00876484">
        <w:rPr>
          <w:rFonts w:ascii="Palatino Linotype" w:hAnsi="Palatino Linotype" w:cs="Tahoma"/>
          <w:b/>
        </w:rPr>
        <w:t xml:space="preserve">, PROMOVIDO EN CONTRA DEL </w:t>
      </w:r>
      <w:r w:rsidR="00876484">
        <w:rPr>
          <w:rFonts w:ascii="Palatino Linotype" w:hAnsi="Palatino Linotype" w:cs="Arial"/>
          <w:b/>
        </w:rPr>
        <w:t>ORGANISMO PÚBLICO DESCENTRALIZADO DE AGUA POTABLE ALCANTARILLADO Y SANEAMIENTO DE CHIMALHUACÁN</w:t>
      </w:r>
      <w:r w:rsidR="00EF1ADA">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7B7A17BC"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76484">
        <w:rPr>
          <w:rFonts w:ascii="Palatino Linotype" w:hAnsi="Palatino Linotype" w:cs="Arial"/>
          <w:b/>
          <w:bCs/>
        </w:rPr>
        <w:t>016690/INFOEM/IP/RR/2022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76484">
        <w:rPr>
          <w:rFonts w:ascii="Palatino Linotype" w:hAnsi="Palatino Linotype" w:cs="Arial"/>
          <w:b/>
        </w:rPr>
        <w:t>Organismo Público Descentralizado de Agua Potable Alcantarillado y Saneamiento de Chimalhuacán</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0F7A91FB" w:rsidR="00BF358F" w:rsidRDefault="00EF3513" w:rsidP="00BF358F">
      <w:pPr>
        <w:spacing w:line="360" w:lineRule="auto"/>
        <w:jc w:val="both"/>
        <w:rPr>
          <w:rFonts w:ascii="Palatino Linotype" w:hAnsi="Palatino Linotype" w:cs="Arial"/>
        </w:rPr>
      </w:pPr>
      <w:r>
        <w:rPr>
          <w:rFonts w:ascii="Palatino Linotype" w:eastAsia="Calibri" w:hAnsi="Palatino Linotype"/>
          <w:bCs/>
        </w:rPr>
        <w:lastRenderedPageBreak/>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registradas con los números </w:t>
      </w:r>
      <w:r w:rsidR="00876484">
        <w:rPr>
          <w:rFonts w:ascii="Palatino Linotype" w:hAnsi="Palatino Linotype" w:cs="Arial"/>
          <w:b/>
        </w:rPr>
        <w:t>00089/OASCHIMAL/IP/2022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BF358F">
        <w:rPr>
          <w:rFonts w:ascii="Palatino Linotype" w:hAnsi="Palatino Linotype" w:cs="Arial"/>
        </w:rPr>
        <w:t>mediante las cuales solicitó la siguiente información:</w:t>
      </w:r>
    </w:p>
    <w:p w14:paraId="292A3755" w14:textId="77777777" w:rsidR="00876484" w:rsidRDefault="00876484" w:rsidP="00876484">
      <w:pPr>
        <w:tabs>
          <w:tab w:val="left" w:pos="5647"/>
        </w:tabs>
        <w:ind w:left="567" w:right="567"/>
        <w:jc w:val="both"/>
        <w:rPr>
          <w:rFonts w:ascii="Palatino Linotype" w:hAnsi="Palatino Linotype"/>
          <w:i/>
          <w:lang w:val="es-ES_tradnl"/>
        </w:rPr>
      </w:pPr>
    </w:p>
    <w:p w14:paraId="620199DA" w14:textId="110FA243"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 xml:space="preserve">“RESPECTO DE LA C </w:t>
      </w:r>
      <w:r w:rsidR="003D35B4">
        <w:rPr>
          <w:rFonts w:ascii="Palatino Linotype" w:hAnsi="Palatino Linotype"/>
          <w:i/>
          <w:lang w:val="es-ES_tradnl"/>
        </w:rPr>
        <w:t>….</w:t>
      </w:r>
      <w:r>
        <w:rPr>
          <w:rFonts w:ascii="Palatino Linotype" w:hAnsi="Palatino Linotype"/>
          <w:i/>
          <w:lang w:val="es-ES_tradnl"/>
        </w:rPr>
        <w:t xml:space="preserve"> QUIEN PRESTA SUS SERVICIOS COMO JEFA DE DEPARTAMENTO DE OPERACION Y MANTENIMIENTO DE AGUA POTABLE, SOLICITO:</w:t>
      </w:r>
    </w:p>
    <w:p w14:paraId="72782AE4"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 HORARIO DE LABORES. ANTIGUEDAD LABORAL Y COPIA SIMPLE DIGITAL DE LOS CONTRATOS SIGNADOS POR LA PERSONA EN CUESTION SIEMPRE PROTEGIENDO SUS DATOS PERSONALES.</w:t>
      </w:r>
    </w:p>
    <w:p w14:paraId="07125FD9"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2.- COPIA SIMPLE DIGITALIZADA DE LOS INFORMES SEMESTRALES PRESENTADOS POR LA SERVIDORA PUBLICA EN CUESTION. EN CASO DE NO PRESENTARLOS PIDO EL FUNDAMENTO LEGAL Y LA TRANSCRIPCION DE LOS ARTICULOS QUE DEN SUSTENTO.</w:t>
      </w:r>
    </w:p>
    <w:p w14:paraId="66F3B46A"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3.- SI LA SERVIDORA PUBLICA TIENE MANEJO DE VALORES, Y EN DADO CASO, ¿CUÁLES SON ESTOS? FUNDAMENTO LEGAL Y TRANSCRIPCION DE ARTICULOS</w:t>
      </w:r>
    </w:p>
    <w:p w14:paraId="2E5D2345"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4.- COPIA SIMPLE DITIGALIZADA DE LA LISTA DE ASISTENCIA DE LOS ULTIMOS TRES MESES.</w:t>
      </w:r>
    </w:p>
    <w:p w14:paraId="461EE2F6"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5.- LUGAR/UBICACION DE TRABAJO Y AREA DE ADSCRIPCION.</w:t>
      </w:r>
    </w:p>
    <w:p w14:paraId="29F5C97E"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6.- SOLICITO COPIA SIMPLE DIGITALIZADA DE LA EVALUACION QUE CERTIFIQUE SUS CAPACIDADES, ASI COMO ALGUN DOCUMENTO QUE LE DE SUSTENTO Y ACREDITE LA AUTENTICIDAD DEL MISMO, ES DECIR, QUE NO VAYA A DENOTAR LA "FABRICACION DE LA MISMA" CON TINTES DE CORRUPCION ENCUBRIENDO LA CONTRATACION HASTA ESTE MOMENTO DE DICHA SERVIDORA PUBLICA.</w:t>
      </w:r>
    </w:p>
    <w:p w14:paraId="553F9D3F"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7.- LA SERVIDORA PUBLICA EN CUESTION CON CONOCIMIENTOS EN MATERIA DE TURISMO, ¿CUMPLE CON EL PERFIL PROFESIONAL PARA DICHA JEFATURA DE DEPARTAMENTO?</w:t>
      </w:r>
    </w:p>
    <w:p w14:paraId="048055C1"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lastRenderedPageBreak/>
        <w:t>8. SOLICITO COPIA SIMPLE DIGITALIZADA DEL CONTRATO SUSCRITO POR LA PERSONA EN CUESTION ASI COMO EL SUELDO BRUTO Y NETO Y TODAS LAS PERCEPCIONES DE LA MISMA, PIDIENDO QUE NO SOLO SEA REMITIDO A LA LIGA COMPARTIDA SINO QUE ADEMAS SEA TRANSCRITA LA INFORMACION DE MANERA EXACTA Y COMPLETA.</w:t>
      </w:r>
    </w:p>
    <w:p w14:paraId="4A6674C0"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9. SOLICITO CURRICULUM DE LA SERVIDORA PUBLICA CON DOCUMENTOS QUE ACREDITEN LA VERACIDAD DEL CONTENIDO DEL MISMO, ASI COMO QUE ACREDITE LA REAL Y LEGAL EXISTENCIA DE LAS EMPRESAS O JURÍDICOS PARA LOS QUE PRESTO SERVICIOS DICHA PERSONA, ES DECIR, ACREDITE QUE NO SOLO FUE UN DOCUMENTO PARA CUBRIR CON INFORMACION FALSA CON LUGARES INEXISTENTES SINO QUE ACREDITE QUE SE TRATA DE EMPRESAS O JURIDICOS REALES Y LEGALMENTE CONSTITUIDOS.</w:t>
      </w:r>
    </w:p>
    <w:p w14:paraId="5799C6F6" w14:textId="6A81366D"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10. A PETICION DE QUIEN O POR QUIEN FUE PROPUESTA LA CONTRATACION DE LA SERVIDORA PUBLICA</w:t>
      </w:r>
      <w:proofErr w:type="gramStart"/>
      <w:r>
        <w:rPr>
          <w:rFonts w:ascii="Palatino Linotype" w:hAnsi="Palatino Linotype"/>
          <w:i/>
          <w:lang w:val="es-ES_tradnl"/>
        </w:rPr>
        <w:t xml:space="preserve"> </w:t>
      </w:r>
      <w:r w:rsidR="003D35B4">
        <w:rPr>
          <w:rFonts w:ascii="Palatino Linotype" w:hAnsi="Palatino Linotype"/>
          <w:i/>
          <w:lang w:val="es-ES_tradnl"/>
        </w:rPr>
        <w:t>….</w:t>
      </w:r>
      <w:proofErr w:type="gramEnd"/>
      <w:r>
        <w:rPr>
          <w:rFonts w:ascii="Palatino Linotype" w:hAnsi="Palatino Linotype"/>
          <w:i/>
          <w:lang w:val="es-ES_tradnl"/>
        </w:rPr>
        <w:t>;</w:t>
      </w:r>
    </w:p>
    <w:p w14:paraId="4172A3B5"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CONVOCATORIA, RECOMENDACION, DEDAZO, CONCURSO, ETC. EN CASO DE CONCURSO CUAL CONSURSO FUE Y SOLICITO COPIA DE LA CONVOCATORIA Y COPIA SIMPLE DIGITALIZADA DE LOS DOCUMENTOS QUE PRESENTO PARA LA INSCRIPCUON A LA MISMA ASI COMO COPIA SIMPLE DIGITALIZADA DEL DOCUMENTO REAL Y LEGAL QUE ACREDITE QUE GANO EL CONCURSO PARA EL CUAL SE POSTULÓ.</w:t>
      </w:r>
    </w:p>
    <w:p w14:paraId="65FF3683"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11. SU DECLARACION INICIAL ASI COMO LA PATRIMONIAL Y DE INTERESES.</w:t>
      </w:r>
    </w:p>
    <w:p w14:paraId="0ADB1EAD"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12.- SOLICITO TAMBIEN, INFORMACION RESPECTO A QUE RESPONSABILIDADES ADMINISTRATIVAS TIENE DE ACUERDO A LA LEGISLACION VIGENTE PARA EL ESTADO DE MEXICO.</w:t>
      </w:r>
    </w:p>
    <w:p w14:paraId="13349995"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13.- ¿QUIEN ES EL SUPERIOR JERARQUICO DE LA SEÑORA EN CUESTION?</w:t>
      </w:r>
    </w:p>
    <w:p w14:paraId="63F4AE96" w14:textId="77777777" w:rsidR="00876484" w:rsidRDefault="00876484" w:rsidP="00876484">
      <w:pPr>
        <w:tabs>
          <w:tab w:val="left" w:pos="5647"/>
        </w:tabs>
        <w:ind w:left="567" w:right="567"/>
        <w:jc w:val="both"/>
        <w:rPr>
          <w:rFonts w:ascii="Palatino Linotype" w:hAnsi="Palatino Linotype"/>
          <w:i/>
          <w:lang w:val="es-ES_tradnl"/>
        </w:rPr>
      </w:pPr>
      <w:r>
        <w:rPr>
          <w:rFonts w:ascii="Palatino Linotype" w:hAnsi="Palatino Linotype"/>
          <w:i/>
          <w:lang w:val="es-ES_tradnl"/>
        </w:rPr>
        <w:t>14.- ¿CUALES SON SUS FUNCIONES?</w:t>
      </w:r>
    </w:p>
    <w:p w14:paraId="3CDA98F1" w14:textId="77777777" w:rsidR="00876484" w:rsidRDefault="00876484" w:rsidP="00876484">
      <w:pPr>
        <w:tabs>
          <w:tab w:val="left" w:pos="5647"/>
        </w:tabs>
        <w:ind w:left="567" w:right="567"/>
        <w:jc w:val="both"/>
        <w:rPr>
          <w:rFonts w:ascii="Palatino Linotype" w:hAnsi="Palatino Linotype"/>
          <w:lang w:val="es-ES_tradnl"/>
        </w:rPr>
      </w:pPr>
      <w:r>
        <w:rPr>
          <w:rFonts w:ascii="Palatino Linotype" w:hAnsi="Palatino Linotype"/>
          <w:i/>
          <w:lang w:val="es-ES_tradnl"/>
        </w:rPr>
        <w:lastRenderedPageBreak/>
        <w:t>15.- ¿TIENE PERSONAL A SU CARGO? EN CASO DE RESPUESTA AFIRMATIVA, SOLICITO NOMBRES, PUESTO/PLAZA/MEDIO DE CONTRATACIÓN DE CADA UNO, NIVEL MAXIMO DE ESTUDIOS.”</w:t>
      </w:r>
      <w:r>
        <w:rPr>
          <w:rFonts w:ascii="Palatino Linotype" w:hAnsi="Palatino Linotype"/>
          <w:lang w:val="es-ES_tradnl"/>
        </w:rPr>
        <w:t xml:space="preserve"> (sic)</w:t>
      </w:r>
    </w:p>
    <w:p w14:paraId="2D4CF742" w14:textId="77777777" w:rsidR="00876484" w:rsidRDefault="00876484" w:rsidP="00876484">
      <w:pPr>
        <w:tabs>
          <w:tab w:val="left" w:pos="5647"/>
        </w:tabs>
        <w:ind w:left="567" w:right="567"/>
        <w:jc w:val="both"/>
        <w:rPr>
          <w:rFonts w:ascii="Palatino Linotype" w:hAnsi="Palatino Linotype"/>
          <w:lang w:val="es-ES_tradnl"/>
        </w:rPr>
      </w:pPr>
    </w:p>
    <w:p w14:paraId="067E4B43" w14:textId="43E3056C" w:rsidR="003F0929" w:rsidRDefault="003F0929" w:rsidP="003F0929">
      <w:pPr>
        <w:autoSpaceDE w:val="0"/>
        <w:autoSpaceDN w:val="0"/>
        <w:adjustRightInd w:val="0"/>
        <w:spacing w:line="360" w:lineRule="auto"/>
        <w:jc w:val="both"/>
        <w:rPr>
          <w:rFonts w:ascii="Palatino Linotype" w:hAnsi="Palatino Linotype" w:cs="Arial"/>
          <w:b/>
          <w:lang w:val="es-419"/>
        </w:rPr>
      </w:pPr>
      <w:r>
        <w:rPr>
          <w:rFonts w:ascii="Palatino Linotype" w:hAnsi="Palatino Linotype" w:cs="Arial"/>
          <w:lang w:val="es-419"/>
        </w:rPr>
        <w:t>El Titular d</w:t>
      </w:r>
      <w:r w:rsidR="00F662BC">
        <w:rPr>
          <w:rFonts w:ascii="Palatino Linotype" w:hAnsi="Palatino Linotype" w:cs="Arial"/>
          <w:lang w:val="es-419"/>
        </w:rPr>
        <w:t>e la Unidad de Transparencia</w:t>
      </w:r>
      <w:r>
        <w:rPr>
          <w:rFonts w:ascii="Palatino Linotype" w:hAnsi="Palatino Linotype" w:cs="Arial"/>
          <w:lang w:val="es-419"/>
        </w:rPr>
        <w:t xml:space="preserve">, informa lo siguiente: </w:t>
      </w:r>
    </w:p>
    <w:p w14:paraId="3619ECEF" w14:textId="77777777" w:rsidR="003F0929" w:rsidRDefault="003F0929" w:rsidP="003F0929">
      <w:pPr>
        <w:autoSpaceDE w:val="0"/>
        <w:autoSpaceDN w:val="0"/>
        <w:adjustRightInd w:val="0"/>
        <w:spacing w:line="360" w:lineRule="auto"/>
        <w:jc w:val="both"/>
        <w:rPr>
          <w:rFonts w:ascii="Palatino Linotype" w:hAnsi="Palatino Linotype" w:cs="Arial"/>
          <w:lang w:val="es-419"/>
        </w:rPr>
      </w:pPr>
    </w:p>
    <w:p w14:paraId="3B24A380" w14:textId="77777777" w:rsidR="00876484" w:rsidRDefault="00876484" w:rsidP="00876484">
      <w:pPr>
        <w:pStyle w:val="Prrafodelista"/>
        <w:jc w:val="both"/>
        <w:rPr>
          <w:rFonts w:ascii="Palatino Linotype" w:hAnsi="Palatino Linotype" w:cs="Arial"/>
          <w:i/>
          <w:sz w:val="22"/>
        </w:rPr>
      </w:pPr>
      <w:r>
        <w:rPr>
          <w:rFonts w:ascii="Palatino Linotype" w:hAnsi="Palatino Linotype" w:cs="Arial"/>
          <w:i/>
          <w:sz w:val="22"/>
          <w:szCs w:val="28"/>
        </w:rPr>
        <w:t xml:space="preserve">“informo a Usted que la C… </w:t>
      </w:r>
      <w:r>
        <w:rPr>
          <w:rFonts w:ascii="Palatino Linotype" w:hAnsi="Palatino Linotype" w:cs="Arial"/>
          <w:b/>
          <w:i/>
          <w:sz w:val="22"/>
          <w:szCs w:val="28"/>
        </w:rPr>
        <w:t>NO</w:t>
      </w:r>
      <w:r>
        <w:rPr>
          <w:rFonts w:ascii="Palatino Linotype" w:hAnsi="Palatino Linotype" w:cs="Arial"/>
          <w:i/>
          <w:sz w:val="22"/>
          <w:szCs w:val="28"/>
        </w:rPr>
        <w:t xml:space="preserve"> presta sus servicios en este Organismo Descentralizado de Agua Potable, Alcantarillado y Saneamiento de Chimalhuacán, por lo que no es posible brindar la información requerida, lo anterior para dar cumplimiento a la solicitud 00089/OASCHIMAL/IP/2022…”</w:t>
      </w:r>
    </w:p>
    <w:p w14:paraId="4D13C04A" w14:textId="77777777" w:rsidR="00876484" w:rsidRDefault="00876484" w:rsidP="00876484">
      <w:pPr>
        <w:spacing w:line="360" w:lineRule="auto"/>
        <w:jc w:val="both"/>
        <w:rPr>
          <w:rFonts w:ascii="Palatino Linotype" w:hAnsi="Palatino Linotype"/>
          <w:lang w:val="es-ES_tradnl"/>
        </w:rPr>
      </w:pPr>
    </w:p>
    <w:p w14:paraId="09C4B9F1" w14:textId="2A61B145" w:rsidR="00876484" w:rsidRDefault="00876484" w:rsidP="00876484">
      <w:pPr>
        <w:spacing w:line="360" w:lineRule="auto"/>
        <w:jc w:val="both"/>
        <w:rPr>
          <w:rFonts w:ascii="Palatino Linotype" w:hAnsi="Palatino Linotype" w:cs="Arial"/>
          <w:szCs w:val="22"/>
          <w:lang w:eastAsia="es-MX"/>
        </w:rPr>
      </w:pPr>
      <w:r>
        <w:rPr>
          <w:rFonts w:ascii="Palatino Linotype" w:hAnsi="Palatino Linotype" w:cs="Arial"/>
        </w:rPr>
        <w:t xml:space="preserve">Inconforme con la respuesta, el </w:t>
      </w:r>
      <w:r>
        <w:rPr>
          <w:rFonts w:ascii="Palatino Linotype" w:hAnsi="Palatino Linotype" w:cs="Arial"/>
          <w:b/>
        </w:rPr>
        <w:t>Recurrente</w:t>
      </w:r>
      <w:r>
        <w:rPr>
          <w:rFonts w:ascii="Palatino Linotype" w:hAnsi="Palatino Linotype" w:cs="Arial"/>
        </w:rPr>
        <w:t xml:space="preserve"> interpone recurso de revisión haciendo valer objetivamente las siguientes manifestaciones </w:t>
      </w:r>
      <w:r>
        <w:rPr>
          <w:rFonts w:ascii="Palatino Linotype" w:hAnsi="Palatino Linotype" w:cs="Arial"/>
          <w:i/>
        </w:rPr>
        <w:t>“…ME INDICAN QUE NO LABORA EN DICHO ORGANISMO, SIN EMBARGO, TAL Y COMO OBRA EN EL DOCUMENTO ADJUNTO, SE APRECIA LO CONTRARIO…”.</w:t>
      </w:r>
    </w:p>
    <w:p w14:paraId="5B1E0AF8" w14:textId="77777777" w:rsidR="00876484" w:rsidRDefault="00876484" w:rsidP="00876484">
      <w:pPr>
        <w:spacing w:line="360" w:lineRule="auto"/>
        <w:jc w:val="both"/>
        <w:rPr>
          <w:rFonts w:ascii="Palatino Linotype" w:hAnsi="Palatino Linotype" w:cs="Arial"/>
        </w:rPr>
      </w:pPr>
    </w:p>
    <w:p w14:paraId="2D4849E7" w14:textId="719FD7CD" w:rsidR="003F0929" w:rsidRDefault="00BB071F" w:rsidP="003F0929">
      <w:pPr>
        <w:spacing w:before="240" w:after="240" w:line="360" w:lineRule="auto"/>
        <w:jc w:val="both"/>
        <w:rPr>
          <w:rFonts w:ascii="Palatino Linotype" w:hAnsi="Palatino Linotype" w:cs="Arial"/>
          <w:lang w:val="es-MX"/>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43CD8973" w14:textId="77777777" w:rsidR="00876484" w:rsidRDefault="00876484" w:rsidP="00876484">
      <w:pPr>
        <w:spacing w:line="360" w:lineRule="auto"/>
        <w:jc w:val="both"/>
        <w:rPr>
          <w:rFonts w:ascii="Palatino Linotype" w:eastAsia="Calibri" w:hAnsi="Palatino Linotype" w:cs="Arial"/>
          <w:szCs w:val="22"/>
          <w:lang w:eastAsia="es-MX"/>
        </w:rPr>
      </w:pPr>
    </w:p>
    <w:p w14:paraId="3F1EDEE3"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Horario de labores;</w:t>
      </w:r>
    </w:p>
    <w:p w14:paraId="1E5989B3"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Antigüedad laboral;</w:t>
      </w:r>
    </w:p>
    <w:p w14:paraId="6C046CB2"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Los contratos signados;</w:t>
      </w:r>
    </w:p>
    <w:p w14:paraId="00CACC3F"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Los informes semestrales presentados por la servidora pública;</w:t>
      </w:r>
    </w:p>
    <w:p w14:paraId="7F0A4FCB"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lastRenderedPageBreak/>
        <w:t>El manejo de valores;</w:t>
      </w:r>
    </w:p>
    <w:p w14:paraId="49A426D1"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La lista de asistencia de los meses de julio, agosto y septiembre de dos mil veintidós;</w:t>
      </w:r>
    </w:p>
    <w:p w14:paraId="3971FFE9"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Domicilio de oficinas de trabajo y área de adscripción;</w:t>
      </w:r>
    </w:p>
    <w:p w14:paraId="65735B45"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La evaluación y/o equivalente que certifique sus capacidades para ostentar el cargo;</w:t>
      </w:r>
    </w:p>
    <w:p w14:paraId="158146CD"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Sueldo bruto, neto y todas las percepciones;</w:t>
      </w:r>
    </w:p>
    <w:p w14:paraId="1B85ED0F"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Curriculum vitae o ficha curricular o equivalente;</w:t>
      </w:r>
    </w:p>
    <w:p w14:paraId="7BE40FF8"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cs="Arial"/>
          <w:lang w:val="es-ES_tradnl"/>
        </w:rPr>
        <w:t>Procedimiento de contratación;</w:t>
      </w:r>
    </w:p>
    <w:p w14:paraId="77458DC8" w14:textId="77777777" w:rsidR="00876484" w:rsidRDefault="00876484" w:rsidP="00876484">
      <w:pPr>
        <w:pStyle w:val="Prrafodelista"/>
        <w:spacing w:line="360" w:lineRule="auto"/>
        <w:jc w:val="both"/>
        <w:rPr>
          <w:rFonts w:ascii="Palatino Linotype" w:hAnsi="Palatino Linotype" w:cs="Arial"/>
          <w:lang w:val="es-ES_tradnl"/>
        </w:rPr>
      </w:pPr>
      <w:r>
        <w:rPr>
          <w:rFonts w:ascii="Palatino Linotype" w:hAnsi="Palatino Linotype" w:cs="Arial"/>
          <w:lang w:val="es-ES_tradnl"/>
        </w:rPr>
        <w:t>11.1</w:t>
      </w:r>
      <w:r>
        <w:rPr>
          <w:rFonts w:ascii="Palatino Linotype" w:hAnsi="Palatino Linotype" w:cs="Arial"/>
          <w:lang w:val="es-ES_tradnl"/>
        </w:rPr>
        <w:tab/>
        <w:t>En caso de concurso copia de la convocatoria y copia simple digitalizada de los documentos que presento para la inscripción a la misma, así como copia del documento que acredite que gano el concurso para el cual se postuló;</w:t>
      </w:r>
    </w:p>
    <w:p w14:paraId="425D390D"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Pr>
          <w:rFonts w:ascii="Palatino Linotype" w:hAnsi="Palatino Linotype"/>
        </w:rPr>
        <w:t>El Acuerdo que emita el Comité de Transparencia mediante el que confirme la declaratoria de incompetencia</w:t>
      </w:r>
      <w:r>
        <w:rPr>
          <w:rFonts w:ascii="Palatino Linotype" w:hAnsi="Palatino Linotype" w:cs="Arial"/>
          <w:lang w:val="es-ES_tradnl"/>
        </w:rPr>
        <w:t>, respecto a las declaraciones iniciales, patrimoniales y de intereses;</w:t>
      </w:r>
    </w:p>
    <w:p w14:paraId="0D628A42" w14:textId="77777777" w:rsidR="00876484" w:rsidRP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sidRPr="00876484">
        <w:rPr>
          <w:rFonts w:ascii="Palatino Linotype" w:hAnsi="Palatino Linotype" w:cs="Arial"/>
          <w:lang w:val="es-ES_tradnl"/>
        </w:rPr>
        <w:t>Las responsabilidades administrativas por faltas graves que tiene la servidora pública;</w:t>
      </w:r>
    </w:p>
    <w:p w14:paraId="185EB3FC" w14:textId="77777777" w:rsidR="00876484" w:rsidRP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sidRPr="00876484">
        <w:rPr>
          <w:rFonts w:ascii="Palatino Linotype" w:hAnsi="Palatino Linotype" w:cs="Arial"/>
          <w:lang w:val="es-MX"/>
        </w:rPr>
        <w:t xml:space="preserve">Acuerdo emitido por el Comité de Transparencia, en el que </w:t>
      </w:r>
      <w:r w:rsidRPr="00876484">
        <w:rPr>
          <w:rFonts w:ascii="Palatino Linotype" w:hAnsi="Palatino Linotype" w:cs="Arial"/>
          <w:b/>
          <w:lang w:val="es-MX"/>
        </w:rPr>
        <w:t>clasifique como confidencial</w:t>
      </w:r>
      <w:r w:rsidRPr="00876484">
        <w:rPr>
          <w:rFonts w:ascii="Palatino Linotype" w:hAnsi="Palatino Linotype" w:cs="Arial"/>
          <w:lang w:val="es-MX"/>
        </w:rPr>
        <w:t xml:space="preserve"> el pronunciamiento en sentido afirmativo o negativo respecto si cuenta con procedimientos administrativos por faltas no graves sin importar </w:t>
      </w:r>
      <w:r w:rsidRPr="00876484">
        <w:rPr>
          <w:rFonts w:ascii="Palatino Linotype" w:hAnsi="Palatino Linotype" w:cs="Arial"/>
          <w:lang w:val="es-MX"/>
        </w:rPr>
        <w:lastRenderedPageBreak/>
        <w:t>si fue absolutorio o condenatorio, así como de procedimientos administrativos graves absolutorios;</w:t>
      </w:r>
    </w:p>
    <w:p w14:paraId="042B9242" w14:textId="77777777" w:rsidR="00876484" w:rsidRP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sidRPr="00876484">
        <w:rPr>
          <w:rFonts w:ascii="Palatino Linotype" w:hAnsi="Palatino Linotype" w:cs="Arial"/>
          <w:lang w:val="es-ES_tradnl"/>
        </w:rPr>
        <w:t>Funciones;</w:t>
      </w:r>
    </w:p>
    <w:p w14:paraId="16969AF0" w14:textId="77777777" w:rsidR="00876484" w:rsidRDefault="00876484" w:rsidP="00876484">
      <w:pPr>
        <w:pStyle w:val="Prrafodelista"/>
        <w:numPr>
          <w:ilvl w:val="0"/>
          <w:numId w:val="34"/>
        </w:numPr>
        <w:spacing w:line="360" w:lineRule="auto"/>
        <w:contextualSpacing w:val="0"/>
        <w:jc w:val="both"/>
        <w:rPr>
          <w:rFonts w:ascii="Palatino Linotype" w:hAnsi="Palatino Linotype" w:cs="Arial"/>
          <w:lang w:val="es-ES_tradnl"/>
        </w:rPr>
      </w:pPr>
      <w:r w:rsidRPr="00876484">
        <w:rPr>
          <w:rFonts w:ascii="Palatino Linotype" w:hAnsi="Palatino Linotype" w:cs="Arial"/>
          <w:lang w:val="es-ES_tradnl"/>
        </w:rPr>
        <w:t>Nombre, cargo, medio de contratación y nivel de estudios del personal a su cargo.</w:t>
      </w:r>
    </w:p>
    <w:p w14:paraId="3E1F0338" w14:textId="77777777" w:rsidR="00876484" w:rsidRPr="00876484" w:rsidRDefault="00876484" w:rsidP="00876484">
      <w:pPr>
        <w:pStyle w:val="Prrafodelista"/>
        <w:spacing w:line="360" w:lineRule="auto"/>
        <w:contextualSpacing w:val="0"/>
        <w:jc w:val="both"/>
        <w:rPr>
          <w:rFonts w:ascii="Palatino Linotype" w:hAnsi="Palatino Linotype" w:cs="Arial"/>
          <w:lang w:val="es-ES_tradnl"/>
        </w:rPr>
      </w:pPr>
    </w:p>
    <w:p w14:paraId="7A057323" w14:textId="30A2BA34" w:rsidR="00876484" w:rsidRPr="00876484" w:rsidRDefault="00876484" w:rsidP="00876484">
      <w:pPr>
        <w:spacing w:line="360" w:lineRule="auto"/>
        <w:jc w:val="both"/>
        <w:rPr>
          <w:rFonts w:ascii="Palatino Linotype" w:hAnsi="Palatino Linotype" w:cs="Arial"/>
          <w:lang w:val="es-ES_tradnl"/>
        </w:rPr>
      </w:pPr>
      <w:r w:rsidRPr="00876484">
        <w:rPr>
          <w:rFonts w:ascii="Palatino Linotype" w:eastAsia="Palatino Linotype" w:hAnsi="Palatino Linotype" w:cs="Palatino Linotype"/>
          <w:color w:val="000000"/>
        </w:rPr>
        <w:t xml:space="preserve">Efectivamente se ordena la </w:t>
      </w:r>
      <w:r w:rsidRPr="00876484">
        <w:rPr>
          <w:rFonts w:ascii="Palatino Linotype" w:hAnsi="Palatino Linotype" w:cs="Arial"/>
          <w:lang w:val="es-MX"/>
        </w:rPr>
        <w:t>clasificación  como confidencial el pronunciamiento en sentido afirmativo o negativo respecto si cuenta con procedimientos administrativos concluidos con resolución absolutoria derivados de faltas administrativas graves.</w:t>
      </w:r>
    </w:p>
    <w:p w14:paraId="30BBC820" w14:textId="749101F8" w:rsidR="003F0929" w:rsidRDefault="003F0929" w:rsidP="00876484">
      <w:pPr>
        <w:spacing w:before="240" w:after="240" w:line="360" w:lineRule="auto"/>
        <w:jc w:val="both"/>
        <w:rPr>
          <w:rFonts w:ascii="Palatino Linotype" w:eastAsia="Palatino Linotype" w:hAnsi="Palatino Linotype" w:cs="Palatino Linotype"/>
        </w:rPr>
      </w:pPr>
    </w:p>
    <w:p w14:paraId="6C4FC206" w14:textId="1BCE6D55"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 xml:space="preserve">como confidencial del </w:t>
      </w:r>
      <w:r w:rsidR="00876484">
        <w:rPr>
          <w:rFonts w:ascii="Palatino Linotype" w:eastAsia="Palatino Linotype" w:hAnsi="Palatino Linotype" w:cs="Palatino Linotype"/>
        </w:rPr>
        <w:t>pronunciamiento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w:t>
      </w:r>
      <w:r w:rsidR="00445879" w:rsidRPr="004B2706">
        <w:rPr>
          <w:rFonts w:ascii="Palatino Linotype" w:hAnsi="Palatino Linotype" w:cs="Arial"/>
        </w:rPr>
        <w:lastRenderedPageBreak/>
        <w:t xml:space="preserve">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535F465C" w14:textId="7818BD88" w:rsidR="00CF3F65" w:rsidRDefault="00A7532A" w:rsidP="00876484">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876484" w:rsidRPr="00876484">
        <w:rPr>
          <w:rFonts w:ascii="Palatino Linotype" w:eastAsia="Palatino Linotype" w:hAnsi="Palatino Linotype" w:cs="Palatino Linotype"/>
        </w:rPr>
        <w:t xml:space="preserve">como confidencial </w:t>
      </w:r>
      <w:r w:rsidR="00876484">
        <w:rPr>
          <w:rFonts w:ascii="Palatino Linotype" w:eastAsia="Palatino Linotype" w:hAnsi="Palatino Linotype" w:cs="Palatino Linotype"/>
        </w:rPr>
        <w:t>d</w:t>
      </w:r>
      <w:r w:rsidR="00876484" w:rsidRPr="00876484">
        <w:rPr>
          <w:rFonts w:ascii="Palatino Linotype" w:eastAsia="Palatino Linotype" w:hAnsi="Palatino Linotype" w:cs="Palatino Linotype"/>
        </w:rPr>
        <w:t xml:space="preserve">el pronunciamiento en sentido afirmativo o negativo respecto de si servidores públicos cuentan con procedimientos administrativos </w:t>
      </w:r>
      <w:r w:rsidR="003D35B4">
        <w:rPr>
          <w:rFonts w:ascii="Palatino Linotype" w:eastAsia="Palatino Linotype" w:hAnsi="Palatino Linotype" w:cs="Palatino Linotype"/>
        </w:rPr>
        <w:t xml:space="preserve">concluidos con resolución absolutoria </w:t>
      </w:r>
      <w:r w:rsidR="00876484" w:rsidRPr="00876484">
        <w:rPr>
          <w:rFonts w:ascii="Palatino Linotype" w:eastAsia="Palatino Linotype" w:hAnsi="Palatino Linotype" w:cs="Palatino Linotype"/>
        </w:rPr>
        <w:t>inici</w:t>
      </w:r>
      <w:r w:rsidR="00876484">
        <w:rPr>
          <w:rFonts w:ascii="Palatino Linotype" w:eastAsia="Palatino Linotype" w:hAnsi="Palatino Linotype" w:cs="Palatino Linotype"/>
        </w:rPr>
        <w:t>ad</w:t>
      </w:r>
      <w:r w:rsidR="003D35B4">
        <w:rPr>
          <w:rFonts w:ascii="Palatino Linotype" w:eastAsia="Palatino Linotype" w:hAnsi="Palatino Linotype" w:cs="Palatino Linotype"/>
        </w:rPr>
        <w:t>o</w:t>
      </w:r>
      <w:r w:rsidR="00876484">
        <w:rPr>
          <w:rFonts w:ascii="Palatino Linotype" w:eastAsia="Palatino Linotype" w:hAnsi="Palatino Linotype" w:cs="Palatino Linotype"/>
        </w:rPr>
        <w:t>s por denuncias por faltas</w:t>
      </w:r>
      <w:r w:rsidR="003D35B4">
        <w:rPr>
          <w:rFonts w:ascii="Palatino Linotype" w:eastAsia="Palatino Linotype" w:hAnsi="Palatino Linotype" w:cs="Palatino Linotype"/>
        </w:rPr>
        <w:t xml:space="preserve"> graves</w:t>
      </w:r>
      <w:r w:rsidR="00876484" w:rsidRPr="00876484">
        <w:rPr>
          <w:rFonts w:ascii="Palatino Linotype" w:eastAsia="Palatino Linotype" w:hAnsi="Palatino Linotype" w:cs="Palatino Linotype"/>
        </w:rPr>
        <w:t xml:space="preserve">,  al considerar que  entregar la información transparenta la gestión </w:t>
      </w:r>
      <w:r w:rsidR="00876484" w:rsidRPr="00876484">
        <w:rPr>
          <w:rFonts w:ascii="Palatino Linotype" w:eastAsia="Palatino Linotype" w:hAnsi="Palatino Linotype" w:cs="Palatino Linotype"/>
        </w:rPr>
        <w:lastRenderedPageBreak/>
        <w:t>pública y la rendición de cuentas y no ocasiona un perjuicio en su honor, intimidad y buena imagen, ni  daña su vida privada y profesional.</w:t>
      </w: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F218" w14:textId="77777777" w:rsidR="00E842C4" w:rsidRDefault="00E842C4" w:rsidP="00C80F8C">
      <w:r>
        <w:separator/>
      </w:r>
    </w:p>
  </w:endnote>
  <w:endnote w:type="continuationSeparator" w:id="0">
    <w:p w14:paraId="4248EEDF" w14:textId="77777777" w:rsidR="00E842C4" w:rsidRDefault="00E842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FEEE" w14:textId="77777777" w:rsidR="00E842C4" w:rsidRDefault="00E842C4" w:rsidP="00C80F8C">
      <w:r>
        <w:separator/>
      </w:r>
    </w:p>
  </w:footnote>
  <w:footnote w:type="continuationSeparator" w:id="0">
    <w:p w14:paraId="1BF3AAF8" w14:textId="77777777" w:rsidR="00E842C4" w:rsidRDefault="00E842C4"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r>
        <w:t>://www.oecd.org/corruption/ethics/estudio-integridad-mexico-aspectos-claves.p</w:t>
      </w:r>
      <w:r w:rsidR="00B05E5A">
        <w:t xml:space="preserve">df, p.3. </w:t>
      </w:r>
    </w:p>
  </w:footnote>
  <w:footnote w:id="5">
    <w:p w14:paraId="0B030E72" w14:textId="3129FDD7" w:rsidR="00B703D7" w:rsidRPr="00EF1ADA" w:rsidRDefault="00B703D7" w:rsidP="00B703D7">
      <w:pPr>
        <w:pStyle w:val="Textonotapie"/>
        <w:jc w:val="both"/>
        <w:rPr>
          <w:lang w:val="en-US"/>
        </w:rPr>
      </w:pPr>
      <w:r>
        <w:rPr>
          <w:rStyle w:val="Refdenotaalpie"/>
        </w:rPr>
        <w:footnoteRef/>
      </w:r>
      <w:r w:rsidRPr="00EF1ADA">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3CA2FE63" w14:textId="2B32391D" w:rsidR="00F662BC" w:rsidRDefault="00F47FB5" w:rsidP="00F47FB5">
    <w:pPr>
      <w:pStyle w:val="Encabezado"/>
      <w:ind w:left="2835" w:right="-250"/>
      <w:rPr>
        <w:rFonts w:ascii="Palatino Linotype" w:hAnsi="Palatino Linotype" w:cs="Arial"/>
        <w:b/>
      </w:rPr>
    </w:pPr>
    <w:r>
      <w:rPr>
        <w:rFonts w:ascii="Palatino Linotype" w:hAnsi="Palatino Linotype" w:cs="Tahoma"/>
        <w:b/>
      </w:rPr>
      <w:t xml:space="preserve">Recurso de Revisión: </w:t>
    </w:r>
    <w:r w:rsidR="00876484">
      <w:rPr>
        <w:rFonts w:ascii="Palatino Linotype" w:hAnsi="Palatino Linotype" w:cs="Arial"/>
        <w:b/>
        <w:bCs/>
      </w:rPr>
      <w:t>016690/INFOEM/IP/RR/2022</w:t>
    </w:r>
  </w:p>
  <w:p w14:paraId="18A27B0D" w14:textId="05DC79F7" w:rsidR="00F662BC" w:rsidRDefault="00F47FB5" w:rsidP="00F47FB5">
    <w:pPr>
      <w:pStyle w:val="Encabezado"/>
      <w:ind w:left="2835" w:right="-250"/>
      <w:rPr>
        <w:rFonts w:ascii="Palatino Linotype" w:hAnsi="Palatino Linotype" w:cs="Arial"/>
        <w:b/>
        <w:bCs/>
      </w:rPr>
    </w:pPr>
    <w:r>
      <w:rPr>
        <w:rFonts w:ascii="Palatino Linotype" w:hAnsi="Palatino Linotype" w:cs="Tahoma"/>
        <w:b/>
      </w:rPr>
      <w:t>Sujeto Obligado:</w:t>
    </w:r>
    <w:r>
      <w:rPr>
        <w:rFonts w:ascii="Palatino Linotype" w:eastAsia="Palatino Linotype" w:hAnsi="Palatino Linotype" w:cs="Palatino Linotype"/>
        <w:b/>
      </w:rPr>
      <w:t xml:space="preserve"> </w:t>
    </w:r>
    <w:r w:rsidR="00876484">
      <w:rPr>
        <w:rFonts w:ascii="Palatino Linotype" w:hAnsi="Palatino Linotype" w:cs="Arial"/>
        <w:b/>
      </w:rPr>
      <w:t>Organismo Público Descentralizado de Agua Potable Alcantarillado y Saneamiento de Chimalhuacán</w:t>
    </w:r>
  </w:p>
  <w:p w14:paraId="529674EB" w14:textId="2C576BAE" w:rsidR="00634485" w:rsidRPr="00F47FB5" w:rsidRDefault="00F47FB5" w:rsidP="00F47FB5">
    <w:pPr>
      <w:pStyle w:val="Encabezado"/>
      <w:ind w:left="2835" w:right="-250"/>
      <w:rPr>
        <w:rFonts w:ascii="Palatino Linotype" w:eastAsia="Palatino Linotype" w:hAnsi="Palatino Linotype" w:cs="Palatino Linotype"/>
      </w:rPr>
    </w:pPr>
    <w:r>
      <w:rPr>
        <w:rFonts w:ascii="Palatino Linotype" w:hAnsi="Palatino Linotype" w:cs="Tahoma"/>
        <w:b/>
      </w:rPr>
      <w:t xml:space="preserve">Comisionado Ponente: </w:t>
    </w:r>
    <w:r w:rsidR="003F0929">
      <w:rPr>
        <w:rFonts w:ascii="Palatino Linotype" w:eastAsia="Palatino Linotype" w:hAnsi="Palatino Linotype" w:cs="Palatino Linotype"/>
      </w:rPr>
      <w:t>José Martínez Vilchis</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3636E1"/>
    <w:multiLevelType w:val="hybridMultilevel"/>
    <w:tmpl w:val="3B20BE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4"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0"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3" w15:restartNumberingAfterBreak="0">
    <w:nsid w:val="676860F7"/>
    <w:multiLevelType w:val="hybridMultilevel"/>
    <w:tmpl w:val="4E904CE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3081053">
    <w:abstractNumId w:val="1"/>
  </w:num>
  <w:num w:numId="2" w16cid:durableId="1258708967">
    <w:abstractNumId w:val="32"/>
  </w:num>
  <w:num w:numId="3" w16cid:durableId="125586860">
    <w:abstractNumId w:val="8"/>
  </w:num>
  <w:num w:numId="4" w16cid:durableId="240140766">
    <w:abstractNumId w:val="11"/>
  </w:num>
  <w:num w:numId="5" w16cid:durableId="557787791">
    <w:abstractNumId w:val="24"/>
  </w:num>
  <w:num w:numId="6" w16cid:durableId="1866794052">
    <w:abstractNumId w:val="21"/>
  </w:num>
  <w:num w:numId="7" w16cid:durableId="1794322631">
    <w:abstractNumId w:val="17"/>
  </w:num>
  <w:num w:numId="8" w16cid:durableId="155220598">
    <w:abstractNumId w:val="28"/>
  </w:num>
  <w:num w:numId="9" w16cid:durableId="1235050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702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6588221">
    <w:abstractNumId w:val="9"/>
  </w:num>
  <w:num w:numId="12" w16cid:durableId="1914387812">
    <w:abstractNumId w:val="29"/>
  </w:num>
  <w:num w:numId="13" w16cid:durableId="7187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1567681">
    <w:abstractNumId w:val="20"/>
  </w:num>
  <w:num w:numId="15" w16cid:durableId="303775379">
    <w:abstractNumId w:val="14"/>
  </w:num>
  <w:num w:numId="16" w16cid:durableId="1490832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784712">
    <w:abstractNumId w:val="22"/>
  </w:num>
  <w:num w:numId="18" w16cid:durableId="193419493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904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875443">
    <w:abstractNumId w:val="16"/>
  </w:num>
  <w:num w:numId="21" w16cid:durableId="75589229">
    <w:abstractNumId w:val="15"/>
  </w:num>
  <w:num w:numId="22" w16cid:durableId="1466587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206031">
    <w:abstractNumId w:val="7"/>
  </w:num>
  <w:num w:numId="24" w16cid:durableId="251865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499329">
    <w:abstractNumId w:val="4"/>
  </w:num>
  <w:num w:numId="26" w16cid:durableId="259724993">
    <w:abstractNumId w:val="30"/>
  </w:num>
  <w:num w:numId="27" w16cid:durableId="170278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5895235">
    <w:abstractNumId w:val="18"/>
  </w:num>
  <w:num w:numId="29" w16cid:durableId="1713068745">
    <w:abstractNumId w:val="22"/>
  </w:num>
  <w:num w:numId="30" w16cid:durableId="144393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3005409">
    <w:abstractNumId w:val="12"/>
  </w:num>
  <w:num w:numId="32" w16cid:durableId="1311011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9655378">
    <w:abstractNumId w:val="2"/>
  </w:num>
  <w:num w:numId="34" w16cid:durableId="1931699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D5B21"/>
    <w:rsid w:val="002E7D97"/>
    <w:rsid w:val="003026CE"/>
    <w:rsid w:val="00312863"/>
    <w:rsid w:val="00326EEA"/>
    <w:rsid w:val="003448FB"/>
    <w:rsid w:val="003D1F47"/>
    <w:rsid w:val="003D35B4"/>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8101D"/>
    <w:rsid w:val="00685B0E"/>
    <w:rsid w:val="006A7AB7"/>
    <w:rsid w:val="006B2674"/>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12F10"/>
    <w:rsid w:val="00820022"/>
    <w:rsid w:val="00820034"/>
    <w:rsid w:val="0083108D"/>
    <w:rsid w:val="00861117"/>
    <w:rsid w:val="00861A61"/>
    <w:rsid w:val="00876484"/>
    <w:rsid w:val="00892AFC"/>
    <w:rsid w:val="00893EE5"/>
    <w:rsid w:val="008B0A68"/>
    <w:rsid w:val="008C19BE"/>
    <w:rsid w:val="008C3C4B"/>
    <w:rsid w:val="008D1526"/>
    <w:rsid w:val="008F67BC"/>
    <w:rsid w:val="00956B18"/>
    <w:rsid w:val="00961995"/>
    <w:rsid w:val="00975EB9"/>
    <w:rsid w:val="00981C38"/>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E0FA6"/>
    <w:rsid w:val="00CF3F65"/>
    <w:rsid w:val="00D03369"/>
    <w:rsid w:val="00D20156"/>
    <w:rsid w:val="00D36ABC"/>
    <w:rsid w:val="00D96441"/>
    <w:rsid w:val="00DC2CB7"/>
    <w:rsid w:val="00DC3082"/>
    <w:rsid w:val="00DD45AC"/>
    <w:rsid w:val="00DD5CD5"/>
    <w:rsid w:val="00DE1629"/>
    <w:rsid w:val="00DE5C27"/>
    <w:rsid w:val="00DE6E57"/>
    <w:rsid w:val="00E37AE3"/>
    <w:rsid w:val="00E429BA"/>
    <w:rsid w:val="00E842C4"/>
    <w:rsid w:val="00EF1ADA"/>
    <w:rsid w:val="00EF3513"/>
    <w:rsid w:val="00F05A30"/>
    <w:rsid w:val="00F47FB5"/>
    <w:rsid w:val="00F614DA"/>
    <w:rsid w:val="00F662BC"/>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361020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3795529">
      <w:bodyDiv w:val="1"/>
      <w:marLeft w:val="0"/>
      <w:marRight w:val="0"/>
      <w:marTop w:val="0"/>
      <w:marBottom w:val="0"/>
      <w:divBdr>
        <w:top w:val="none" w:sz="0" w:space="0" w:color="auto"/>
        <w:left w:val="none" w:sz="0" w:space="0" w:color="auto"/>
        <w:bottom w:val="none" w:sz="0" w:space="0" w:color="auto"/>
        <w:right w:val="none" w:sz="0" w:space="0" w:color="auto"/>
      </w:divBdr>
    </w:div>
    <w:div w:id="1030447455">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4980755">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03324000">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0497391">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6012-A6EE-4525-9C74-A5C71FC7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2098</Words>
  <Characters>11544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2023-03-22T00:19:00Z</cp:lastPrinted>
  <dcterms:created xsi:type="dcterms:W3CDTF">2023-03-22T00:07:00Z</dcterms:created>
  <dcterms:modified xsi:type="dcterms:W3CDTF">2024-02-02T19:08:00Z</dcterms:modified>
</cp:coreProperties>
</file>