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AA78" w14:textId="7278F8C6"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420AB0">
        <w:rPr>
          <w:rFonts w:ascii="Palatino Linotype" w:eastAsia="Palatino Linotype" w:hAnsi="Palatino Linotype" w:cs="Palatino Linotype"/>
          <w:b/>
        </w:rPr>
        <w:t>0272</w:t>
      </w:r>
      <w:r w:rsidR="00E3188C">
        <w:rPr>
          <w:rFonts w:ascii="Palatino Linotype" w:eastAsia="Palatino Linotype" w:hAnsi="Palatino Linotype" w:cs="Palatino Linotype"/>
          <w:b/>
        </w:rPr>
        <w:t>5</w:t>
      </w:r>
      <w:r w:rsidRPr="00274A5F">
        <w:rPr>
          <w:rFonts w:ascii="Palatino Linotype" w:eastAsia="Palatino Linotype" w:hAnsi="Palatino Linotype" w:cs="Palatino Linotype"/>
          <w:b/>
        </w:rPr>
        <w:t>/INFOEM/IP/RR/202</w:t>
      </w:r>
      <w:r w:rsidR="00374FF0">
        <w:rPr>
          <w:rFonts w:ascii="Palatino Linotype" w:eastAsia="Palatino Linotype" w:hAnsi="Palatino Linotype" w:cs="Palatino Linotype"/>
          <w:b/>
        </w:rPr>
        <w:t>3</w:t>
      </w:r>
      <w:r w:rsidRPr="00274A5F">
        <w:rPr>
          <w:rFonts w:ascii="Palatino Linotype" w:hAnsi="Palatino Linotype"/>
          <w:b/>
          <w:lang w:val="es-MX"/>
        </w:rPr>
        <w:t>,</w:t>
      </w:r>
      <w:r w:rsidRPr="00274A5F">
        <w:rPr>
          <w:rFonts w:ascii="Palatino Linotype" w:hAnsi="Palatino Linotype" w:cs="Tahoma"/>
          <w:b/>
        </w:rPr>
        <w:t xml:space="preserve"> PROMOVIDO EN CONTRA DEL </w:t>
      </w:r>
      <w:r w:rsidR="00420AB0">
        <w:rPr>
          <w:rFonts w:ascii="Palatino Linotype" w:hAnsi="Palatino Linotype" w:cs="Tahoma"/>
          <w:b/>
        </w:rPr>
        <w:t xml:space="preserve">AYUNTAMIENTO DE </w:t>
      </w:r>
      <w:r w:rsidR="00E3188C">
        <w:rPr>
          <w:rFonts w:ascii="Palatino Linotype" w:hAnsi="Palatino Linotype" w:cs="Tahoma"/>
          <w:b/>
        </w:rPr>
        <w:t>NAUCALPAN DE JUÁREZ</w:t>
      </w:r>
      <w:r w:rsidR="00420AB0">
        <w:rPr>
          <w:rFonts w:ascii="Palatino Linotype" w:hAnsi="Palatino Linotype" w:cs="Tahoma"/>
          <w:b/>
        </w:rPr>
        <w:t>.</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02B231A1"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420AB0">
        <w:rPr>
          <w:rFonts w:ascii="Palatino Linotype" w:eastAsia="Palatino Linotype" w:hAnsi="Palatino Linotype" w:cs="Palatino Linotype"/>
          <w:b/>
        </w:rPr>
        <w:t>0272</w:t>
      </w:r>
      <w:r w:rsidR="00E3188C">
        <w:rPr>
          <w:rFonts w:ascii="Palatino Linotype" w:eastAsia="Palatino Linotype" w:hAnsi="Palatino Linotype" w:cs="Palatino Linotype"/>
          <w:b/>
        </w:rPr>
        <w:t>5</w:t>
      </w:r>
      <w:r w:rsidRPr="00274A5F">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Pr="00274A5F">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410323DE" w14:textId="0846A984" w:rsidR="00342FF8" w:rsidRDefault="00342FF8" w:rsidP="00342FF8">
      <w:pPr>
        <w:spacing w:after="0" w:line="360" w:lineRule="auto"/>
        <w:jc w:val="both"/>
        <w:rPr>
          <w:rFonts w:ascii="Palatino Linotype" w:eastAsia="Palatino Linotype" w:hAnsi="Palatino Linotype" w:cs="Palatino Linotype"/>
        </w:rPr>
      </w:pPr>
      <w:r w:rsidRPr="000C73AC">
        <w:rPr>
          <w:rFonts w:ascii="Palatino Linotype" w:hAnsi="Palatino Linotype" w:cs="Tahoma"/>
        </w:rPr>
        <w:t xml:space="preserve">Como se desprende de la Resolución en comento, </w:t>
      </w:r>
      <w:r w:rsidRPr="001349E4">
        <w:rPr>
          <w:rFonts w:ascii="Palatino Linotype" w:hAnsi="Palatino Linotype" w:cs="Tahoma"/>
          <w:b/>
          <w:bCs/>
        </w:rPr>
        <w:t>el Particular solicitó</w:t>
      </w:r>
      <w:r w:rsidR="00374FF0">
        <w:rPr>
          <w:rFonts w:ascii="Palatino Linotype" w:hAnsi="Palatino Linotype" w:cs="Tahoma"/>
          <w:b/>
          <w:bCs/>
        </w:rPr>
        <w:t xml:space="preserve"> entre otras cosas,</w:t>
      </w:r>
      <w:r w:rsidRPr="001349E4">
        <w:rPr>
          <w:rFonts w:ascii="Palatino Linotype" w:hAnsi="Palatino Linotype" w:cs="Tahoma"/>
          <w:b/>
          <w:bCs/>
          <w:lang w:val="es-ES_tradnl"/>
        </w:rPr>
        <w:t xml:space="preserve"> </w:t>
      </w:r>
      <w:r w:rsidR="00C5130C">
        <w:rPr>
          <w:rFonts w:ascii="Palatino Linotype" w:hAnsi="Palatino Linotype" w:cs="Tahoma"/>
          <w:b/>
          <w:bCs/>
          <w:lang w:val="es-ES_tradnl"/>
        </w:rPr>
        <w:t>respecto de</w:t>
      </w:r>
      <w:r w:rsidR="001349E4" w:rsidRPr="001349E4">
        <w:rPr>
          <w:rFonts w:ascii="Palatino Linotype" w:hAnsi="Palatino Linotype" w:cs="Tahoma"/>
          <w:b/>
          <w:bCs/>
          <w:iCs/>
          <w:lang w:val="es-ES_tradnl"/>
        </w:rPr>
        <w:t xml:space="preserve"> las patrullas</w:t>
      </w:r>
      <w:r w:rsidR="00374FF0">
        <w:rPr>
          <w:rFonts w:ascii="Palatino Linotype" w:hAnsi="Palatino Linotype" w:cs="Tahoma"/>
          <w:b/>
          <w:bCs/>
          <w:iCs/>
          <w:lang w:val="es-ES_tradnl"/>
        </w:rPr>
        <w:t xml:space="preserve"> el</w:t>
      </w:r>
      <w:r w:rsidR="001349E4" w:rsidRPr="001349E4">
        <w:rPr>
          <w:rFonts w:ascii="Palatino Linotype" w:hAnsi="Palatino Linotype" w:cs="Tahoma"/>
          <w:b/>
          <w:bCs/>
          <w:iCs/>
          <w:lang w:val="es-ES_tradnl"/>
        </w:rPr>
        <w:t xml:space="preserve"> </w:t>
      </w:r>
      <w:r w:rsidR="00374FF0">
        <w:rPr>
          <w:rFonts w:ascii="Palatino Linotype" w:hAnsi="Palatino Linotype" w:cs="Tahoma"/>
          <w:b/>
          <w:bCs/>
          <w:iCs/>
          <w:lang w:val="es-ES_tradnl"/>
        </w:rPr>
        <w:t>costo</w:t>
      </w:r>
      <w:r w:rsidR="00374FF0" w:rsidRPr="00374FF0">
        <w:rPr>
          <w:rFonts w:ascii="Palatino Linotype" w:hAnsi="Palatino Linotype" w:cs="Tahoma"/>
          <w:b/>
          <w:bCs/>
          <w:iCs/>
          <w:lang w:val="es-ES_tradnl"/>
        </w:rPr>
        <w:t xml:space="preserve">, </w:t>
      </w:r>
      <w:r w:rsidR="00374FF0">
        <w:rPr>
          <w:rFonts w:ascii="Palatino Linotype" w:hAnsi="Palatino Linotype" w:cs="Tahoma"/>
          <w:b/>
          <w:bCs/>
          <w:iCs/>
          <w:lang w:val="es-ES_tradnl"/>
        </w:rPr>
        <w:t xml:space="preserve">el equipo policial, </w:t>
      </w:r>
      <w:r w:rsidR="00374FF0" w:rsidRPr="00374FF0">
        <w:rPr>
          <w:rFonts w:ascii="Palatino Linotype" w:hAnsi="Palatino Linotype" w:cs="Tahoma"/>
          <w:b/>
          <w:bCs/>
          <w:iCs/>
          <w:lang w:val="es-ES_tradnl"/>
        </w:rPr>
        <w:t>el radio marcas y modelos</w:t>
      </w:r>
      <w:r>
        <w:rPr>
          <w:rFonts w:ascii="Palatino Linotype" w:hAnsi="Palatino Linotype" w:cs="Tahoma"/>
        </w:rPr>
        <w:t>; al respecto,</w:t>
      </w:r>
      <w:r w:rsidRPr="009105B8">
        <w:rPr>
          <w:rFonts w:ascii="Palatino Linotype" w:hAnsi="Palatino Linotype" w:cs="Tahoma"/>
        </w:rPr>
        <w:t xml:space="preserve"> </w:t>
      </w:r>
      <w:r w:rsidR="00933A0D">
        <w:rPr>
          <w:rFonts w:ascii="Palatino Linotype" w:hAnsi="Palatino Linotype" w:cs="Tahoma"/>
        </w:rPr>
        <w:t>este Organismo Garante</w:t>
      </w:r>
      <w:r>
        <w:rPr>
          <w:rFonts w:ascii="Palatino Linotype" w:hAnsi="Palatino Linotype" w:cs="Tahoma"/>
        </w:rPr>
        <w:t xml:space="preserve"> ordenó la entrega de la información, no obstante, se precisó que, para el caso que </w:t>
      </w:r>
      <w:r>
        <w:rPr>
          <w:rFonts w:ascii="Palatino Linotype" w:eastAsia="Palatino Linotype" w:hAnsi="Palatino Linotype" w:cs="Palatino Linotype"/>
        </w:rPr>
        <w:t xml:space="preserve">se actualice una causal de reserva prevista en el artículo 140 de la Ley de Transparencia </w:t>
      </w:r>
      <w:r w:rsidRPr="009105B8">
        <w:rPr>
          <w:rFonts w:ascii="Palatino Linotype" w:eastAsia="Palatino Linotype" w:hAnsi="Palatino Linotype" w:cs="Palatino Linotype"/>
        </w:rPr>
        <w:t>y Acceso a la Información p</w:t>
      </w:r>
      <w:bookmarkStart w:id="0" w:name="_GoBack"/>
      <w:bookmarkEnd w:id="0"/>
      <w:r w:rsidRPr="009105B8">
        <w:rPr>
          <w:rFonts w:ascii="Palatino Linotype" w:eastAsia="Palatino Linotype" w:hAnsi="Palatino Linotype" w:cs="Palatino Linotype"/>
        </w:rPr>
        <w:t>ública del</w:t>
      </w:r>
      <w:r>
        <w:rPr>
          <w:rFonts w:ascii="Palatino Linotype" w:eastAsia="Palatino Linotype" w:hAnsi="Palatino Linotype" w:cs="Palatino Linotype"/>
        </w:rPr>
        <w:t xml:space="preserve"> Estado de México y Municipios, deberá hacer entrega del acuerdo del Comité de Transparencia, por el cual se funde y motive la clasificación de la información como reservada.</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0705E98E"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w:t>
      </w:r>
      <w:r w:rsidR="001349E4" w:rsidRPr="00274A5F">
        <w:rPr>
          <w:rFonts w:ascii="Palatino Linotype" w:hAnsi="Palatino Linotype" w:cs="Tahoma"/>
        </w:rPr>
        <w:t>esta</w:t>
      </w:r>
      <w:r w:rsidRPr="00274A5F">
        <w:rPr>
          <w:rFonts w:ascii="Palatino Linotype" w:hAnsi="Palatino Linotype" w:cs="Tahoma"/>
        </w:rPr>
        <w:t xml:space="preserve">; sin embargo, considero especialmente que el tema de la reserva de la información debe analizarse de forma tal que se plantee en el estudio la prueba de </w:t>
      </w:r>
      <w:r w:rsidRPr="00274A5F">
        <w:rPr>
          <w:rFonts w:ascii="Palatino Linotype" w:hAnsi="Palatino Linotype" w:cs="Tahoma"/>
        </w:rPr>
        <w:lastRenderedPageBreak/>
        <w:t>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w:t>
      </w:r>
      <w:r w:rsidRPr="00274A5F">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274A5F">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w:t>
      </w:r>
      <w:r w:rsidRPr="00274A5F">
        <w:rPr>
          <w:rFonts w:ascii="Palatino Linotype" w:eastAsia="Palatino Linotype" w:hAnsi="Palatino Linotype" w:cs="Palatino Linotype"/>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39F0705F"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77777777"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85B78" w14:textId="77777777" w:rsidR="00806C7A" w:rsidRDefault="00806C7A" w:rsidP="0041405C">
      <w:pPr>
        <w:spacing w:after="0" w:line="240" w:lineRule="auto"/>
      </w:pPr>
      <w:r>
        <w:separator/>
      </w:r>
    </w:p>
  </w:endnote>
  <w:endnote w:type="continuationSeparator" w:id="0">
    <w:p w14:paraId="5D1AFB35" w14:textId="77777777" w:rsidR="00806C7A" w:rsidRDefault="00806C7A"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33A0D">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33A0D">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4E8BF" w14:textId="77777777" w:rsidR="00806C7A" w:rsidRDefault="00806C7A" w:rsidP="0041405C">
      <w:pPr>
        <w:spacing w:after="0" w:line="240" w:lineRule="auto"/>
      </w:pPr>
      <w:r>
        <w:separator/>
      </w:r>
    </w:p>
  </w:footnote>
  <w:footnote w:type="continuationSeparator" w:id="0">
    <w:p w14:paraId="5E889988" w14:textId="77777777" w:rsidR="00806C7A" w:rsidRDefault="00806C7A" w:rsidP="004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529"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3C59922E"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420AB0">
            <w:rPr>
              <w:rFonts w:ascii="Palatino Linotype" w:eastAsia="Palatino Linotype" w:hAnsi="Palatino Linotype" w:cs="Palatino Linotype"/>
              <w:b/>
            </w:rPr>
            <w:t>0272</w:t>
          </w:r>
          <w:r w:rsidR="00E3188C">
            <w:rPr>
              <w:rFonts w:ascii="Palatino Linotype" w:eastAsia="Palatino Linotype" w:hAnsi="Palatino Linotype" w:cs="Palatino Linotype"/>
              <w:b/>
            </w:rPr>
            <w:t>5</w:t>
          </w:r>
          <w:r w:rsidRPr="0041405C">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p>
        <w:p w14:paraId="489A2219" w14:textId="28D76BD5"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420AB0">
            <w:rPr>
              <w:rFonts w:ascii="Palatino Linotype" w:eastAsia="Palatino Linotype" w:hAnsi="Palatino Linotype" w:cs="Palatino Linotype"/>
              <w:b/>
            </w:rPr>
            <w:t xml:space="preserve">Ayuntamiento de </w:t>
          </w:r>
          <w:r w:rsidR="00E3188C">
            <w:rPr>
              <w:rFonts w:ascii="Palatino Linotype" w:eastAsia="Palatino Linotype" w:hAnsi="Palatino Linotype" w:cs="Palatino Linotype"/>
              <w:b/>
            </w:rPr>
            <w:t>Naucalpan de Juárez</w:t>
          </w:r>
        </w:p>
        <w:p w14:paraId="5C1AE907" w14:textId="4628A1F4"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374FF0">
            <w:rPr>
              <w:rFonts w:ascii="Palatino Linotype" w:hAnsi="Palatino Linotype"/>
              <w:b/>
            </w:rPr>
            <w:t>José</w:t>
          </w:r>
          <w:r w:rsidR="00342FF8">
            <w:rPr>
              <w:rFonts w:ascii="Palatino Linotype" w:hAnsi="Palatino Linotype"/>
              <w:b/>
            </w:rPr>
            <w:t xml:space="preserve"> Martínez</w:t>
          </w:r>
          <w:r w:rsidR="00374FF0">
            <w:rPr>
              <w:rFonts w:ascii="Palatino Linotype" w:hAnsi="Palatino Linotype"/>
              <w:b/>
            </w:rPr>
            <w:t xml:space="preserve"> Vilchis</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C"/>
    <w:rsid w:val="000E1B29"/>
    <w:rsid w:val="000E1F2C"/>
    <w:rsid w:val="0010489F"/>
    <w:rsid w:val="001349E4"/>
    <w:rsid w:val="001976C1"/>
    <w:rsid w:val="00210CF4"/>
    <w:rsid w:val="002166E2"/>
    <w:rsid w:val="002566C8"/>
    <w:rsid w:val="00264675"/>
    <w:rsid w:val="00274A5F"/>
    <w:rsid w:val="00342FF8"/>
    <w:rsid w:val="00374FF0"/>
    <w:rsid w:val="0041405C"/>
    <w:rsid w:val="00420AB0"/>
    <w:rsid w:val="0048251D"/>
    <w:rsid w:val="005A354E"/>
    <w:rsid w:val="005A4203"/>
    <w:rsid w:val="007437ED"/>
    <w:rsid w:val="00747C80"/>
    <w:rsid w:val="00787DEA"/>
    <w:rsid w:val="00806C7A"/>
    <w:rsid w:val="00925C8F"/>
    <w:rsid w:val="00933A0D"/>
    <w:rsid w:val="00A273FA"/>
    <w:rsid w:val="00C3211A"/>
    <w:rsid w:val="00C5130C"/>
    <w:rsid w:val="00CA6576"/>
    <w:rsid w:val="00CE7148"/>
    <w:rsid w:val="00D84E04"/>
    <w:rsid w:val="00DF0541"/>
    <w:rsid w:val="00E3188C"/>
    <w:rsid w:val="00F661A0"/>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2256</Words>
  <Characters>12411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11</cp:revision>
  <dcterms:created xsi:type="dcterms:W3CDTF">2023-09-18T15:28:00Z</dcterms:created>
  <dcterms:modified xsi:type="dcterms:W3CDTF">2023-09-21T22:58:00Z</dcterms:modified>
</cp:coreProperties>
</file>