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4665" w:rsidRDefault="00E128D7">
      <w:pPr>
        <w:spacing w:after="0" w:line="360" w:lineRule="auto"/>
        <w:jc w:val="both"/>
        <w:rPr>
          <w:rFonts w:ascii="Palatino Linotype" w:eastAsia="Palatino Linotype" w:hAnsi="Palatino Linotype" w:cs="Palatino Linotype"/>
          <w:b/>
          <w:color w:val="FF0000"/>
        </w:rPr>
      </w:pPr>
      <w:bookmarkStart w:id="0" w:name="_heading=h.gjdgxs" w:colFirst="0" w:colLast="0"/>
      <w:bookmarkEnd w:id="0"/>
      <w:r>
        <w:rPr>
          <w:rFonts w:ascii="Palatino Linotype" w:eastAsia="Palatino Linotype" w:hAnsi="Palatino Linotype" w:cs="Palatino Linotype"/>
          <w:b/>
        </w:rPr>
        <w:t xml:space="preserve">VOTO PARTICULAR QUE FORMULA LA COMISIONADA GUADALUPE RAMÍREZ PEÑA, EN RELACIÓN CON LA RESOLUCIÓN DICTADA POR EL PLENO DEL INSTITUTO DE TRANSPARENCIA, ACCESO A LA INFORMACIÓN PÚBLICA Y PROTECCIÓN DE DATOS PERSONALES DEL ESTADO DE MÉXICO Y MUNICIPIOS, EN LA </w:t>
      </w:r>
      <w:r>
        <w:rPr>
          <w:rFonts w:ascii="Palatino Linotype" w:eastAsia="Palatino Linotype" w:hAnsi="Palatino Linotype" w:cs="Palatino Linotype"/>
          <w:b/>
        </w:rPr>
        <w:t>TRIGÉSIMA SEXTA SESIÓN ORDINARIA DEL TRES DE OCTUBRE DE DOS MIL VEINTITRÉS, EN EL RECURSO DE REVISIÓN 00145/INFOEM/IP/RR/2023.</w:t>
      </w:r>
    </w:p>
    <w:p w:rsidR="00354665" w:rsidRDefault="00354665">
      <w:pPr>
        <w:spacing w:after="0" w:line="360" w:lineRule="auto"/>
        <w:jc w:val="both"/>
        <w:rPr>
          <w:rFonts w:ascii="Palatino Linotype" w:eastAsia="Palatino Linotype" w:hAnsi="Palatino Linotype" w:cs="Palatino Linotype"/>
          <w:b/>
        </w:rPr>
      </w:pPr>
    </w:p>
    <w:p w:rsidR="00354665" w:rsidRDefault="00E128D7">
      <w:pP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Con fundamento en lo dispuesto por el artículo 14, fracciones X y XI, del Reglamento del Instituto de Transparencia, Acceso a la</w:t>
      </w:r>
      <w:r>
        <w:rPr>
          <w:rFonts w:ascii="Palatino Linotype" w:eastAsia="Palatino Linotype" w:hAnsi="Palatino Linotype" w:cs="Palatino Linotype"/>
        </w:rPr>
        <w:t xml:space="preserve"> Información Pública y Protección de Datos Personales del Estado de México, la suscrita emite </w:t>
      </w:r>
      <w:r>
        <w:rPr>
          <w:rFonts w:ascii="Palatino Linotype" w:eastAsia="Palatino Linotype" w:hAnsi="Palatino Linotype" w:cs="Palatino Linotype"/>
          <w:b/>
        </w:rPr>
        <w:t xml:space="preserve">VOTO PARTICULAR </w:t>
      </w:r>
      <w:r>
        <w:rPr>
          <w:rFonts w:ascii="Palatino Linotype" w:eastAsia="Palatino Linotype" w:hAnsi="Palatino Linotype" w:cs="Palatino Linotype"/>
        </w:rPr>
        <w:t xml:space="preserve">respecto a la resolución dictada en el recurso de revisión número </w:t>
      </w:r>
      <w:r>
        <w:rPr>
          <w:rFonts w:ascii="Palatino Linotype" w:eastAsia="Palatino Linotype" w:hAnsi="Palatino Linotype" w:cs="Palatino Linotype"/>
          <w:b/>
        </w:rPr>
        <w:t>00145/INFOEM/IP/RR/2023</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pronunciada por el Pleno de este Instituto ante el proy</w:t>
      </w:r>
      <w:r>
        <w:rPr>
          <w:rFonts w:ascii="Palatino Linotype" w:eastAsia="Palatino Linotype" w:hAnsi="Palatino Linotype" w:cs="Palatino Linotype"/>
        </w:rPr>
        <w:t xml:space="preserve">ecto presentado por el </w:t>
      </w:r>
      <w:r>
        <w:rPr>
          <w:rFonts w:ascii="Palatino Linotype" w:eastAsia="Palatino Linotype" w:hAnsi="Palatino Linotype" w:cs="Palatino Linotype"/>
          <w:b/>
        </w:rPr>
        <w:t>Comisionado José Martínez Vilchis</w:t>
      </w:r>
      <w:r>
        <w:rPr>
          <w:rFonts w:ascii="Palatino Linotype" w:eastAsia="Palatino Linotype" w:hAnsi="Palatino Linotype" w:cs="Palatino Linotype"/>
        </w:rPr>
        <w:t>, el cual es al tenor siguiente:</w:t>
      </w:r>
    </w:p>
    <w:p w:rsidR="00354665" w:rsidRDefault="00354665">
      <w:pPr>
        <w:spacing w:after="0" w:line="360" w:lineRule="auto"/>
        <w:jc w:val="both"/>
        <w:rPr>
          <w:rFonts w:ascii="Palatino Linotype" w:eastAsia="Palatino Linotype" w:hAnsi="Palatino Linotype" w:cs="Palatino Linotype"/>
        </w:rPr>
      </w:pPr>
    </w:p>
    <w:p w:rsidR="00354665" w:rsidRDefault="00E128D7">
      <w:pPr>
        <w:numPr>
          <w:ilvl w:val="0"/>
          <w:numId w:val="3"/>
        </w:numPr>
        <w:spacing w:after="0" w:line="360" w:lineRule="auto"/>
        <w:ind w:left="567" w:hanging="141"/>
        <w:jc w:val="both"/>
        <w:rPr>
          <w:rFonts w:ascii="Palatino Linotype" w:eastAsia="Palatino Linotype" w:hAnsi="Palatino Linotype" w:cs="Palatino Linotype"/>
          <w:b/>
        </w:rPr>
      </w:pPr>
      <w:r>
        <w:rPr>
          <w:rFonts w:ascii="Palatino Linotype" w:eastAsia="Palatino Linotype" w:hAnsi="Palatino Linotype" w:cs="Palatino Linotype"/>
          <w:b/>
        </w:rPr>
        <w:t>Antecedentes.</w:t>
      </w:r>
    </w:p>
    <w:p w:rsidR="00354665" w:rsidRDefault="00354665">
      <w:pPr>
        <w:spacing w:after="0" w:line="360" w:lineRule="auto"/>
        <w:ind w:left="567"/>
        <w:jc w:val="both"/>
        <w:rPr>
          <w:rFonts w:ascii="Palatino Linotype" w:eastAsia="Palatino Linotype" w:hAnsi="Palatino Linotype" w:cs="Palatino Linotype"/>
          <w:b/>
        </w:rPr>
      </w:pPr>
    </w:p>
    <w:p w:rsidR="00354665" w:rsidRDefault="00E128D7">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asunto que nos ocupa, la parte Recurrente solicitó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 la siguiente información: </w:t>
      </w:r>
    </w:p>
    <w:p w:rsidR="00354665" w:rsidRDefault="00E128D7">
      <w:pPr>
        <w:spacing w:after="0"/>
        <w:ind w:left="708" w:right="719"/>
        <w:jc w:val="both"/>
        <w:rPr>
          <w:rFonts w:ascii="Palatino Linotype" w:eastAsia="Palatino Linotype" w:hAnsi="Palatino Linotype" w:cs="Palatino Linotype"/>
          <w:i/>
        </w:rPr>
      </w:pPr>
      <w:r>
        <w:rPr>
          <w:rFonts w:ascii="Palatino Linotype" w:eastAsia="Palatino Linotype" w:hAnsi="Palatino Linotype" w:cs="Palatino Linotype"/>
          <w:i/>
        </w:rPr>
        <w:t>“especificar para cada contrat</w:t>
      </w:r>
      <w:r>
        <w:rPr>
          <w:rFonts w:ascii="Palatino Linotype" w:eastAsia="Palatino Linotype" w:hAnsi="Palatino Linotype" w:cs="Palatino Linotype"/>
          <w:i/>
        </w:rPr>
        <w:t>o si se trató de una licitación pública, invitación restringida o adjudicación directa: Contratos de seguros de vida para la adquisición de seguros de vida para el personal de la Policía Municipal de Ecatepec. Contratos para la adquisición o renta de patru</w:t>
      </w:r>
      <w:r>
        <w:rPr>
          <w:rFonts w:ascii="Palatino Linotype" w:eastAsia="Palatino Linotype" w:hAnsi="Palatino Linotype" w:cs="Palatino Linotype"/>
          <w:i/>
        </w:rPr>
        <w:t>llas y vehículos adscritos al personal de la Policía y Seguridad Municipal. Contratos de compra de uniformes a policías municipales. Contratos para la adquisición o renta de armamento y equipamiento de seguridad para el personal de la policía municipal. Co</w:t>
      </w:r>
      <w:r>
        <w:rPr>
          <w:rFonts w:ascii="Palatino Linotype" w:eastAsia="Palatino Linotype" w:hAnsi="Palatino Linotype" w:cs="Palatino Linotype"/>
          <w:i/>
        </w:rPr>
        <w:t xml:space="preserve">ntrato para la adquisición o renta de helicópteros a cargo de la policía municipal Asimismo, se solicita la siguiente información para el </w:t>
      </w:r>
      <w:r>
        <w:rPr>
          <w:rFonts w:ascii="Palatino Linotype" w:eastAsia="Palatino Linotype" w:hAnsi="Palatino Linotype" w:cs="Palatino Linotype"/>
          <w:i/>
        </w:rPr>
        <w:lastRenderedPageBreak/>
        <w:t xml:space="preserve">periodo de tiempo señalado anteriormente: Número de policías totales en activo. Documento que refleje el pago erogado </w:t>
      </w:r>
      <w:r>
        <w:rPr>
          <w:rFonts w:ascii="Palatino Linotype" w:eastAsia="Palatino Linotype" w:hAnsi="Palatino Linotype" w:cs="Palatino Linotype"/>
          <w:i/>
        </w:rPr>
        <w:t>para el personal de la policía y el incremento salarial para el personal durante el mismo periodo. Documentos que prueben la entrega de uniformes al personal de la policía municipal. Número de policías asesinados en el cumplimiento de su deber o con motivo</w:t>
      </w:r>
      <w:r>
        <w:rPr>
          <w:rFonts w:ascii="Palatino Linotype" w:eastAsia="Palatino Linotype" w:hAnsi="Palatino Linotype" w:cs="Palatino Linotype"/>
          <w:i/>
        </w:rPr>
        <w:t xml:space="preserve"> de su labor policiaca. Pruebas documentales tales como pólizas de seguro de vida que de constancia de la entrega del seguro de vida a familiares de policías que fueron asesinados con motivo de su labor policiaca. Capacitación para el personal de la policí</w:t>
      </w:r>
      <w:r>
        <w:rPr>
          <w:rFonts w:ascii="Palatino Linotype" w:eastAsia="Palatino Linotype" w:hAnsi="Palatino Linotype" w:cs="Palatino Linotype"/>
          <w:i/>
        </w:rPr>
        <w:t>a municipal.” (Sic).</w:t>
      </w:r>
    </w:p>
    <w:p w:rsidR="00354665" w:rsidRDefault="00354665">
      <w:pPr>
        <w:spacing w:after="0" w:line="240" w:lineRule="auto"/>
        <w:rPr>
          <w:rFonts w:ascii="Palatino Linotype" w:eastAsia="Palatino Linotype" w:hAnsi="Palatino Linotype" w:cs="Palatino Linotype"/>
        </w:rPr>
      </w:pPr>
    </w:p>
    <w:p w:rsidR="00354665" w:rsidRDefault="00E128D7">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El Sujeto Obligado fue omiso en dar una respuesta a la solicitud de acceso a la información pública. </w:t>
      </w:r>
    </w:p>
    <w:p w:rsidR="00354665" w:rsidRDefault="00E128D7">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El particular se inconformó de lo siguiente:</w:t>
      </w:r>
    </w:p>
    <w:p w:rsidR="00354665" w:rsidRDefault="00E128D7">
      <w:pPr>
        <w:spacing w:after="0"/>
        <w:ind w:left="567" w:right="719"/>
        <w:jc w:val="both"/>
        <w:rPr>
          <w:rFonts w:ascii="Palatino Linotype" w:eastAsia="Palatino Linotype" w:hAnsi="Palatino Linotype" w:cs="Palatino Linotype"/>
          <w:i/>
          <w:sz w:val="24"/>
          <w:szCs w:val="24"/>
        </w:rPr>
      </w:pPr>
      <w:r>
        <w:rPr>
          <w:rFonts w:ascii="Palatino Linotype" w:eastAsia="Palatino Linotype" w:hAnsi="Palatino Linotype" w:cs="Palatino Linotype"/>
          <w:i/>
          <w:sz w:val="24"/>
          <w:szCs w:val="24"/>
        </w:rPr>
        <w:t>“La Unidad de Transparencia del Ayuntamiento de Ecatepec de Morelos no entregó la infor</w:t>
      </w:r>
      <w:r>
        <w:rPr>
          <w:rFonts w:ascii="Palatino Linotype" w:eastAsia="Palatino Linotype" w:hAnsi="Palatino Linotype" w:cs="Palatino Linotype"/>
          <w:i/>
          <w:sz w:val="24"/>
          <w:szCs w:val="24"/>
        </w:rPr>
        <w:t>mación en el plazo establecido en la ley de transparencia local. Tampoco pidió prorroga o algún requerimiento para aclarar la información solicitada. La fecha límite de respuesta concluyó el 16 de diciembre de 2022” (Sic)</w:t>
      </w:r>
    </w:p>
    <w:p w:rsidR="00354665" w:rsidRDefault="00354665">
      <w:pPr>
        <w:spacing w:after="0"/>
        <w:ind w:left="567"/>
        <w:jc w:val="both"/>
        <w:rPr>
          <w:rFonts w:ascii="Palatino Linotype" w:eastAsia="Palatino Linotype" w:hAnsi="Palatino Linotype" w:cs="Palatino Linotype"/>
          <w:i/>
          <w:sz w:val="24"/>
          <w:szCs w:val="24"/>
        </w:rPr>
      </w:pPr>
    </w:p>
    <w:p w:rsidR="00354665" w:rsidRDefault="00E128D7">
      <w:pP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rPr>
        <w:t xml:space="preserve">Ante la notificación del recurso </w:t>
      </w:r>
      <w:r>
        <w:rPr>
          <w:rFonts w:ascii="Palatino Linotype" w:eastAsia="Palatino Linotype" w:hAnsi="Palatino Linotype" w:cs="Palatino Linotype"/>
        </w:rPr>
        <w:t xml:space="preserve">de revisión al Sujeto Obligado, este rindió su informe justificado </w:t>
      </w:r>
      <w:r>
        <w:rPr>
          <w:rFonts w:ascii="Palatino Linotype" w:eastAsia="Palatino Linotype" w:hAnsi="Palatino Linotype" w:cs="Palatino Linotype"/>
          <w:sz w:val="24"/>
          <w:szCs w:val="24"/>
        </w:rPr>
        <w:t>través del Sistema de Acceso a la Información Mexiquense (</w:t>
      </w:r>
      <w:r>
        <w:rPr>
          <w:rFonts w:ascii="Palatino Linotype" w:eastAsia="Palatino Linotype" w:hAnsi="Palatino Linotype" w:cs="Palatino Linotype"/>
          <w:b/>
          <w:sz w:val="24"/>
          <w:szCs w:val="24"/>
        </w:rPr>
        <w:t xml:space="preserve">SAIMEX), mediante </w:t>
      </w:r>
      <w:r>
        <w:rPr>
          <w:rFonts w:ascii="Palatino Linotype" w:eastAsia="Palatino Linotype" w:hAnsi="Palatino Linotype" w:cs="Palatino Linotype"/>
          <w:sz w:val="24"/>
          <w:szCs w:val="24"/>
        </w:rPr>
        <w:t xml:space="preserve">los archivos denominados, </w:t>
      </w:r>
      <w:r>
        <w:rPr>
          <w:rFonts w:ascii="Palatino Linotype" w:eastAsia="Palatino Linotype" w:hAnsi="Palatino Linotype" w:cs="Palatino Linotype"/>
          <w:b/>
          <w:i/>
          <w:sz w:val="24"/>
          <w:szCs w:val="24"/>
        </w:rPr>
        <w:t>“145.pdf”, “943-1-1.pdf”, “943-2.pdf”, “943-1.pdf” y “943-3.pdf”</w:t>
      </w:r>
      <w:r>
        <w:rPr>
          <w:rFonts w:ascii="Palatino Linotype" w:eastAsia="Palatino Linotype" w:hAnsi="Palatino Linotype" w:cs="Palatino Linotype"/>
          <w:i/>
          <w:sz w:val="24"/>
          <w:szCs w:val="24"/>
        </w:rPr>
        <w:t xml:space="preserve">, </w:t>
      </w:r>
      <w:r>
        <w:rPr>
          <w:rFonts w:ascii="Palatino Linotype" w:eastAsia="Palatino Linotype" w:hAnsi="Palatino Linotype" w:cs="Palatino Linotype"/>
          <w:sz w:val="24"/>
          <w:szCs w:val="24"/>
        </w:rPr>
        <w:t>que contiene lo siguiente:</w:t>
      </w:r>
    </w:p>
    <w:p w:rsidR="000C0CB1" w:rsidRDefault="00E128D7" w:rsidP="000C0CB1">
      <w:pPr>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sz w:val="24"/>
          <w:szCs w:val="24"/>
        </w:rPr>
        <w:t xml:space="preserve"> </w:t>
      </w:r>
      <w:r>
        <w:rPr>
          <w:rFonts w:ascii="Palatino Linotype" w:eastAsia="Palatino Linotype" w:hAnsi="Palatino Linotype" w:cs="Palatino Linotype"/>
          <w:sz w:val="28"/>
          <w:szCs w:val="28"/>
        </w:rPr>
        <w:t>·</w:t>
      </w:r>
      <w:r>
        <w:rPr>
          <w:rFonts w:ascii="Times New Roman" w:eastAsia="Times New Roman" w:hAnsi="Times New Roman" w:cs="Times New Roman"/>
          <w:sz w:val="14"/>
          <w:szCs w:val="14"/>
        </w:rPr>
        <w:t xml:space="preserve">        </w:t>
      </w:r>
      <w:r w:rsidR="000C0CB1">
        <w:rPr>
          <w:rFonts w:ascii="Palatino Linotype" w:eastAsia="Palatino Linotype" w:hAnsi="Palatino Linotype" w:cs="Palatino Linotype"/>
          <w:b/>
        </w:rPr>
        <w:t>Respuesta</w:t>
      </w:r>
      <w:r>
        <w:rPr>
          <w:rFonts w:ascii="Palatino Linotype" w:eastAsia="Palatino Linotype" w:hAnsi="Palatino Linotype" w:cs="Palatino Linotype"/>
          <w:b/>
        </w:rPr>
        <w:t xml:space="preserve"> de solicitud 1172-22.pdf</w:t>
      </w:r>
      <w:r>
        <w:rPr>
          <w:rFonts w:ascii="Palatino Linotype" w:eastAsia="Palatino Linotype" w:hAnsi="Palatino Linotype" w:cs="Palatino Linotype"/>
        </w:rPr>
        <w:t>: Documento constante en cuatro (4) fojas, que consta de los siguientes oficios:</w:t>
      </w:r>
    </w:p>
    <w:p w:rsidR="00354665" w:rsidRDefault="00E128D7" w:rsidP="000C0CB1">
      <w:pPr>
        <w:spacing w:before="240"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rPr>
        <w:t>Oficio de fecha veinticuatro de enero de dos mil veintitrés, a través del cual la Titular de la Unidad de Transparencia, informó al solicitante que anexa la respuesta emitida por la Dirección de Seguridad Pública y Tránsito y Dirección de Recursos Humanos.</w:t>
      </w:r>
    </w:p>
    <w:p w:rsidR="00354665" w:rsidRDefault="00E128D7"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rPr>
        <w:t>Oficio número DA/ECA/SRH/DEyCP/0196/2023, de fecha veintitrés de enero de dos mil veintitrés, a través del cual la Subdirectora de Recursos Humanos informó a la Titular de la Unidad de Transparencia, que se adjunta en medió electrónico, los rec</w:t>
      </w:r>
      <w:r>
        <w:rPr>
          <w:rFonts w:ascii="Palatino Linotype" w:eastAsia="Palatino Linotype" w:hAnsi="Palatino Linotype" w:cs="Palatino Linotype"/>
        </w:rPr>
        <w:t>ibos de nómina en versión pública del personal con categoría de policía, en el que se refleja su sueldo quincenal y su correspondiente incremento salarial otorgado en el periodo indicado; así mismo señaló que después de realizar una búsqueda en los archivo</w:t>
      </w:r>
      <w:r>
        <w:rPr>
          <w:rFonts w:ascii="Palatino Linotype" w:eastAsia="Palatino Linotype" w:hAnsi="Palatino Linotype" w:cs="Palatino Linotype"/>
        </w:rPr>
        <w:t>s de esa Subdirección, no se encontró registro alguno de que haya fallecido algún policía en cumplimiento de su deber o con motivo de su labor policíaca en el periodo requerido, por lo cual no se encuentra documental relativa a la entrega de seguro de vida</w:t>
      </w:r>
      <w:r>
        <w:rPr>
          <w:rFonts w:ascii="Palatino Linotype" w:eastAsia="Palatino Linotype" w:hAnsi="Palatino Linotype" w:cs="Palatino Linotype"/>
        </w:rPr>
        <w:t xml:space="preserve"> por las condiciones referidas.</w:t>
      </w:r>
    </w:p>
    <w:p w:rsidR="00354665" w:rsidRDefault="00E128D7"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Pr>
          <w:rFonts w:ascii="Times New Roman" w:eastAsia="Times New Roman" w:hAnsi="Times New Roman" w:cs="Times New Roman"/>
          <w:sz w:val="14"/>
          <w:szCs w:val="14"/>
        </w:rPr>
        <w:t xml:space="preserve">          </w:t>
      </w:r>
      <w:r>
        <w:rPr>
          <w:rFonts w:ascii="Palatino Linotype" w:eastAsia="Palatino Linotype" w:hAnsi="Palatino Linotype" w:cs="Palatino Linotype"/>
        </w:rPr>
        <w:t>Oficio número DSPYT/ECA/0304/2023, de fecha dieciocho de enero de dos mil veintitrés, a través del cual el Director de Seguridad Pública y Tránsito informó a la Titular de la Unidad de Transparencia, lo siguiente:</w:t>
      </w:r>
    </w:p>
    <w:p w:rsidR="00354665" w:rsidRDefault="000C0CB1"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00E128D7">
        <w:rPr>
          <w:rFonts w:ascii="Palatino Linotype" w:eastAsia="Palatino Linotype" w:hAnsi="Palatino Linotype" w:cs="Palatino Linotype"/>
        </w:rPr>
        <w:t xml:space="preserve"> Cuenta con 2517 policías activos a la fecha del presente oficio, enfatizando que la cantidad exacta a una fecha determinada no se puede proporcionar toda vez que la base de datos se actualiza diariamente.</w:t>
      </w:r>
    </w:p>
    <w:p w:rsidR="00354665" w:rsidRDefault="000C0CB1"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00E128D7">
        <w:rPr>
          <w:rFonts w:ascii="Palatino Linotype" w:eastAsia="Palatino Linotype" w:hAnsi="Palatino Linotype" w:cs="Palatino Linotype"/>
        </w:rPr>
        <w:t xml:space="preserve"> En la base de datos con la que cuenta Segurida</w:t>
      </w:r>
      <w:r w:rsidR="00E128D7">
        <w:rPr>
          <w:rFonts w:ascii="Palatino Linotype" w:eastAsia="Palatino Linotype" w:hAnsi="Palatino Linotype" w:cs="Palatino Linotype"/>
        </w:rPr>
        <w:t>d Pública no existe registro de algún fallecimiento ya sea de civil o servidor público por causa de enfrentamiento con la delincuencia.</w:t>
      </w:r>
    </w:p>
    <w:p w:rsidR="00354665" w:rsidRDefault="000C0CB1"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w:t>
      </w:r>
      <w:r w:rsidR="00E128D7">
        <w:rPr>
          <w:rFonts w:ascii="Palatino Linotype" w:eastAsia="Palatino Linotype" w:hAnsi="Palatino Linotype" w:cs="Palatino Linotype"/>
        </w:rPr>
        <w:t xml:space="preserve"> Enlisto dieciocho (18) talleres y cursos en los que se ha capacitado al personal de seguridad pública.</w:t>
      </w:r>
    </w:p>
    <w:p w:rsidR="00354665" w:rsidRDefault="000C0CB1"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00E128D7">
        <w:rPr>
          <w:rFonts w:ascii="Palatino Linotype" w:eastAsia="Palatino Linotype" w:hAnsi="Palatino Linotype" w:cs="Palatino Linotype"/>
        </w:rPr>
        <w:t xml:space="preserve"> Durante el do</w:t>
      </w:r>
      <w:r w:rsidR="00E128D7">
        <w:rPr>
          <w:rFonts w:ascii="Palatino Linotype" w:eastAsia="Palatino Linotype" w:hAnsi="Palatino Linotype" w:cs="Palatino Linotype"/>
        </w:rPr>
        <w:t>s mil veintidós se realizó un incremento del 6% en los sueldos de los Servidores Públicos Municipales, el cual se reflejó en la quincena del treinta de mayo del dos mil veintidós.</w:t>
      </w:r>
    </w:p>
    <w:p w:rsidR="00354665" w:rsidRDefault="000C0CB1"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r w:rsidR="00E128D7">
        <w:rPr>
          <w:rFonts w:ascii="Palatino Linotype" w:eastAsia="Palatino Linotype" w:hAnsi="Palatino Linotype" w:cs="Palatino Linotype"/>
        </w:rPr>
        <w:t xml:space="preserve"> No se cuenta con ningún contrato en la Dirección de Seguridad Pública, sol</w:t>
      </w:r>
      <w:r w:rsidR="00E128D7">
        <w:rPr>
          <w:rFonts w:ascii="Palatino Linotype" w:eastAsia="Palatino Linotype" w:hAnsi="Palatino Linotype" w:cs="Palatino Linotype"/>
        </w:rPr>
        <w:t>icitando se requiera al área de Tesorería.</w:t>
      </w:r>
    </w:p>
    <w:p w:rsidR="00354665" w:rsidRDefault="000C0CB1" w:rsidP="000C0CB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sz w:val="28"/>
          <w:szCs w:val="28"/>
        </w:rPr>
        <w:t>-</w:t>
      </w:r>
      <w:r w:rsidR="00E128D7">
        <w:rPr>
          <w:rFonts w:ascii="Times New Roman" w:eastAsia="Times New Roman" w:hAnsi="Times New Roman" w:cs="Times New Roman"/>
          <w:sz w:val="14"/>
          <w:szCs w:val="14"/>
        </w:rPr>
        <w:t xml:space="preserve">  </w:t>
      </w:r>
      <w:r w:rsidR="00E128D7">
        <w:rPr>
          <w:rFonts w:ascii="Palatino Linotype" w:eastAsia="Palatino Linotype" w:hAnsi="Palatino Linotype" w:cs="Palatino Linotype"/>
          <w:b/>
        </w:rPr>
        <w:t>943-1-1.pdf</w:t>
      </w:r>
      <w:r w:rsidR="00E128D7">
        <w:rPr>
          <w:rFonts w:ascii="Palatino Linotype" w:eastAsia="Palatino Linotype" w:hAnsi="Palatino Linotype" w:cs="Palatino Linotype"/>
        </w:rPr>
        <w:t>: Consistente en versión pública de once recibos de nómina de elemento de seguridad pública, correspondiente al año dos mil diecinueve: primera quincena de enero, julio y segunda quincena de d</w:t>
      </w:r>
      <w:r w:rsidR="00E128D7">
        <w:rPr>
          <w:rFonts w:ascii="Palatino Linotype" w:eastAsia="Palatino Linotype" w:hAnsi="Palatino Linotype" w:cs="Palatino Linotype"/>
        </w:rPr>
        <w:t>iciembre; de dos mil veinte: primera quincena de enero, segunda quincena de junio y diciembre;  de dos mil veintiuno: primera quincena de enero y segunda quincena de diciembre; de dos mil veintidós primera quincena de enero, segunda quincena de mayo y dici</w:t>
      </w:r>
      <w:r w:rsidR="00E128D7">
        <w:rPr>
          <w:rFonts w:ascii="Palatino Linotype" w:eastAsia="Palatino Linotype" w:hAnsi="Palatino Linotype" w:cs="Palatino Linotype"/>
        </w:rPr>
        <w:t>embre, en los cuales se advierte el nombre y categoría del servidor público, por tal motivo no se pusieron a la vista del Recurrente, asimismo se advierten testados cadenas y sellos digitales los cuales son datos públicos.</w:t>
      </w:r>
    </w:p>
    <w:p w:rsidR="00354665" w:rsidRDefault="000C0CB1" w:rsidP="000C0CB1">
      <w:pPr>
        <w:spacing w:before="240" w:after="240" w:line="360" w:lineRule="auto"/>
        <w:jc w:val="both"/>
        <w:rPr>
          <w:rFonts w:ascii="Palatino Linotype" w:eastAsia="Palatino Linotype" w:hAnsi="Palatino Linotype" w:cs="Palatino Linotype"/>
          <w:b/>
          <w:sz w:val="28"/>
          <w:szCs w:val="28"/>
        </w:rPr>
      </w:pPr>
      <w:r>
        <w:rPr>
          <w:rFonts w:ascii="Times New Roman" w:eastAsia="Times New Roman" w:hAnsi="Times New Roman" w:cs="Times New Roman"/>
          <w:sz w:val="14"/>
          <w:szCs w:val="14"/>
        </w:rPr>
        <w:t>-</w:t>
      </w:r>
      <w:r w:rsidR="00E128D7">
        <w:rPr>
          <w:rFonts w:ascii="Palatino Linotype" w:eastAsia="Palatino Linotype" w:hAnsi="Palatino Linotype" w:cs="Palatino Linotype"/>
          <w:b/>
        </w:rPr>
        <w:t>943-2.pdf</w:t>
      </w:r>
      <w:r w:rsidR="00E128D7">
        <w:rPr>
          <w:rFonts w:ascii="Palatino Linotype" w:eastAsia="Palatino Linotype" w:hAnsi="Palatino Linotype" w:cs="Palatino Linotype"/>
        </w:rPr>
        <w:t xml:space="preserve">: Consistente en versión pública de once recibos de nómina de elemento de seguridad pública, correspondiente al año dos mil diecinueve: primera quincena de enero, julio y segunda quincena de diciembre; de dos mil veinte: primera quincena de enero, segunda </w:t>
      </w:r>
      <w:r w:rsidR="00E128D7">
        <w:rPr>
          <w:rFonts w:ascii="Palatino Linotype" w:eastAsia="Palatino Linotype" w:hAnsi="Palatino Linotype" w:cs="Palatino Linotype"/>
        </w:rPr>
        <w:t>quincena de junio y diciembre;  de dos mil veintiuno: primera quincena de enero y segunda quincena de diciembre; de dos mil veintidós primera quincena de enero, segunda quincena de mayo y diciembre, en los cuales se advierte el nombre y categoría del servi</w:t>
      </w:r>
      <w:r w:rsidR="00E128D7">
        <w:rPr>
          <w:rFonts w:ascii="Palatino Linotype" w:eastAsia="Palatino Linotype" w:hAnsi="Palatino Linotype" w:cs="Palatino Linotype"/>
        </w:rPr>
        <w:t xml:space="preserve">dor </w:t>
      </w:r>
      <w:r w:rsidR="00E128D7">
        <w:rPr>
          <w:rFonts w:ascii="Palatino Linotype" w:eastAsia="Palatino Linotype" w:hAnsi="Palatino Linotype" w:cs="Palatino Linotype"/>
        </w:rPr>
        <w:lastRenderedPageBreak/>
        <w:t>público, por tal motivo no se pusieron a la vista del Recurrente, asimismo se advierten testados cadenas y sellos digitales los cuales son datos públicos.</w:t>
      </w:r>
      <w:r w:rsidR="00E128D7">
        <w:rPr>
          <w:rFonts w:ascii="Palatino Linotype" w:eastAsia="Palatino Linotype" w:hAnsi="Palatino Linotype" w:cs="Palatino Linotype"/>
          <w:b/>
          <w:sz w:val="28"/>
          <w:szCs w:val="28"/>
        </w:rPr>
        <w:t xml:space="preserve"> </w:t>
      </w:r>
    </w:p>
    <w:p w:rsidR="000C0CB1" w:rsidRDefault="000C0CB1" w:rsidP="000C0CB1">
      <w:pPr>
        <w:spacing w:before="240" w:after="240" w:line="360" w:lineRule="auto"/>
        <w:contextualSpacing/>
        <w:jc w:val="both"/>
        <w:rPr>
          <w:rFonts w:ascii="Palatino Linotype" w:eastAsia="Palatino Linotype" w:hAnsi="Palatino Linotype" w:cs="Palatino Linotype"/>
          <w:b/>
          <w:sz w:val="28"/>
          <w:szCs w:val="28"/>
        </w:rPr>
      </w:pPr>
      <w:r>
        <w:rPr>
          <w:rFonts w:ascii="Palatino Linotype" w:eastAsia="Palatino Linotype" w:hAnsi="Palatino Linotype" w:cs="Palatino Linotype"/>
          <w:sz w:val="28"/>
          <w:szCs w:val="28"/>
        </w:rPr>
        <w:t>-</w:t>
      </w:r>
      <w:r w:rsidR="00E128D7">
        <w:rPr>
          <w:rFonts w:ascii="Palatino Linotype" w:eastAsia="Palatino Linotype" w:hAnsi="Palatino Linotype" w:cs="Palatino Linotype"/>
          <w:b/>
        </w:rPr>
        <w:t>943-1.pdf</w:t>
      </w:r>
      <w:r w:rsidR="00E128D7">
        <w:rPr>
          <w:rFonts w:ascii="Palatino Linotype" w:eastAsia="Palatino Linotype" w:hAnsi="Palatino Linotype" w:cs="Palatino Linotype"/>
        </w:rPr>
        <w:t>: Consistente en versión pública de once recibos de nómina de elemento de segu</w:t>
      </w:r>
      <w:r w:rsidR="00E128D7">
        <w:rPr>
          <w:rFonts w:ascii="Palatino Linotype" w:eastAsia="Palatino Linotype" w:hAnsi="Palatino Linotype" w:cs="Palatino Linotype"/>
        </w:rPr>
        <w:t>ridad pública, correspondiente al año dos mil diecinueve: primera quincena de enero, julio y segunda quincena de diciembre; de dos mil veinte: primera quincena de enero, segunda quincena de junio y diciembre;  de dos mil veintiuno: primera quincena de ener</w:t>
      </w:r>
      <w:r w:rsidR="00E128D7">
        <w:rPr>
          <w:rFonts w:ascii="Palatino Linotype" w:eastAsia="Palatino Linotype" w:hAnsi="Palatino Linotype" w:cs="Palatino Linotype"/>
        </w:rPr>
        <w:t>o y segunda quincena de diciembre; de dos mil veintidós primera quincena de enero, segunda quincena de mayo y diciembre, en los cuales se advierte el nombre y categoría del servidor público, por tal motivo no se pusieron a la vista del Recurrente, asimismo</w:t>
      </w:r>
      <w:r w:rsidR="00E128D7">
        <w:rPr>
          <w:rFonts w:ascii="Palatino Linotype" w:eastAsia="Palatino Linotype" w:hAnsi="Palatino Linotype" w:cs="Palatino Linotype"/>
        </w:rPr>
        <w:t xml:space="preserve"> se advierten testados cadenas y sellos digitales los cuales son datos públicos.</w:t>
      </w:r>
      <w:r w:rsidR="00E128D7">
        <w:rPr>
          <w:rFonts w:ascii="Palatino Linotype" w:eastAsia="Palatino Linotype" w:hAnsi="Palatino Linotype" w:cs="Palatino Linotype"/>
          <w:b/>
          <w:sz w:val="28"/>
          <w:szCs w:val="28"/>
        </w:rPr>
        <w:t xml:space="preserve"> </w:t>
      </w:r>
    </w:p>
    <w:p w:rsidR="000C0CB1" w:rsidRDefault="000C0CB1" w:rsidP="000C0CB1">
      <w:pPr>
        <w:spacing w:before="240" w:after="240" w:line="360" w:lineRule="auto"/>
        <w:contextualSpacing/>
        <w:jc w:val="both"/>
        <w:rPr>
          <w:rFonts w:ascii="Palatino Linotype" w:eastAsia="Palatino Linotype" w:hAnsi="Palatino Linotype" w:cs="Palatino Linotype"/>
          <w:b/>
          <w:sz w:val="28"/>
          <w:szCs w:val="28"/>
        </w:rPr>
      </w:pPr>
    </w:p>
    <w:p w:rsidR="00354665" w:rsidRDefault="000C0CB1" w:rsidP="000C0CB1">
      <w:pPr>
        <w:spacing w:before="240" w:after="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sz w:val="28"/>
          <w:szCs w:val="28"/>
        </w:rPr>
        <w:t>-</w:t>
      </w:r>
      <w:r w:rsidR="00E128D7">
        <w:rPr>
          <w:rFonts w:ascii="Palatino Linotype" w:eastAsia="Palatino Linotype" w:hAnsi="Palatino Linotype" w:cs="Palatino Linotype"/>
          <w:b/>
        </w:rPr>
        <w:t>943-3.pdf</w:t>
      </w:r>
      <w:r w:rsidR="00E128D7">
        <w:rPr>
          <w:rFonts w:ascii="Palatino Linotype" w:eastAsia="Palatino Linotype" w:hAnsi="Palatino Linotype" w:cs="Palatino Linotype"/>
        </w:rPr>
        <w:t xml:space="preserve">: Consistente en versión pública de once recibos de nómina de elemento de seguridad pública, correspondiente al año dos mil diecinueve: primera quincena de </w:t>
      </w:r>
      <w:r w:rsidR="00E128D7">
        <w:rPr>
          <w:rFonts w:ascii="Palatino Linotype" w:eastAsia="Palatino Linotype" w:hAnsi="Palatino Linotype" w:cs="Palatino Linotype"/>
        </w:rPr>
        <w:t>enero, julio y segunda quincena de diciembre; de dos mil veinte: primera quincena de enero, segunda quincena de junio y diciembre;  de dos mil veintiuno: primera quincena de enero y segunda quincena de diciembre; de dos mil veintidós primera quincena de en</w:t>
      </w:r>
      <w:r w:rsidR="00E128D7">
        <w:rPr>
          <w:rFonts w:ascii="Palatino Linotype" w:eastAsia="Palatino Linotype" w:hAnsi="Palatino Linotype" w:cs="Palatino Linotype"/>
        </w:rPr>
        <w:t>ero, segunda quincena de mayo y diciembre, en los cuales se advierte el nombre y categoría del servidor público, por tal motivo no se pusieron a la vista del Recurrente, asimismo se advierten testados cadenas y sellos digitales los cuales son datos público</w:t>
      </w:r>
      <w:r w:rsidR="00E128D7">
        <w:rPr>
          <w:rFonts w:ascii="Palatino Linotype" w:eastAsia="Palatino Linotype" w:hAnsi="Palatino Linotype" w:cs="Palatino Linotype"/>
        </w:rPr>
        <w:t>s.</w:t>
      </w:r>
    </w:p>
    <w:p w:rsidR="000C0CB1" w:rsidRPr="000C0CB1" w:rsidRDefault="000C0CB1" w:rsidP="000C0CB1">
      <w:pPr>
        <w:spacing w:before="240" w:after="240" w:line="360" w:lineRule="auto"/>
        <w:contextualSpacing/>
        <w:jc w:val="both"/>
        <w:rPr>
          <w:rFonts w:ascii="Palatino Linotype" w:eastAsia="Palatino Linotype" w:hAnsi="Palatino Linotype" w:cs="Palatino Linotype"/>
          <w:b/>
          <w:sz w:val="28"/>
          <w:szCs w:val="28"/>
        </w:rPr>
      </w:pPr>
    </w:p>
    <w:p w:rsidR="00354665" w:rsidRDefault="00E128D7">
      <w:pP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Así las cosas, la ponencia resolutora una vez analizadas las constancias que obran en el expediente electrónico del SAIMEX, determina que los motivos de inconformidad de la parte </w:t>
      </w:r>
      <w:r>
        <w:rPr>
          <w:rFonts w:ascii="Palatino Linotype" w:eastAsia="Palatino Linotype" w:hAnsi="Palatino Linotype" w:cs="Palatino Linotype"/>
        </w:rPr>
        <w:lastRenderedPageBreak/>
        <w:t xml:space="preserve">Recurrente son fundados, por lo que ordena la entrega en versión pública, </w:t>
      </w:r>
      <w:r>
        <w:rPr>
          <w:rFonts w:ascii="Palatino Linotype" w:eastAsia="Palatino Linotype" w:hAnsi="Palatino Linotype" w:cs="Palatino Linotype"/>
        </w:rPr>
        <w:t>de la siguiente información:</w:t>
      </w:r>
    </w:p>
    <w:p w:rsidR="00354665" w:rsidRDefault="00E128D7">
      <w:pPr>
        <w:spacing w:after="0" w:line="360" w:lineRule="auto"/>
        <w:jc w:val="both"/>
        <w:rPr>
          <w:rFonts w:ascii="Palatino Linotype" w:eastAsia="Palatino Linotype" w:hAnsi="Palatino Linotype" w:cs="Palatino Linotype"/>
        </w:rPr>
      </w:pPr>
      <w:bookmarkStart w:id="1" w:name="_heading=h.3hestacsg4px" w:colFirst="0" w:colLast="0"/>
      <w:bookmarkEnd w:id="1"/>
      <w:r>
        <w:rPr>
          <w:rFonts w:ascii="Palatino Linotype" w:eastAsia="Palatino Linotype" w:hAnsi="Palatino Linotype" w:cs="Palatino Linotype"/>
        </w:rPr>
        <w:t>Del periodo del primero de enero de dos mil diecinueve al treinta y uno de octubre de dos mil veintidós, la versión pública de la siguiente información, especificando para cada contrato si se trató de una licitación pública, in</w:t>
      </w:r>
      <w:r>
        <w:rPr>
          <w:rFonts w:ascii="Palatino Linotype" w:eastAsia="Palatino Linotype" w:hAnsi="Palatino Linotype" w:cs="Palatino Linotype"/>
        </w:rPr>
        <w:t>vitación restringida o adjudicación directa:</w:t>
      </w:r>
    </w:p>
    <w:p w:rsidR="00354665" w:rsidRDefault="00354665">
      <w:pPr>
        <w:spacing w:after="0" w:line="360" w:lineRule="auto"/>
        <w:jc w:val="both"/>
        <w:rPr>
          <w:rFonts w:ascii="Palatino Linotype" w:eastAsia="Palatino Linotype" w:hAnsi="Palatino Linotype" w:cs="Palatino Linotype"/>
        </w:rPr>
      </w:pPr>
    </w:p>
    <w:p w:rsidR="00354665"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Contratos de seguros de vida para el personal de la Dirección de Seguridad Pública y Tránsito de Ecatepec.</w:t>
      </w:r>
    </w:p>
    <w:p w:rsidR="00354665"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Contratos para la adquisición o renta de patrullas y vehículos para el personal de la Dirección de Seguridad Pública y Tránsito.</w:t>
      </w:r>
    </w:p>
    <w:p w:rsidR="00354665"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Contratos de compra de uniformes para el personal de la Dirección de Seguridad Pública y Tránsito.</w:t>
      </w:r>
    </w:p>
    <w:p w:rsidR="00354665"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Contratos para la adquisició</w:t>
      </w:r>
      <w:r>
        <w:rPr>
          <w:rFonts w:ascii="Palatino Linotype" w:eastAsia="Palatino Linotype" w:hAnsi="Palatino Linotype" w:cs="Palatino Linotype"/>
          <w:color w:val="000000"/>
        </w:rPr>
        <w:t xml:space="preserve">n o renta de armamento y equipamiento de </w:t>
      </w:r>
      <w:r>
        <w:rPr>
          <w:rFonts w:ascii="Palatino Linotype" w:eastAsia="Palatino Linotype" w:hAnsi="Palatino Linotype" w:cs="Palatino Linotype"/>
        </w:rPr>
        <w:t>seguridad para el personal</w:t>
      </w:r>
      <w:r>
        <w:rPr>
          <w:rFonts w:ascii="Palatino Linotype" w:eastAsia="Palatino Linotype" w:hAnsi="Palatino Linotype" w:cs="Palatino Linotype"/>
          <w:color w:val="000000"/>
        </w:rPr>
        <w:t xml:space="preserve"> de la Dirección de Seguridad Pública y Tránsito.</w:t>
      </w:r>
    </w:p>
    <w:p w:rsidR="00354665"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Contrato para la adquisición o renta de helicópteros del personal de la Dirección de Seguridad Pública y Tránsito.</w:t>
      </w:r>
    </w:p>
    <w:p w:rsidR="00354665" w:rsidRPr="000C0CB1"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b/>
          <w:color w:val="000000"/>
        </w:rPr>
      </w:pPr>
      <w:r w:rsidRPr="000C0CB1">
        <w:rPr>
          <w:rFonts w:ascii="Palatino Linotype" w:eastAsia="Palatino Linotype" w:hAnsi="Palatino Linotype" w:cs="Palatino Linotype"/>
          <w:b/>
          <w:color w:val="000000"/>
        </w:rPr>
        <w:t>Documento que refleje el</w:t>
      </w:r>
      <w:r w:rsidRPr="000C0CB1">
        <w:rPr>
          <w:rFonts w:ascii="Palatino Linotype" w:eastAsia="Palatino Linotype" w:hAnsi="Palatino Linotype" w:cs="Palatino Linotype"/>
          <w:b/>
          <w:color w:val="000000"/>
        </w:rPr>
        <w:t xml:space="preserve"> pago erogado para el personal de la policía y el incremento salarial, remitido en informe, en su correcta versión pública. </w:t>
      </w:r>
    </w:p>
    <w:p w:rsidR="00354665" w:rsidRDefault="00E128D7">
      <w:pPr>
        <w:numPr>
          <w:ilvl w:val="0"/>
          <w:numId w:val="2"/>
        </w:num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Documentos que comprueben la entrega de uniformes para el personal de la Dirección de Seguridad Pública y Tránsito.</w:t>
      </w:r>
    </w:p>
    <w:p w:rsidR="00354665" w:rsidRDefault="00354665">
      <w:pPr>
        <w:pBdr>
          <w:top w:val="nil"/>
          <w:left w:val="nil"/>
          <w:bottom w:val="nil"/>
          <w:right w:val="nil"/>
          <w:between w:val="nil"/>
        </w:pBdr>
        <w:spacing w:after="120" w:line="360" w:lineRule="auto"/>
        <w:jc w:val="both"/>
        <w:rPr>
          <w:rFonts w:ascii="Palatino Linotype" w:eastAsia="Palatino Linotype" w:hAnsi="Palatino Linotype" w:cs="Palatino Linotype"/>
          <w:b/>
        </w:rPr>
      </w:pP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Razones del Voto Particular.</w:t>
      </w:r>
    </w:p>
    <w:p w:rsidR="00354665" w:rsidRDefault="00E128D7">
      <w:pPr>
        <w:pBdr>
          <w:top w:val="nil"/>
          <w:left w:val="nil"/>
          <w:bottom w:val="nil"/>
          <w:right w:val="nil"/>
          <w:between w:val="nil"/>
        </w:pBdr>
        <w:spacing w:after="0" w:line="360" w:lineRule="auto"/>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color w:val="000000"/>
        </w:rPr>
        <w:lastRenderedPageBreak/>
        <w:t>En este orden de ideas, resulta importante señalar que coincido con los términos generales planteados en la Resolución</w:t>
      </w:r>
      <w:r w:rsidR="000C0CB1">
        <w:rPr>
          <w:rFonts w:ascii="Palatino Linotype" w:eastAsia="Palatino Linotype" w:hAnsi="Palatino Linotype" w:cs="Palatino Linotype"/>
          <w:color w:val="000000"/>
        </w:rPr>
        <w:t>; sin embargo, para</w:t>
      </w:r>
      <w:r>
        <w:rPr>
          <w:rFonts w:ascii="Palatino Linotype" w:eastAsia="Palatino Linotype" w:hAnsi="Palatino Linotype" w:cs="Palatino Linotype"/>
          <w:color w:val="000000"/>
        </w:rPr>
        <w:t xml:space="preserve"> el caso del pago erogado para el personal de la policía y el i</w:t>
      </w:r>
      <w:r w:rsidR="000C0CB1">
        <w:rPr>
          <w:rFonts w:ascii="Palatino Linotype" w:eastAsia="Palatino Linotype" w:hAnsi="Palatino Linotype" w:cs="Palatino Linotype"/>
          <w:color w:val="000000"/>
        </w:rPr>
        <w:t xml:space="preserve">ncremento salarial, </w:t>
      </w:r>
      <w:r w:rsidR="000C0CB1" w:rsidRPr="000C0CB1">
        <w:rPr>
          <w:rFonts w:ascii="Palatino Linotype" w:eastAsia="Palatino Linotype" w:hAnsi="Palatino Linotype" w:cs="Palatino Linotype"/>
          <w:color w:val="000000"/>
        </w:rPr>
        <w:t>del</w:t>
      </w:r>
      <w:r w:rsidRPr="000C0CB1">
        <w:rPr>
          <w:rFonts w:ascii="Palatino Linotype" w:eastAsia="Palatino Linotype" w:hAnsi="Palatino Linotype" w:cs="Palatino Linotype"/>
          <w:color w:val="000000"/>
        </w:rPr>
        <w:t xml:space="preserve"> personal que se encuentra adscrito a instituciones de seguridad pública con funciones operativas</w:t>
      </w:r>
      <w:r w:rsidR="000C0CB1">
        <w:rPr>
          <w:rFonts w:ascii="Palatino Linotype" w:eastAsia="Palatino Linotype" w:hAnsi="Palatino Linotype" w:cs="Palatino Linotype"/>
          <w:color w:val="000000"/>
        </w:rPr>
        <w:t>, no coincido</w:t>
      </w:r>
      <w:r w:rsidRPr="000C0CB1">
        <w:rPr>
          <w:rFonts w:ascii="Palatino Linotype" w:eastAsia="Palatino Linotype" w:hAnsi="Palatino Linotype" w:cs="Palatino Linotype"/>
          <w:color w:val="000000"/>
        </w:rPr>
        <w:t xml:space="preserve"> en atención a los consideraciones </w:t>
      </w:r>
      <w:r w:rsidR="000C0CB1">
        <w:rPr>
          <w:rFonts w:ascii="Palatino Linotype" w:eastAsia="Palatino Linotype" w:hAnsi="Palatino Linotype" w:cs="Palatino Linotype"/>
          <w:color w:val="000000"/>
        </w:rPr>
        <w:t>que a continuación se exponen:</w:t>
      </w:r>
    </w:p>
    <w:p w:rsidR="00354665" w:rsidRDefault="0035466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354665" w:rsidRDefault="00E128D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Sobre este punto, debemos partir desde la máxima establecida en nuestro texto Constitucional Federal pues el artículo 21 en su párrafo noveno reconoce que la seguridad pública es una función del Estado a cargo de la Federación, las Entidades Federativas y </w:t>
      </w:r>
      <w:r>
        <w:rPr>
          <w:rFonts w:ascii="Palatino Linotype" w:eastAsia="Palatino Linotype" w:hAnsi="Palatino Linotype" w:cs="Palatino Linotype"/>
          <w:b/>
          <w:color w:val="000000"/>
        </w:rPr>
        <w:t>los Municipios</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cuyos fines son salvaguardar la vida, las libertades, la integridad y el patrimonio de las personas, así como contribuir a la generación y preservación del orden público y la paz social</w:t>
      </w:r>
      <w:r>
        <w:rPr>
          <w:rFonts w:ascii="Palatino Linotype" w:eastAsia="Palatino Linotype" w:hAnsi="Palatino Linotype" w:cs="Palatino Linotype"/>
          <w:color w:val="000000"/>
        </w:rPr>
        <w:t>. Asimismo señala que la actuación de las instituciones de seguridad pública se regirá por los principios de legalidad, objetividad, eficiencia, profesionalismo, honradez y respeto a los derechos humanos.</w:t>
      </w:r>
    </w:p>
    <w:p w:rsidR="00354665" w:rsidRDefault="00354665">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p>
    <w:p w:rsidR="00354665" w:rsidRDefault="00E128D7">
      <w:pPr>
        <w:pBdr>
          <w:top w:val="nil"/>
          <w:left w:val="nil"/>
          <w:bottom w:val="nil"/>
          <w:right w:val="nil"/>
          <w:between w:val="nil"/>
        </w:pBdr>
        <w:spacing w:after="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Dicha circunstancia es replicada por la Ley de Seg</w:t>
      </w:r>
      <w:r>
        <w:rPr>
          <w:rFonts w:ascii="Palatino Linotype" w:eastAsia="Palatino Linotype" w:hAnsi="Palatino Linotype" w:cs="Palatino Linotype"/>
          <w:color w:val="000000"/>
        </w:rPr>
        <w:t>uridad del Estado de México en su artículo 1, fracciones II, III y V, las cuales señalan que dicho ordenamiento es de orden público, de interés social y de observancia general en todo el territorio del Estado de México y tiene por objeto establecer las bas</w:t>
      </w:r>
      <w:r>
        <w:rPr>
          <w:rFonts w:ascii="Palatino Linotype" w:eastAsia="Palatino Linotype" w:hAnsi="Palatino Linotype" w:cs="Palatino Linotype"/>
          <w:color w:val="000000"/>
        </w:rPr>
        <w:t>es de coordinación del Estado y los Municipios con la Federación, las Entidades Federativas, Municipios y Alcaldías de la Ciudad de México; integrar el Sistema Estatal de Seguridad Pública, que a su vez contribuirá con el Sistema Nacional de Seguridad Públ</w:t>
      </w:r>
      <w:r>
        <w:rPr>
          <w:rFonts w:ascii="Palatino Linotype" w:eastAsia="Palatino Linotype" w:hAnsi="Palatino Linotype" w:cs="Palatino Linotype"/>
          <w:color w:val="000000"/>
        </w:rPr>
        <w:t>ica; para la construcción de las bases para una plena seguridad ciudadana.</w:t>
      </w:r>
    </w:p>
    <w:p w:rsidR="00354665" w:rsidRDefault="00354665">
      <w:pPr>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De tal suerte que con lo señalado hasta este punto se advierte que la finalidad de la función de seguridad pública indudablemente tienen como eje central a la persona humana y, por</w:t>
      </w:r>
      <w:r>
        <w:rPr>
          <w:rFonts w:ascii="Palatino Linotype" w:eastAsia="Palatino Linotype" w:hAnsi="Palatino Linotype" w:cs="Palatino Linotype"/>
        </w:rPr>
        <w:t xml:space="preserve"> ende, contribuyen al establecimiento de la seguridad ciudadana, la cual tiene por objeto proteger a las personas; asegurar el ejercicio de su ciudadanía, sus libertades y derechos fundamentales; establecer espacios de participación social corresponsable y</w:t>
      </w:r>
      <w:r>
        <w:rPr>
          <w:rFonts w:ascii="Palatino Linotype" w:eastAsia="Palatino Linotype" w:hAnsi="Palatino Linotype" w:cs="Palatino Linotype"/>
        </w:rPr>
        <w:t xml:space="preserve"> armónica; propiciar la solución pacífica de los conflictos interpersonales y sociales; fortalecer a las instituciones, y propiciar condiciones durables que permitan a los ciudadanos desarrollar sus capacidades, en un ambiente de paz y democracia.</w:t>
      </w:r>
    </w:p>
    <w:p w:rsidR="00354665" w:rsidRDefault="00354665">
      <w:pPr>
        <w:pBdr>
          <w:top w:val="nil"/>
          <w:left w:val="nil"/>
          <w:bottom w:val="nil"/>
          <w:right w:val="nil"/>
          <w:between w:val="nil"/>
        </w:pBdr>
        <w:spacing w:after="0" w:line="360" w:lineRule="auto"/>
        <w:jc w:val="both"/>
        <w:rPr>
          <w:rFonts w:ascii="Palatino Linotype" w:eastAsia="Palatino Linotype" w:hAnsi="Palatino Linotype" w:cs="Palatino Linotype"/>
        </w:rPr>
      </w:pPr>
    </w:p>
    <w:p w:rsidR="00354665" w:rsidRDefault="00E128D7">
      <w:pPr>
        <w:pBdr>
          <w:top w:val="nil"/>
          <w:left w:val="nil"/>
          <w:bottom w:val="nil"/>
          <w:right w:val="nil"/>
          <w:between w:val="nil"/>
        </w:pBdr>
        <w:spacing w:after="0" w:line="360" w:lineRule="auto"/>
        <w:jc w:val="both"/>
        <w:rPr>
          <w:rFonts w:ascii="Palatino Linotype" w:eastAsia="Palatino Linotype" w:hAnsi="Palatino Linotype" w:cs="Palatino Linotype"/>
        </w:rPr>
      </w:pPr>
      <w:r>
        <w:rPr>
          <w:rFonts w:ascii="Palatino Linotype" w:eastAsia="Palatino Linotype" w:hAnsi="Palatino Linotype" w:cs="Palatino Linotype"/>
        </w:rPr>
        <w:t>Una vez</w:t>
      </w:r>
      <w:r>
        <w:rPr>
          <w:rFonts w:ascii="Palatino Linotype" w:eastAsia="Palatino Linotype" w:hAnsi="Palatino Linotype" w:cs="Palatino Linotype"/>
        </w:rPr>
        <w:t xml:space="preserve"> acreditado el objeto de la seguridad pública, así como los sujetos encargados de ejecutar las acciones para consumar esta función, podemos observar con claridad la importancia de los elementos operativos que ejecutan estas acciones encaminadas a preservar</w:t>
      </w:r>
      <w:r>
        <w:rPr>
          <w:rFonts w:ascii="Palatino Linotype" w:eastAsia="Palatino Linotype" w:hAnsi="Palatino Linotype" w:cs="Palatino Linotype"/>
        </w:rPr>
        <w:t xml:space="preserve"> el orden dentro de la dinámica social y podemos partir de este punto para determinar el riesgo de la divulgación de esta información y por ende, la procedencia de su clasificación como información reservada. </w:t>
      </w:r>
    </w:p>
    <w:p w:rsidR="00354665" w:rsidRDefault="00354665">
      <w:pPr>
        <w:pBdr>
          <w:top w:val="nil"/>
          <w:left w:val="nil"/>
          <w:bottom w:val="nil"/>
          <w:right w:val="nil"/>
          <w:between w:val="nil"/>
        </w:pBdr>
        <w:spacing w:after="0" w:line="360" w:lineRule="auto"/>
        <w:jc w:val="both"/>
        <w:rPr>
          <w:rFonts w:ascii="Palatino Linotype" w:eastAsia="Palatino Linotype" w:hAnsi="Palatino Linotype" w:cs="Palatino Linotype"/>
        </w:rPr>
      </w:pP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momento podemos vislumbrar que el a</w:t>
      </w:r>
      <w:r>
        <w:rPr>
          <w:rFonts w:ascii="Palatino Linotype" w:eastAsia="Palatino Linotype" w:hAnsi="Palatino Linotype" w:cs="Palatino Linotype"/>
        </w:rPr>
        <w:t>rtículo 81, fracción II de la Ley de Seguridad del Estado de México dispone de manera expresa que toda información para la seguridad pública generada o en poder de Instituciones de Seguridad Pública o de cualquier instancia del Sistema Estatal debe clasifi</w:t>
      </w:r>
      <w:r>
        <w:rPr>
          <w:rFonts w:ascii="Palatino Linotype" w:eastAsia="Palatino Linotype" w:hAnsi="Palatino Linotype" w:cs="Palatino Linotype"/>
        </w:rPr>
        <w:t>carse, sirve de referencia la siguiente cita:</w:t>
      </w:r>
    </w:p>
    <w:p w:rsidR="00354665" w:rsidRDefault="00E128D7">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“Artículo 81.- Toda información para la seguridad pública generada o en poder de Instituciones de Seguridad Pública o de cualquier instancia del Sistema Estatal debe registrarse, clasificarse y tratarse de conformidad con las disposiciones aplicables. No o</w:t>
      </w:r>
      <w:r>
        <w:rPr>
          <w:rFonts w:ascii="Palatino Linotype" w:eastAsia="Palatino Linotype" w:hAnsi="Palatino Linotype" w:cs="Palatino Linotype"/>
          <w:i/>
          <w:sz w:val="20"/>
          <w:szCs w:val="20"/>
        </w:rPr>
        <w:t>bstante lo anterior, esta información se considerará reservada en los casos siguientes:</w:t>
      </w:r>
    </w:p>
    <w:p w:rsidR="00354665" w:rsidRDefault="00E128D7">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i/>
          <w:sz w:val="20"/>
          <w:szCs w:val="20"/>
        </w:rPr>
        <w:t>…</w:t>
      </w:r>
    </w:p>
    <w:p w:rsidR="00354665" w:rsidRDefault="00E128D7">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u w:val="single"/>
        </w:rPr>
        <w:lastRenderedPageBreak/>
        <w:t>II. Aquella cuya revelación pueda ser utilizada para actualizar o potenciar una amenaza a la seguridad pública o a las instituciones del Estado de México ;</w:t>
      </w:r>
      <w:r>
        <w:rPr>
          <w:rFonts w:ascii="Palatino Linotype" w:eastAsia="Palatino Linotype" w:hAnsi="Palatino Linotype" w:cs="Palatino Linotype"/>
          <w:b/>
          <w:i/>
          <w:sz w:val="20"/>
          <w:szCs w:val="20"/>
        </w:rPr>
        <w:t>” (Sic)</w:t>
      </w:r>
    </w:p>
    <w:p w:rsidR="00354665" w:rsidRDefault="00354665">
      <w:pPr>
        <w:pBdr>
          <w:top w:val="nil"/>
          <w:left w:val="nil"/>
          <w:bottom w:val="nil"/>
          <w:right w:val="nil"/>
          <w:between w:val="nil"/>
        </w:pBdr>
        <w:spacing w:after="120" w:line="240" w:lineRule="auto"/>
        <w:ind w:left="567" w:right="990"/>
        <w:jc w:val="both"/>
        <w:rPr>
          <w:rFonts w:ascii="Palatino Linotype" w:eastAsia="Palatino Linotype" w:hAnsi="Palatino Linotype" w:cs="Palatino Linotype"/>
          <w:b/>
          <w:i/>
          <w:u w:val="single"/>
        </w:rPr>
      </w:pP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r>
        <w:rPr>
          <w:rFonts w:ascii="Palatino Linotype" w:eastAsia="Palatino Linotype" w:hAnsi="Palatino Linotype" w:cs="Palatino Linotype"/>
        </w:rPr>
        <w:t>En armonía con esta disposición normativa, la Ley General de Transparencia y Acceso a la Información Pública, en su artículo 113, fracción I señala que deberá reservarse la información que con su publicación se comprometa a la seguridad pública y cuente co</w:t>
      </w:r>
      <w:r>
        <w:rPr>
          <w:rFonts w:ascii="Palatino Linotype" w:eastAsia="Palatino Linotype" w:hAnsi="Palatino Linotype" w:cs="Palatino Linotype"/>
        </w:rPr>
        <w:t>n un efecto demostrable, posteriormente el artículo 140 fracción I de la Ley de Transparencia Local replica esta circunstancia de reserva</w:t>
      </w:r>
      <w:r>
        <w:rPr>
          <w:rFonts w:ascii="Palatino Linotype" w:eastAsia="Palatino Linotype" w:hAnsi="Palatino Linotype" w:cs="Palatino Linotype"/>
          <w:sz w:val="24"/>
          <w:szCs w:val="24"/>
        </w:rPr>
        <w:t xml:space="preserve">, que señalan: </w:t>
      </w:r>
    </w:p>
    <w:p w:rsidR="00354665" w:rsidRDefault="00E128D7">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 xml:space="preserve">“Artículo 113. Como información reservada podrá clasificarse aquella cuya publicación: </w:t>
      </w:r>
    </w:p>
    <w:p w:rsidR="00354665" w:rsidRDefault="00E128D7">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I. Comprometa l</w:t>
      </w:r>
      <w:r>
        <w:rPr>
          <w:rFonts w:ascii="Palatino Linotype" w:eastAsia="Palatino Linotype" w:hAnsi="Palatino Linotype" w:cs="Palatino Linotype"/>
          <w:b/>
          <w:i/>
          <w:color w:val="000000"/>
          <w:sz w:val="20"/>
          <w:szCs w:val="20"/>
        </w:rPr>
        <w:t>a seguridad nacional, la seguridad pública o la defensa nacional y cuente con un propósito genuino y un efecto demostrable;</w:t>
      </w:r>
    </w:p>
    <w:p w:rsidR="00354665" w:rsidRDefault="00E128D7">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w:t>
      </w:r>
    </w:p>
    <w:p w:rsidR="00354665" w:rsidRDefault="00E128D7">
      <w:pPr>
        <w:pBdr>
          <w:top w:val="nil"/>
          <w:left w:val="nil"/>
          <w:bottom w:val="nil"/>
          <w:right w:val="nil"/>
          <w:between w:val="nil"/>
        </w:pBdr>
        <w:tabs>
          <w:tab w:val="left" w:pos="284"/>
        </w:tabs>
        <w:spacing w:after="0" w:line="240" w:lineRule="auto"/>
        <w:ind w:left="992" w:right="709"/>
        <w:jc w:val="both"/>
        <w:rPr>
          <w:rFonts w:ascii="Palatino Linotype" w:eastAsia="Palatino Linotype" w:hAnsi="Palatino Linotype" w:cs="Palatino Linotype"/>
          <w:i/>
          <w:color w:val="000000"/>
          <w:sz w:val="20"/>
          <w:szCs w:val="20"/>
        </w:rPr>
      </w:pPr>
      <w:r>
        <w:rPr>
          <w:rFonts w:ascii="Palatino Linotype" w:eastAsia="Palatino Linotype" w:hAnsi="Palatino Linotype" w:cs="Palatino Linotype"/>
          <w:i/>
          <w:color w:val="000000"/>
          <w:sz w:val="20"/>
          <w:szCs w:val="20"/>
        </w:rPr>
        <w:t>Artículo 140. El acceso a la información pública será restringido excepcionalmente, cuando por razones de interés público, ésta s</w:t>
      </w:r>
      <w:r>
        <w:rPr>
          <w:rFonts w:ascii="Palatino Linotype" w:eastAsia="Palatino Linotype" w:hAnsi="Palatino Linotype" w:cs="Palatino Linotype"/>
          <w:i/>
          <w:color w:val="000000"/>
          <w:sz w:val="20"/>
          <w:szCs w:val="20"/>
        </w:rPr>
        <w:t xml:space="preserve">ea clasificada como reservada, conforme a los criterios siguientes: </w:t>
      </w:r>
    </w:p>
    <w:p w:rsidR="00354665" w:rsidRDefault="00E128D7">
      <w:pPr>
        <w:numPr>
          <w:ilvl w:val="0"/>
          <w:numId w:val="1"/>
        </w:numPr>
        <w:pBdr>
          <w:top w:val="nil"/>
          <w:left w:val="nil"/>
          <w:bottom w:val="nil"/>
          <w:right w:val="nil"/>
          <w:between w:val="nil"/>
        </w:pBdr>
        <w:tabs>
          <w:tab w:val="left" w:pos="284"/>
        </w:tabs>
        <w:spacing w:after="0" w:line="240" w:lineRule="auto"/>
        <w:ind w:right="709"/>
        <w:jc w:val="both"/>
        <w:rPr>
          <w:rFonts w:ascii="Palatino Linotype" w:eastAsia="Palatino Linotype" w:hAnsi="Palatino Linotype" w:cs="Palatino Linotype"/>
          <w:b/>
          <w:i/>
          <w:color w:val="000000"/>
          <w:sz w:val="20"/>
          <w:szCs w:val="20"/>
        </w:rPr>
      </w:pPr>
      <w:r>
        <w:rPr>
          <w:rFonts w:ascii="Palatino Linotype" w:eastAsia="Palatino Linotype" w:hAnsi="Palatino Linotype" w:cs="Palatino Linotype"/>
          <w:b/>
          <w:i/>
          <w:color w:val="000000"/>
          <w:sz w:val="20"/>
          <w:szCs w:val="20"/>
        </w:rPr>
        <w:t>Comprometa la seguridad pública y cuente con un propósito genuino y un efecto demostrable…” (Sic)</w:t>
      </w:r>
    </w:p>
    <w:p w:rsidR="00354665" w:rsidRDefault="00354665">
      <w:pPr>
        <w:pBdr>
          <w:top w:val="nil"/>
          <w:left w:val="nil"/>
          <w:bottom w:val="nil"/>
          <w:right w:val="nil"/>
          <w:between w:val="nil"/>
        </w:pBdr>
        <w:spacing w:after="120" w:line="360" w:lineRule="auto"/>
        <w:jc w:val="both"/>
        <w:rPr>
          <w:rFonts w:ascii="Palatino Linotype" w:eastAsia="Palatino Linotype" w:hAnsi="Palatino Linotype" w:cs="Palatino Linotype"/>
          <w:sz w:val="24"/>
          <w:szCs w:val="24"/>
        </w:rPr>
      </w:pP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Posteriormente los Lineamientos Generales en Materia de Clasificación y Desclasificación de la Información, así como para la Elaboración de Versiones Públicas, publicados el 16 de abril de 2016 y reformados el 18 de noviembre de 2022 señalan en su numeral </w:t>
      </w:r>
      <w:r>
        <w:rPr>
          <w:rFonts w:ascii="Palatino Linotype" w:eastAsia="Palatino Linotype" w:hAnsi="Palatino Linotype" w:cs="Palatino Linotype"/>
        </w:rPr>
        <w:t>décimo octavo que podrá considerarse como información reservada, aquella que comprometa la seguridad pública, al poner en peligro las funciones a cargo de la Federación, la Ciudad de México, los Estados y los Municipios, tendientes a preservar y resguardar</w:t>
      </w:r>
      <w:r>
        <w:rPr>
          <w:rFonts w:ascii="Palatino Linotype" w:eastAsia="Palatino Linotype" w:hAnsi="Palatino Linotype" w:cs="Palatino Linotype"/>
        </w:rPr>
        <w:t xml:space="preserve"> la vida, la salud, la integridad y el ejercicio de los derechos de las personas, así como para el mantenimiento del orden público.</w:t>
      </w: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Es crucial señalar que estos Lineamientos señalan </w:t>
      </w:r>
      <w:r>
        <w:rPr>
          <w:rFonts w:ascii="Palatino Linotype" w:eastAsia="Palatino Linotype" w:hAnsi="Palatino Linotype" w:cs="Palatino Linotype"/>
          <w:b/>
          <w:u w:val="single"/>
        </w:rPr>
        <w:t>que es susceptible de considerarse como reservada aquella que revele datos</w:t>
      </w:r>
      <w:r>
        <w:rPr>
          <w:rFonts w:ascii="Palatino Linotype" w:eastAsia="Palatino Linotype" w:hAnsi="Palatino Linotype" w:cs="Palatino Linotype"/>
          <w:b/>
          <w:u w:val="single"/>
        </w:rPr>
        <w:t xml:space="preserve"> que pudieran ser aprovechados para conocer la capacidad de reacción de las instituciones encargadas de la seguridad pública</w:t>
      </w:r>
      <w:r>
        <w:rPr>
          <w:rFonts w:ascii="Palatino Linotype" w:eastAsia="Palatino Linotype" w:hAnsi="Palatino Linotype" w:cs="Palatino Linotype"/>
        </w:rPr>
        <w:t>, sus planes, estrategias, tecnología, información, sistemas de comunicaciones.</w:t>
      </w:r>
    </w:p>
    <w:p w:rsidR="000C0CB1" w:rsidRDefault="000C0CB1">
      <w:pPr>
        <w:pBdr>
          <w:top w:val="nil"/>
          <w:left w:val="nil"/>
          <w:bottom w:val="nil"/>
          <w:right w:val="nil"/>
          <w:between w:val="nil"/>
        </w:pBdr>
        <w:spacing w:after="120" w:line="360" w:lineRule="auto"/>
        <w:jc w:val="both"/>
        <w:rPr>
          <w:rFonts w:ascii="Palatino Linotype" w:eastAsia="Palatino Linotype" w:hAnsi="Palatino Linotype" w:cs="Palatino Linotype"/>
        </w:rPr>
      </w:pPr>
    </w:p>
    <w:p w:rsidR="00354665"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rPr>
      </w:pPr>
      <w:r>
        <w:rPr>
          <w:rFonts w:ascii="Palatino Linotype" w:eastAsia="Palatino Linotype" w:hAnsi="Palatino Linotype" w:cs="Palatino Linotype"/>
        </w:rPr>
        <w:t>Hasta este punto tenemos que los instrumentos normat</w:t>
      </w:r>
      <w:r>
        <w:rPr>
          <w:rFonts w:ascii="Palatino Linotype" w:eastAsia="Palatino Linotype" w:hAnsi="Palatino Linotype" w:cs="Palatino Linotype"/>
        </w:rPr>
        <w:t>ivos que debemos observar en estricto sentido disponen puntualmente la reserva de información para los casos en los que se revele información que pueda ser empleada para conocer la capacidad de reacción, es decir, todo lo relativo a servidores públicos ope</w:t>
      </w:r>
      <w:r>
        <w:rPr>
          <w:rFonts w:ascii="Palatino Linotype" w:eastAsia="Palatino Linotype" w:hAnsi="Palatino Linotype" w:cs="Palatino Linotype"/>
        </w:rPr>
        <w:t>rativos que integran las instituciones de seguridad pública, ya que su divulgación podría ser utilizada para actualizar o potenciar una amenaza para la seguridad pública de la sociedad; teniendo esto en cuenta y trasladando estas premisas al caso particula</w:t>
      </w:r>
      <w:r>
        <w:rPr>
          <w:rFonts w:ascii="Palatino Linotype" w:eastAsia="Palatino Linotype" w:hAnsi="Palatino Linotype" w:cs="Palatino Linotype"/>
        </w:rPr>
        <w:t xml:space="preserve">r se estima que con la entrega de información de los servidores públicos con funciones operativas adscritos a instituciones de seguridad pública, revela información actualizada sobre el número de policías operativos en activo a la fecha de la solicitud de </w:t>
      </w:r>
      <w:r>
        <w:rPr>
          <w:rFonts w:ascii="Palatino Linotype" w:eastAsia="Palatino Linotype" w:hAnsi="Palatino Linotype" w:cs="Palatino Linotype"/>
        </w:rPr>
        <w:t>información y en consecuencia su estado de fuerza vigente, lo cual no sólo contraviene lo dispuesto expresamente por las disposiciones previamente insertadas, sino que, además, pone en riesgo los valores jurídicos y los principios bajo los cuales de las in</w:t>
      </w:r>
      <w:r>
        <w:rPr>
          <w:rFonts w:ascii="Palatino Linotype" w:eastAsia="Palatino Linotype" w:hAnsi="Palatino Linotype" w:cs="Palatino Linotype"/>
        </w:rPr>
        <w:t>stituciones de seguridad pública se debe regir como son la legalidad, objetividad, eficiencia, profesionalismo, honradez y respeto a los derechos humanos reconocidos en la Constitución General.</w:t>
      </w:r>
    </w:p>
    <w:p w:rsidR="00354665" w:rsidRDefault="00E128D7">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En conclusión la reserva del personal operativo procede por do</w:t>
      </w:r>
      <w:r>
        <w:rPr>
          <w:rFonts w:ascii="Palatino Linotype" w:eastAsia="Palatino Linotype" w:hAnsi="Palatino Linotype" w:cs="Palatino Linotype"/>
        </w:rPr>
        <w:t>s circunstancias:</w:t>
      </w:r>
    </w:p>
    <w:p w:rsidR="00354665" w:rsidRDefault="00E128D7">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1. Se identifica en términos concretos cómo es que la información requerida podría comprometer el ejercicio de sus facultades constitucionales y, con ello, la seguridad pública, en virtud de que: </w:t>
      </w:r>
    </w:p>
    <w:p w:rsidR="00354665" w:rsidRDefault="00E128D7">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a) la información podría ser aprovechada </w:t>
      </w:r>
      <w:r>
        <w:rPr>
          <w:rFonts w:ascii="Palatino Linotype" w:eastAsia="Palatino Linotype" w:hAnsi="Palatino Linotype" w:cs="Palatino Linotype"/>
        </w:rPr>
        <w:t xml:space="preserve">por los grupos criminales para conocer la capacidad de reacción </w:t>
      </w:r>
    </w:p>
    <w:p w:rsidR="00354665" w:rsidRDefault="00E128D7">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b) Con dicha información se revelarían a detalle las características funcionales del personal y con ello, su organización para el cumplimiento de sus funciones; y </w:t>
      </w:r>
    </w:p>
    <w:p w:rsidR="00354665" w:rsidRDefault="00E128D7">
      <w:pPr>
        <w:spacing w:before="240" w:after="240" w:line="360" w:lineRule="auto"/>
        <w:ind w:right="-3"/>
        <w:jc w:val="both"/>
        <w:rPr>
          <w:rFonts w:ascii="Palatino Linotype" w:eastAsia="Palatino Linotype" w:hAnsi="Palatino Linotype" w:cs="Palatino Linotype"/>
          <w:highlight w:val="yellow"/>
        </w:rPr>
      </w:pPr>
      <w:r>
        <w:rPr>
          <w:rFonts w:ascii="Palatino Linotype" w:eastAsia="Palatino Linotype" w:hAnsi="Palatino Linotype" w:cs="Palatino Linotype"/>
        </w:rPr>
        <w:t>2. Existe una relación causal general entre la entrega de la información y la afectación a la seguridad pública, pues los grupos criminales estarían en posibilidad de obstaculizar o bloquear actividades encaminadas a preservar el orden dentro de la dinámic</w:t>
      </w:r>
      <w:r>
        <w:rPr>
          <w:rFonts w:ascii="Palatino Linotype" w:eastAsia="Palatino Linotype" w:hAnsi="Palatino Linotype" w:cs="Palatino Linotype"/>
        </w:rPr>
        <w:t>a social.</w:t>
      </w:r>
    </w:p>
    <w:p w:rsidR="00354665" w:rsidRDefault="00E128D7">
      <w:pPr>
        <w:spacing w:before="240" w:after="240" w:line="360" w:lineRule="auto"/>
        <w:ind w:right="-3"/>
        <w:jc w:val="both"/>
        <w:rPr>
          <w:rFonts w:ascii="Palatino Linotype" w:eastAsia="Palatino Linotype" w:hAnsi="Palatino Linotype" w:cs="Palatino Linotype"/>
        </w:rPr>
      </w:pPr>
      <w:r>
        <w:rPr>
          <w:rFonts w:ascii="Palatino Linotype" w:eastAsia="Palatino Linotype" w:hAnsi="Palatino Linotype" w:cs="Palatino Linotype"/>
        </w:rPr>
        <w:t xml:space="preserve">Por lo tanto, entre mayor información se dé a conocer respecto del </w:t>
      </w:r>
      <w:r>
        <w:rPr>
          <w:rFonts w:ascii="Palatino Linotype" w:eastAsia="Palatino Linotype" w:hAnsi="Palatino Linotype" w:cs="Palatino Linotype"/>
          <w:b/>
          <w:i/>
        </w:rPr>
        <w:t xml:space="preserve">estado de fuerza </w:t>
      </w:r>
      <w:r>
        <w:rPr>
          <w:rFonts w:ascii="Palatino Linotype" w:eastAsia="Palatino Linotype" w:hAnsi="Palatino Linotype" w:cs="Palatino Linotype"/>
        </w:rPr>
        <w:t>con que cuentan el Estado y Municipios, mayor es la probabilidad de que la información pueda implementarse como medio para actualizar o potenciar una amenaza en c</w:t>
      </w:r>
      <w:r>
        <w:rPr>
          <w:rFonts w:ascii="Palatino Linotype" w:eastAsia="Palatino Linotype" w:hAnsi="Palatino Linotype" w:cs="Palatino Linotype"/>
        </w:rPr>
        <w:t xml:space="preserve">ontra de la seguridad pública de los mismos. </w:t>
      </w:r>
    </w:p>
    <w:p w:rsidR="00354665" w:rsidRDefault="00E128D7">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rPr>
        <w:t xml:space="preserve">No pasa inadvertido para la suscrita que en los casos en los que se publiciten diversas notas o documentos en los que se dé a conocer información estadística sobre el número de elementos de policía con los que </w:t>
      </w:r>
      <w:r>
        <w:rPr>
          <w:rFonts w:ascii="Palatino Linotype" w:eastAsia="Palatino Linotype" w:hAnsi="Palatino Linotype" w:cs="Palatino Linotype"/>
        </w:rPr>
        <w:t xml:space="preserve">cuentan los ayuntamientos, esta información no se encuentra actualizada a la fecha de la solicitud, aunado a que no se hace una distinción entre el número de personal operativo y administrativo. </w:t>
      </w:r>
    </w:p>
    <w:p w:rsidR="00354665" w:rsidRPr="000C0CB1"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En consecuencia, la información de los elementos operativos adscrito a instituciones de seguridad pública,  deben recibir un tratamiento de carácter excepcional, y esto es en razón </w:t>
      </w:r>
      <w:r w:rsidRPr="000C0CB1">
        <w:rPr>
          <w:rFonts w:ascii="Palatino Linotype" w:eastAsia="Palatino Linotype" w:hAnsi="Palatino Linotype" w:cs="Palatino Linotype"/>
          <w:color w:val="000000"/>
        </w:rPr>
        <w:lastRenderedPageBreak/>
        <w:t>de que,  son los responsables de procurar el orden, la estabilidad y la def</w:t>
      </w:r>
      <w:r w:rsidRPr="000C0CB1">
        <w:rPr>
          <w:rFonts w:ascii="Palatino Linotype" w:eastAsia="Palatino Linotype" w:hAnsi="Palatino Linotype" w:cs="Palatino Linotype"/>
          <w:color w:val="000000"/>
        </w:rPr>
        <w:t>ensa de la sociedad a la que pertenecen, por lo que, se estima que al proporcionar dicha información se revela el número de servidores públicos operativos con funciones de seguridad pública activos en el Sujeto obligado; información con la que se da a cono</w:t>
      </w:r>
      <w:r w:rsidRPr="000C0CB1">
        <w:rPr>
          <w:rFonts w:ascii="Palatino Linotype" w:eastAsia="Palatino Linotype" w:hAnsi="Palatino Linotype" w:cs="Palatino Linotype"/>
          <w:color w:val="000000"/>
        </w:rPr>
        <w:t>cer el estado de fuerza y la capacidad de reacción del órgano público.</w:t>
      </w:r>
    </w:p>
    <w:p w:rsidR="00354665" w:rsidRPr="000C0CB1" w:rsidRDefault="00E128D7">
      <w:pPr>
        <w:spacing w:before="240" w:after="0" w:line="360" w:lineRule="auto"/>
        <w:jc w:val="both"/>
        <w:rPr>
          <w:rFonts w:ascii="Palatino Linotype" w:eastAsia="Palatino Linotype" w:hAnsi="Palatino Linotype" w:cs="Palatino Linotype"/>
        </w:rPr>
      </w:pPr>
      <w:r w:rsidRPr="000C0CB1">
        <w:rPr>
          <w:rFonts w:ascii="Palatino Linotype" w:eastAsia="Palatino Linotype" w:hAnsi="Palatino Linotype" w:cs="Palatino Linotype"/>
        </w:rPr>
        <w:t>Ahora bien, la suscrita considera que es de vital importancia señalar que para los casos en los que los particulares deseen conocer las remuneraciones de los elementos operativos de las</w:t>
      </w:r>
      <w:r w:rsidRPr="000C0CB1">
        <w:rPr>
          <w:rFonts w:ascii="Palatino Linotype" w:eastAsia="Palatino Linotype" w:hAnsi="Palatino Linotype" w:cs="Palatino Linotype"/>
        </w:rPr>
        <w:t xml:space="preserve"> instituciones de seguridad pública, estas se pueden otorgar mediante el tabulador de sueldos, pues en este soporte se asientan los puestos funcionales y las remuneraciones, lo anterior encuentra sustento en el Instructivo del módulo 4 para la entrega del </w:t>
      </w:r>
      <w:r w:rsidRPr="000C0CB1">
        <w:rPr>
          <w:rFonts w:ascii="Palatino Linotype" w:eastAsia="Palatino Linotype" w:hAnsi="Palatino Linotype" w:cs="Palatino Linotype"/>
        </w:rPr>
        <w:t>informe trimestral 2022, en dicho documento obran los siguientes elementos:</w:t>
      </w:r>
    </w:p>
    <w:p w:rsidR="00354665" w:rsidRPr="000C0CB1" w:rsidRDefault="00E128D7">
      <w:pPr>
        <w:spacing w:before="240" w:after="0" w:line="360" w:lineRule="auto"/>
        <w:jc w:val="both"/>
        <w:rPr>
          <w:rFonts w:ascii="Palatino Linotype" w:eastAsia="Palatino Linotype" w:hAnsi="Palatino Linotype" w:cs="Palatino Linotype"/>
          <w:sz w:val="24"/>
          <w:szCs w:val="24"/>
        </w:rPr>
      </w:pPr>
      <w:r w:rsidRPr="000C0CB1">
        <w:rPr>
          <w:rFonts w:ascii="Palatino Linotype" w:eastAsia="Palatino Linotype" w:hAnsi="Palatino Linotype" w:cs="Palatino Linotype"/>
          <w:sz w:val="24"/>
          <w:szCs w:val="24"/>
        </w:rPr>
        <w:t xml:space="preserve"> </w:t>
      </w:r>
      <w:r w:rsidR="000C0CB1" w:rsidRPr="000C0CB1">
        <w:rPr>
          <w:noProof/>
          <w:lang w:val="es-MX"/>
        </w:rPr>
        <w:drawing>
          <wp:inline distT="0" distB="0" distL="0" distR="0" wp14:anchorId="5CC5BF13" wp14:editId="5FD974BC">
            <wp:extent cx="5545252" cy="339634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642" t="13592" r="26156" b="9476"/>
                    <a:stretch/>
                  </pic:blipFill>
                  <pic:spPr bwMode="auto">
                    <a:xfrm>
                      <a:off x="0" y="0"/>
                      <a:ext cx="5569398" cy="3411132"/>
                    </a:xfrm>
                    <a:prstGeom prst="rect">
                      <a:avLst/>
                    </a:prstGeom>
                    <a:ln>
                      <a:noFill/>
                    </a:ln>
                    <a:extLst>
                      <a:ext uri="{53640926-AAD7-44D8-BBD7-CCE9431645EC}">
                        <a14:shadowObscured xmlns:a14="http://schemas.microsoft.com/office/drawing/2010/main"/>
                      </a:ext>
                    </a:extLst>
                  </pic:spPr>
                </pic:pic>
              </a:graphicData>
            </a:graphic>
          </wp:inline>
        </w:drawing>
      </w:r>
    </w:p>
    <w:p w:rsidR="00354665" w:rsidRPr="000C0CB1" w:rsidRDefault="00E128D7">
      <w:pPr>
        <w:pBdr>
          <w:top w:val="nil"/>
          <w:left w:val="nil"/>
          <w:bottom w:val="nil"/>
          <w:right w:val="nil"/>
          <w:between w:val="nil"/>
        </w:pBdr>
        <w:spacing w:after="120" w:line="360" w:lineRule="auto"/>
        <w:jc w:val="both"/>
        <w:rPr>
          <w:rFonts w:ascii="Palatino Linotype" w:eastAsia="Palatino Linotype" w:hAnsi="Palatino Linotype" w:cs="Palatino Linotype"/>
        </w:rPr>
      </w:pPr>
      <w:r w:rsidRPr="000C0CB1">
        <w:rPr>
          <w:rFonts w:ascii="Palatino Linotype" w:eastAsia="Palatino Linotype" w:hAnsi="Palatino Linotype" w:cs="Palatino Linotype"/>
        </w:rPr>
        <w:lastRenderedPageBreak/>
        <w:t>De manera que con la consulta de este documento podrá visualizarse con claridad el cargo y la remuneración sin conocer el estado de fuerza de las entidades públicas y así n</w:t>
      </w:r>
      <w:r w:rsidRPr="000C0CB1">
        <w:rPr>
          <w:rFonts w:ascii="Palatino Linotype" w:eastAsia="Palatino Linotype" w:hAnsi="Palatino Linotype" w:cs="Palatino Linotype"/>
        </w:rPr>
        <w:t xml:space="preserve">o se restringe el derecho de acceso a la información de los particulares. </w:t>
      </w:r>
    </w:p>
    <w:p w:rsidR="00354665" w:rsidRDefault="000C0CB1">
      <w:pPr>
        <w:spacing w:before="240" w:after="240" w:line="360" w:lineRule="auto"/>
        <w:ind w:right="139"/>
        <w:jc w:val="both"/>
        <w:rPr>
          <w:rFonts w:ascii="Palatino Linotype" w:eastAsia="Palatino Linotype" w:hAnsi="Palatino Linotype" w:cs="Palatino Linotype"/>
        </w:rPr>
      </w:pPr>
      <w:r>
        <w:rPr>
          <w:rFonts w:ascii="Palatino Linotype" w:eastAsia="Palatino Linotype" w:hAnsi="Palatino Linotype" w:cs="Palatino Linotype"/>
          <w:noProof/>
          <w:lang w:val="es-MX"/>
        </w:rPr>
        <mc:AlternateContent>
          <mc:Choice Requires="wps">
            <w:drawing>
              <wp:anchor distT="0" distB="0" distL="114300" distR="114300" simplePos="0" relativeHeight="251659264" behindDoc="0" locked="0" layoutInCell="1" allowOverlap="1">
                <wp:simplePos x="0" y="0"/>
                <wp:positionH relativeFrom="column">
                  <wp:posOffset>164563</wp:posOffset>
                </wp:positionH>
                <wp:positionV relativeFrom="paragraph">
                  <wp:posOffset>3320077</wp:posOffset>
                </wp:positionV>
                <wp:extent cx="5361709" cy="2850078"/>
                <wp:effectExtent l="0" t="0" r="29845" b="26670"/>
                <wp:wrapNone/>
                <wp:docPr id="2" name="Conector recto 2"/>
                <wp:cNvGraphicFramePr/>
                <a:graphic xmlns:a="http://schemas.openxmlformats.org/drawingml/2006/main">
                  <a:graphicData uri="http://schemas.microsoft.com/office/word/2010/wordprocessingShape">
                    <wps:wsp>
                      <wps:cNvCnPr/>
                      <wps:spPr>
                        <a:xfrm>
                          <a:off x="0" y="0"/>
                          <a:ext cx="5361709" cy="285007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D0216D" id="Conector rec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5pt,261.4pt" to="435.15pt,48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" strokecolor="black [3200]" strokeweight=".5pt">
                <v:stroke joinstyle="miter"/>
              </v:line>
            </w:pict>
          </mc:Fallback>
        </mc:AlternateContent>
      </w:r>
      <w:r w:rsidR="00E128D7">
        <w:rPr>
          <w:rFonts w:ascii="Palatino Linotype" w:eastAsia="Palatino Linotype" w:hAnsi="Palatino Linotype" w:cs="Palatino Linotype"/>
        </w:rPr>
        <w:t xml:space="preserve">Es por todo lo anteriormente expuesto que considero que en las líneas argumentativas que anteceden, se acreditó de manera fehaciente que esta información debe ser reservada pues su </w:t>
      </w:r>
      <w:r w:rsidR="00E128D7">
        <w:rPr>
          <w:rFonts w:ascii="Palatino Linotype" w:eastAsia="Palatino Linotype" w:hAnsi="Palatino Linotype" w:cs="Palatino Linotype"/>
        </w:rPr>
        <w:t xml:space="preserve">entrega revela datos que pudieran ser aprovechados para conocer la capacidad de reacción de las instituciones encargadas de la seguridad pública y </w:t>
      </w:r>
      <w:r w:rsidR="00E128D7">
        <w:rPr>
          <w:rFonts w:ascii="Palatino Linotype" w:eastAsia="Palatino Linotype" w:hAnsi="Palatino Linotype" w:cs="Palatino Linotype"/>
          <w:b/>
          <w:u w:val="single"/>
        </w:rPr>
        <w:t>facilitaría a las cédulas delictivas el neutralizar las acciones implementadas o por implementar para la pres</w:t>
      </w:r>
      <w:r w:rsidR="00E128D7">
        <w:rPr>
          <w:rFonts w:ascii="Palatino Linotype" w:eastAsia="Palatino Linotype" w:hAnsi="Palatino Linotype" w:cs="Palatino Linotype"/>
          <w:b/>
          <w:u w:val="single"/>
        </w:rPr>
        <w:t xml:space="preserve">ervación de la paz pública, afectando así su estado de fuerza, o bien les permita </w:t>
      </w:r>
      <w:r w:rsidR="00E128D7">
        <w:rPr>
          <w:rFonts w:ascii="Palatino Linotype" w:eastAsia="Palatino Linotype" w:hAnsi="Palatino Linotype" w:cs="Palatino Linotype"/>
        </w:rPr>
        <w:t>realizar actos para amenazar, inhibir, extorsionar o corromper las funciones del personal operativo, lo que causaría una vulneración a la Seguridad Municipal, por lo tanto la</w:t>
      </w:r>
      <w:r w:rsidR="00E128D7">
        <w:rPr>
          <w:rFonts w:ascii="Palatino Linotype" w:eastAsia="Palatino Linotype" w:hAnsi="Palatino Linotype" w:cs="Palatino Linotype"/>
        </w:rPr>
        <w:t xml:space="preserve"> suscrita no comparte las consideraciones vertidas en la resolución respecto del tratamiento que se le da a la información relativa a elementos operativos de instituciones de seguridad pública, y  por ende formula el presente voto particular.</w:t>
      </w:r>
    </w:p>
    <w:p w:rsidR="00354665" w:rsidRDefault="00354665">
      <w:pPr>
        <w:pBdr>
          <w:top w:val="nil"/>
          <w:left w:val="nil"/>
          <w:bottom w:val="nil"/>
          <w:right w:val="nil"/>
          <w:between w:val="nil"/>
        </w:pBdr>
        <w:spacing w:after="120" w:line="360" w:lineRule="auto"/>
        <w:jc w:val="both"/>
        <w:rPr>
          <w:rFonts w:ascii="Palatino Linotype" w:eastAsia="Palatino Linotype" w:hAnsi="Palatino Linotype" w:cs="Palatino Linotype"/>
          <w:b/>
        </w:rPr>
      </w:pPr>
    </w:p>
    <w:p w:rsidR="00354665" w:rsidRDefault="00354665">
      <w:pPr>
        <w:spacing w:after="0" w:line="360" w:lineRule="auto"/>
        <w:jc w:val="both"/>
        <w:rPr>
          <w:rFonts w:ascii="Palatino Linotype" w:eastAsia="Palatino Linotype" w:hAnsi="Palatino Linotype" w:cs="Palatino Linotype"/>
        </w:rPr>
        <w:sectPr w:rsidR="00354665">
          <w:headerReference w:type="even" r:id="rId9"/>
          <w:headerReference w:type="default" r:id="rId10"/>
          <w:footerReference w:type="default" r:id="rId11"/>
          <w:pgSz w:w="12240" w:h="15840"/>
          <w:pgMar w:top="1871" w:right="1327" w:bottom="2836" w:left="1985" w:header="709" w:footer="586" w:gutter="0"/>
          <w:pgNumType w:start="1"/>
          <w:cols w:space="720"/>
        </w:sectPr>
      </w:pPr>
      <w:bookmarkStart w:id="2" w:name="_GoBack"/>
      <w:bookmarkEnd w:id="2"/>
    </w:p>
    <w:p w:rsidR="00354665" w:rsidRDefault="00354665">
      <w:pPr>
        <w:spacing w:before="240" w:after="240" w:line="360" w:lineRule="auto"/>
        <w:ind w:right="423"/>
        <w:jc w:val="both"/>
        <w:rPr>
          <w:rFonts w:ascii="Palatino Linotype" w:eastAsia="Palatino Linotype" w:hAnsi="Palatino Linotype" w:cs="Palatino Linotype"/>
        </w:rPr>
      </w:pPr>
    </w:p>
    <w:sectPr w:rsidR="00354665">
      <w:headerReference w:type="default" r:id="rId12"/>
      <w:pgSz w:w="12240" w:h="15840"/>
      <w:pgMar w:top="1871" w:right="1327" w:bottom="2836" w:left="1985" w:header="709" w:footer="58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8D7" w:rsidRDefault="00E128D7">
      <w:pPr>
        <w:spacing w:after="0" w:line="240" w:lineRule="auto"/>
      </w:pPr>
      <w:r>
        <w:separator/>
      </w:r>
    </w:p>
  </w:endnote>
  <w:endnote w:type="continuationSeparator" w:id="0">
    <w:p w:rsidR="00E128D7" w:rsidRDefault="00E12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rgia">
    <w:panose1 w:val="02040502050405020303"/>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665" w:rsidRDefault="00E128D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sidR="000C0CB1">
      <w:rPr>
        <w:rFonts w:ascii="Arial" w:eastAsia="Arial" w:hAnsi="Arial" w:cs="Arial"/>
        <w:b/>
        <w:color w:val="000000"/>
        <w:sz w:val="20"/>
        <w:szCs w:val="20"/>
      </w:rPr>
      <w:fldChar w:fldCharType="separate"/>
    </w:r>
    <w:r w:rsidR="009C3026">
      <w:rPr>
        <w:rFonts w:ascii="Arial" w:eastAsia="Arial" w:hAnsi="Arial" w:cs="Arial"/>
        <w:b/>
        <w:noProof/>
        <w:color w:val="000000"/>
        <w:sz w:val="20"/>
        <w:szCs w:val="20"/>
      </w:rPr>
      <w:t>14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sidR="000C0CB1">
      <w:rPr>
        <w:rFonts w:ascii="Arial" w:eastAsia="Arial" w:hAnsi="Arial" w:cs="Arial"/>
        <w:b/>
        <w:color w:val="000000"/>
        <w:sz w:val="20"/>
        <w:szCs w:val="20"/>
      </w:rPr>
      <w:fldChar w:fldCharType="separate"/>
    </w:r>
    <w:r w:rsidR="009C3026">
      <w:rPr>
        <w:rFonts w:ascii="Arial" w:eastAsia="Arial" w:hAnsi="Arial" w:cs="Arial"/>
        <w:b/>
        <w:noProof/>
        <w:color w:val="000000"/>
        <w:sz w:val="20"/>
        <w:szCs w:val="20"/>
      </w:rPr>
      <w:t>14</w:t>
    </w:r>
    <w:r>
      <w:rPr>
        <w:rFonts w:ascii="Arial" w:eastAsia="Arial" w:hAnsi="Arial" w:cs="Arial"/>
        <w:b/>
        <w:color w:val="000000"/>
        <w:sz w:val="20"/>
        <w:szCs w:val="20"/>
      </w:rPr>
      <w:fldChar w:fldCharType="end"/>
    </w:r>
  </w:p>
  <w:p w:rsidR="00354665" w:rsidRDefault="00354665">
    <w:pPr>
      <w:pBdr>
        <w:top w:val="nil"/>
        <w:left w:val="nil"/>
        <w:bottom w:val="nil"/>
        <w:right w:val="nil"/>
        <w:between w:val="nil"/>
      </w:pBdr>
      <w:tabs>
        <w:tab w:val="center" w:pos="4419"/>
        <w:tab w:val="right" w:pos="8838"/>
      </w:tabs>
      <w:spacing w:after="0" w:line="240" w:lineRule="auto"/>
      <w:jc w:val="right"/>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8D7" w:rsidRDefault="00E128D7">
      <w:pPr>
        <w:spacing w:after="0" w:line="240" w:lineRule="auto"/>
      </w:pPr>
      <w:r>
        <w:separator/>
      </w:r>
    </w:p>
  </w:footnote>
  <w:footnote w:type="continuationSeparator" w:id="0">
    <w:p w:rsidR="00E128D7" w:rsidRDefault="00E128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665" w:rsidRDefault="00E128D7">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es-MX"/>
      </w:rPr>
      <mc:AlternateContent>
        <mc:Choice Requires="wpg">
          <w:drawing>
            <wp:anchor distT="0" distB="0" distL="0" distR="0" simplePos="0" relativeHeight="251659264" behindDoc="1" locked="0" layoutInCell="1" hidden="0" allowOverlap="1">
              <wp:simplePos x="0" y="0"/>
              <wp:positionH relativeFrom="margin">
                <wp:align>center</wp:align>
              </wp:positionH>
              <wp:positionV relativeFrom="margin">
                <wp:align>center</wp:align>
              </wp:positionV>
              <wp:extent cx="10636406" cy="10636406"/>
              <wp:effectExtent l="0" t="0" r="0" b="0"/>
              <wp:wrapNone/>
              <wp:docPr id="18" name="Rectángulo 18"/>
              <wp:cNvGraphicFramePr/>
              <a:graphic xmlns:a="http://schemas.openxmlformats.org/drawingml/2006/main">
                <a:graphicData uri="http://schemas.microsoft.com/office/word/2010/wordprocessingShape">
                  <wps:wsp>
                    <wps:cNvSpPr/>
                    <wps:spPr>
                      <a:xfrm rot="-2700000">
                        <a:off x="2440875" y="2945610"/>
                        <a:ext cx="5810250" cy="1668780"/>
                      </a:xfrm>
                      <a:prstGeom prst="rect">
                        <a:avLst/>
                      </a:prstGeom>
                      <a:noFill/>
                      <a:ln>
                        <a:noFill/>
                      </a:ln>
                    </wps:spPr>
                    <wps:txbx>
                      <w:txbxContent>
                        <w:p w:rsidR="00354665" w:rsidRDefault="00E128D7">
                          <w:pPr>
                            <w:spacing w:after="0" w:line="240" w:lineRule="auto"/>
                            <w:jc w:val="center"/>
                            <w:textDirection w:val="btLr"/>
                          </w:pPr>
                          <w:r>
                            <w:rPr>
                              <w:rFonts w:ascii="Arial" w:eastAsia="Arial" w:hAnsi="Arial" w:cs="Arial"/>
                              <w:color w:val="ED7D31"/>
                              <w:sz w:val="144"/>
                            </w:rPr>
                            <w:t>VOTO DISIDENTE</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10636406" cy="10636406"/>
              <wp:effectExtent b="0" l="0" r="0" t="0"/>
              <wp:wrapNone/>
              <wp:docPr id="18"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0636406" cy="10636406"/>
                      </a:xfrm>
                      <a:prstGeom prst="rect"/>
                      <a:ln/>
                    </pic:spPr>
                  </pic:pic>
                </a:graphicData>
              </a:graphic>
            </wp:anchor>
          </w:drawing>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665" w:rsidRDefault="00E128D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r>
      <w:rPr>
        <w:noProof/>
        <w:lang w:val="es-MX"/>
      </w:rPr>
      <w:drawing>
        <wp:anchor distT="0" distB="0" distL="0" distR="0" simplePos="0" relativeHeight="251658240" behindDoc="1" locked="0" layoutInCell="1" hidden="0" allowOverlap="1">
          <wp:simplePos x="0" y="0"/>
          <wp:positionH relativeFrom="column">
            <wp:posOffset>-1115057</wp:posOffset>
          </wp:positionH>
          <wp:positionV relativeFrom="paragraph">
            <wp:posOffset>-433701</wp:posOffset>
          </wp:positionV>
          <wp:extent cx="7510628" cy="988377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510628" cy="9883775"/>
                  </a:xfrm>
                  <a:prstGeom prst="rect">
                    <a:avLst/>
                  </a:prstGeom>
                  <a:ln/>
                </pic:spPr>
              </pic:pic>
            </a:graphicData>
          </a:graphic>
        </wp:anchor>
      </w:drawing>
    </w:r>
  </w:p>
  <w:p w:rsidR="00354665" w:rsidRDefault="003546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54665" w:rsidRDefault="003546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54665" w:rsidRDefault="00E128D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 xml:space="preserve">VOTO PARTICULAR </w:t>
    </w:r>
  </w:p>
  <w:p w:rsidR="00354665" w:rsidRDefault="00E128D7">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   RECURSOS DE REVISIÓN 00145/INFOEM/IP/RR/2023 </w:t>
    </w:r>
  </w:p>
  <w:p w:rsidR="00354665" w:rsidRDefault="0035466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4665" w:rsidRDefault="003546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54665" w:rsidRDefault="003546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54665" w:rsidRDefault="00354665">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20"/>
        <w:szCs w:val="20"/>
      </w:rPr>
    </w:pPr>
  </w:p>
  <w:p w:rsidR="00354665" w:rsidRDefault="00354665">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3C5F72"/>
    <w:multiLevelType w:val="multilevel"/>
    <w:tmpl w:val="B300AE3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EB72169"/>
    <w:multiLevelType w:val="multilevel"/>
    <w:tmpl w:val="DDE8A88C"/>
    <w:lvl w:ilvl="0">
      <w:start w:val="1"/>
      <w:numFmt w:val="upperRoman"/>
      <w:lvlText w:val="%1."/>
      <w:lvlJc w:val="left"/>
      <w:pPr>
        <w:ind w:left="1712" w:hanging="720"/>
      </w:pPr>
    </w:lvl>
    <w:lvl w:ilvl="1">
      <w:start w:val="1"/>
      <w:numFmt w:val="lowerLetter"/>
      <w:lvlText w:val="%2."/>
      <w:lvlJc w:val="left"/>
      <w:pPr>
        <w:ind w:left="2072" w:hanging="360"/>
      </w:pPr>
    </w:lvl>
    <w:lvl w:ilvl="2">
      <w:start w:val="1"/>
      <w:numFmt w:val="lowerRoman"/>
      <w:lvlText w:val="%3."/>
      <w:lvlJc w:val="right"/>
      <w:pPr>
        <w:ind w:left="2792" w:hanging="180"/>
      </w:pPr>
    </w:lvl>
    <w:lvl w:ilvl="3">
      <w:start w:val="1"/>
      <w:numFmt w:val="decimal"/>
      <w:lvlText w:val="%4."/>
      <w:lvlJc w:val="left"/>
      <w:pPr>
        <w:ind w:left="3512" w:hanging="360"/>
      </w:pPr>
    </w:lvl>
    <w:lvl w:ilvl="4">
      <w:start w:val="1"/>
      <w:numFmt w:val="lowerLetter"/>
      <w:lvlText w:val="%5."/>
      <w:lvlJc w:val="left"/>
      <w:pPr>
        <w:ind w:left="4232" w:hanging="360"/>
      </w:pPr>
    </w:lvl>
    <w:lvl w:ilvl="5">
      <w:start w:val="1"/>
      <w:numFmt w:val="lowerRoman"/>
      <w:lvlText w:val="%6."/>
      <w:lvlJc w:val="right"/>
      <w:pPr>
        <w:ind w:left="4952" w:hanging="180"/>
      </w:pPr>
    </w:lvl>
    <w:lvl w:ilvl="6">
      <w:start w:val="1"/>
      <w:numFmt w:val="decimal"/>
      <w:lvlText w:val="%7."/>
      <w:lvlJc w:val="left"/>
      <w:pPr>
        <w:ind w:left="5672" w:hanging="360"/>
      </w:pPr>
    </w:lvl>
    <w:lvl w:ilvl="7">
      <w:start w:val="1"/>
      <w:numFmt w:val="lowerLetter"/>
      <w:lvlText w:val="%8."/>
      <w:lvlJc w:val="left"/>
      <w:pPr>
        <w:ind w:left="6392" w:hanging="360"/>
      </w:pPr>
    </w:lvl>
    <w:lvl w:ilvl="8">
      <w:start w:val="1"/>
      <w:numFmt w:val="lowerRoman"/>
      <w:lvlText w:val="%9."/>
      <w:lvlJc w:val="right"/>
      <w:pPr>
        <w:ind w:left="7112" w:hanging="180"/>
      </w:pPr>
    </w:lvl>
  </w:abstractNum>
  <w:abstractNum w:abstractNumId="2" w15:restartNumberingAfterBreak="0">
    <w:nsid w:val="51F453E9"/>
    <w:multiLevelType w:val="multilevel"/>
    <w:tmpl w:val="D03055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665"/>
    <w:rsid w:val="000C0CB1"/>
    <w:rsid w:val="00354665"/>
    <w:rsid w:val="009C3026"/>
    <w:rsid w:val="00E128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AD56FA-E503-4B8C-BA0A-DA02157FE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7B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0607B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0607BA"/>
    <w:pPr>
      <w:tabs>
        <w:tab w:val="center" w:pos="4419"/>
        <w:tab w:val="right" w:pos="8838"/>
      </w:tabs>
      <w:spacing w:after="0" w:line="240" w:lineRule="auto"/>
    </w:pPr>
    <w:rPr>
      <w:rFonts w:ascii="Times New Roman" w:eastAsia="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0607BA"/>
    <w:rPr>
      <w:rFonts w:ascii="Times New Roman" w:eastAsia="Times New Roman" w:hAnsi="Times New Roman" w:cs="Times New Roman"/>
      <w:sz w:val="24"/>
      <w:szCs w:val="24"/>
      <w:lang w:val="es-ES" w:eastAsia="es-ES"/>
    </w:rPr>
  </w:style>
  <w:style w:type="paragraph" w:styleId="NormalWeb">
    <w:name w:val="Normal (Web)"/>
    <w:basedOn w:val="Normal"/>
    <w:uiPriority w:val="99"/>
    <w:rsid w:val="000607B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607BA"/>
    <w:pPr>
      <w:spacing w:after="0" w:line="240" w:lineRule="auto"/>
      <w:ind w:left="720"/>
      <w:contextualSpacing/>
    </w:pPr>
    <w:rPr>
      <w:rFonts w:ascii="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607BA"/>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45646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56467"/>
    <w:rPr>
      <w:rFonts w:ascii="Segoe UI" w:hAnsi="Segoe UI" w:cs="Segoe UI"/>
      <w:sz w:val="18"/>
      <w:szCs w:val="18"/>
    </w:rPr>
  </w:style>
  <w:style w:type="character" w:customStyle="1" w:styleId="apple-converted-space">
    <w:name w:val="apple-converted-space"/>
    <w:basedOn w:val="Fuentedeprrafopredeter"/>
    <w:rsid w:val="002618A9"/>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2161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21613"/>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21613"/>
    <w:rPr>
      <w:vertAlign w:val="superscript"/>
    </w:rPr>
  </w:style>
  <w:style w:type="character" w:styleId="Hipervnculo">
    <w:name w:val="Hyperlink"/>
    <w:basedOn w:val="Fuentedeprrafopredeter"/>
    <w:uiPriority w:val="99"/>
    <w:semiHidden/>
    <w:unhideWhenUsed/>
    <w:rsid w:val="00696A57"/>
    <w:rPr>
      <w:color w:val="0000FF"/>
      <w:u w:val="single"/>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styleId="Tablaconcuadrcula">
    <w:name w:val="Table Grid"/>
    <w:basedOn w:val="Tablanormal"/>
    <w:uiPriority w:val="59"/>
    <w:rsid w:val="00CF5F4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fundamentos"/>
    <w:link w:val="SinespaciadoCar"/>
    <w:uiPriority w:val="1"/>
    <w:qFormat/>
    <w:rsid w:val="003B565F"/>
    <w:pPr>
      <w:spacing w:after="0" w:line="240" w:lineRule="auto"/>
    </w:pPr>
    <w:rPr>
      <w:rFonts w:ascii="Times New Roman" w:eastAsia="Times New Roman" w:hAnsi="Times New Roman" w:cs="Times New Roman"/>
      <w:sz w:val="24"/>
      <w:szCs w:val="24"/>
      <w:lang w:val="es-MX" w:eastAsia="es-ES"/>
    </w:rPr>
  </w:style>
  <w:style w:type="character" w:customStyle="1" w:styleId="SinespaciadoCar">
    <w:name w:val="Sin espaciado Car"/>
    <w:aliases w:val="Francesa Car,INAI Car,fundamentos Car"/>
    <w:link w:val="Sinespaciado"/>
    <w:uiPriority w:val="1"/>
    <w:qFormat/>
    <w:locked/>
    <w:rsid w:val="003B565F"/>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GjpV46XgfiIRm/l6a8r7T9RhA==">CgMxLjAyCGguZ2pkZ3hzMg5oLjNoZXN0YWNzZzRweDgAciExV3VQMkZxU3A3ZXUzaU0tZXlTM0k4dEFIS1FSc0FoanU=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3104</Words>
  <Characters>17075</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20139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Jhancarlo</cp:lastModifiedBy>
  <cp:revision>2</cp:revision>
  <cp:lastPrinted>2023-10-06T15:14:00Z</cp:lastPrinted>
  <dcterms:created xsi:type="dcterms:W3CDTF">2023-10-05T22:47:00Z</dcterms:created>
  <dcterms:modified xsi:type="dcterms:W3CDTF">2023-10-06T15:15:00Z</dcterms:modified>
</cp:coreProperties>
</file>