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515" w:rsidRDefault="00165515" w:rsidP="00165515">
      <w:pPr>
        <w:spacing w:after="0" w:line="360" w:lineRule="auto"/>
        <w:jc w:val="both"/>
        <w:rPr>
          <w:rFonts w:ascii="Palatino Linotype" w:eastAsia="Palatino Linotype" w:hAnsi="Palatino Linotype" w:cs="Palatino Linotype"/>
          <w:b/>
          <w:color w:val="FF0000"/>
          <w:sz w:val="24"/>
          <w:szCs w:val="24"/>
        </w:rPr>
      </w:pPr>
      <w:bookmarkStart w:id="0" w:name="_heading=h.gjdgxs" w:colFirst="0" w:colLast="0"/>
      <w:bookmarkEnd w:id="0"/>
      <w:r>
        <w:rPr>
          <w:rFonts w:ascii="Palatino Linotype" w:eastAsia="Palatino Linotype" w:hAnsi="Palatino Linotype" w:cs="Palatino Linotype"/>
          <w:b/>
          <w:sz w:val="24"/>
          <w:szCs w:val="24"/>
        </w:rPr>
        <w:t>VOTO PARTICULAR QUE FORMULA LA COMISIONADA GUADALUPE RAMÍREZ PEÑA, EN RELACIÓN CON LA RESOLUCIÓN DICTADA POR EL PLENO DEL INSTITUTO DE TRANSPARENCIA, ACCESO A LA INFORMACIÓN PÚBLICA Y PROTECCIÓN DE DATOS PERSONALES DEL ESTADO DE MÉXICO Y MUNICIPIOS, EN LA TRIGÉSIMA OCTAVA SESIÓN ORDINARIA DEL VEINTICINCO DE OCTUBRE DE DOS MIL VEINTITRÉS, EN EL RECURSO DE REVISIÓN 03304/INFOEM/IP/RR/2023.</w:t>
      </w:r>
    </w:p>
    <w:p w:rsidR="00165515" w:rsidRDefault="00165515" w:rsidP="00165515">
      <w:pPr>
        <w:spacing w:after="0" w:line="360" w:lineRule="auto"/>
        <w:jc w:val="both"/>
        <w:rPr>
          <w:rFonts w:ascii="Palatino Linotype" w:eastAsia="Palatino Linotype" w:hAnsi="Palatino Linotype" w:cs="Palatino Linotype"/>
          <w:b/>
          <w:sz w:val="24"/>
          <w:szCs w:val="24"/>
        </w:rPr>
      </w:pPr>
    </w:p>
    <w:p w:rsidR="00165515" w:rsidRDefault="00165515" w:rsidP="0016551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 fundamento en lo dispuesto por el artículo 14, fracciones X y XI, del Reglamento del Instituto de Transparencia, Acceso a la Información Pública y Protección de Datos Personales del Estado de México, la suscrita emite </w:t>
      </w:r>
      <w:r>
        <w:rPr>
          <w:rFonts w:ascii="Palatino Linotype" w:eastAsia="Palatino Linotype" w:hAnsi="Palatino Linotype" w:cs="Palatino Linotype"/>
          <w:b/>
          <w:sz w:val="24"/>
          <w:szCs w:val="24"/>
        </w:rPr>
        <w:t xml:space="preserve">VOTO PARTICULAR </w:t>
      </w:r>
      <w:r>
        <w:rPr>
          <w:rFonts w:ascii="Palatino Linotype" w:eastAsia="Palatino Linotype" w:hAnsi="Palatino Linotype" w:cs="Palatino Linotype"/>
          <w:sz w:val="24"/>
          <w:szCs w:val="24"/>
        </w:rPr>
        <w:t xml:space="preserve">respecto a la resolución dictada en el recurso de revisión número </w:t>
      </w:r>
      <w:r>
        <w:rPr>
          <w:rFonts w:ascii="Palatino Linotype" w:eastAsia="Palatino Linotype" w:hAnsi="Palatino Linotype" w:cs="Palatino Linotype"/>
          <w:b/>
          <w:sz w:val="24"/>
          <w:szCs w:val="24"/>
        </w:rPr>
        <w:t>03304/INFOEM/IP/RR/2023</w:t>
      </w:r>
      <w:r>
        <w:rPr>
          <w:rFonts w:ascii="Palatino Linotype" w:eastAsia="Palatino Linotype" w:hAnsi="Palatino Linotype" w:cs="Palatino Linotype"/>
          <w:color w:val="000000"/>
          <w:sz w:val="24"/>
          <w:szCs w:val="24"/>
        </w:rPr>
        <w:t>, pronunciada por el Pleno de este Instituto ante el proyecto engrosado conforme al criterio mayoritario del Pleno, el cual es al tenor siguiente:</w:t>
      </w:r>
    </w:p>
    <w:p w:rsidR="00165515" w:rsidRDefault="00165515" w:rsidP="00165515">
      <w:pPr>
        <w:spacing w:after="0" w:line="360" w:lineRule="auto"/>
        <w:jc w:val="both"/>
        <w:rPr>
          <w:rFonts w:ascii="Palatino Linotype" w:eastAsia="Palatino Linotype" w:hAnsi="Palatino Linotype" w:cs="Palatino Linotype"/>
          <w:sz w:val="24"/>
          <w:szCs w:val="24"/>
        </w:rPr>
      </w:pPr>
    </w:p>
    <w:p w:rsidR="00165515" w:rsidRDefault="00165515" w:rsidP="00165515">
      <w:pPr>
        <w:numPr>
          <w:ilvl w:val="0"/>
          <w:numId w:val="6"/>
        </w:numPr>
        <w:spacing w:after="0" w:line="360" w:lineRule="auto"/>
        <w:ind w:left="567" w:hanging="141"/>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Antecedentes.</w:t>
      </w:r>
    </w:p>
    <w:p w:rsidR="00165515" w:rsidRDefault="00165515" w:rsidP="00165515">
      <w:pPr>
        <w:spacing w:after="0" w:line="360" w:lineRule="auto"/>
        <w:ind w:left="567"/>
        <w:jc w:val="both"/>
        <w:rPr>
          <w:rFonts w:ascii="Palatino Linotype" w:eastAsia="Palatino Linotype" w:hAnsi="Palatino Linotype" w:cs="Palatino Linotype"/>
          <w:b/>
          <w:sz w:val="24"/>
          <w:szCs w:val="24"/>
        </w:rPr>
      </w:pPr>
    </w:p>
    <w:p w:rsidR="00165515" w:rsidRDefault="00165515" w:rsidP="0016551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asunto que nos ocupa,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solicitó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le proporcionara la siguiente información: </w:t>
      </w:r>
    </w:p>
    <w:p w:rsidR="00165515" w:rsidRDefault="00165515" w:rsidP="00165515">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rPr>
      </w:pPr>
    </w:p>
    <w:p w:rsidR="00165515" w:rsidRDefault="00165515" w:rsidP="00165515">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rPr>
      </w:pPr>
      <w:r>
        <w:rPr>
          <w:rFonts w:ascii="Palatino Linotype" w:eastAsia="Palatino Linotype" w:hAnsi="Palatino Linotype" w:cs="Palatino Linotype"/>
          <w:i/>
          <w:color w:val="404040"/>
        </w:rPr>
        <w:t>“</w:t>
      </w:r>
      <w:r>
        <w:rPr>
          <w:rFonts w:ascii="Palatino Linotype" w:eastAsia="Palatino Linotype" w:hAnsi="Palatino Linotype" w:cs="Palatino Linotype"/>
          <w:i/>
          <w:color w:val="000000"/>
        </w:rPr>
        <w:t xml:space="preserve">SOLICITO LA NÓMINA DE LA ÚLTIMA QUINCENA DEL MES DE MAYO DEL 2023, DE TODO EL PERSONAL DEL AYUNTAMIENTO DE NICOLÀS ROMERO, SINDICALIZADO, NO SINDICALIZADO, </w:t>
      </w:r>
      <w:r>
        <w:rPr>
          <w:rFonts w:ascii="Palatino Linotype" w:eastAsia="Palatino Linotype" w:hAnsi="Palatino Linotype" w:cs="Palatino Linotype"/>
          <w:i/>
          <w:color w:val="000000"/>
        </w:rPr>
        <w:lastRenderedPageBreak/>
        <w:t>POLICÍAS, MANDOS MEDIOS Y SUPERIORES, ASÍ COMO LOS INTEGRANTES DE CABILDO. CONTEMPLANDO TAMBIÉN A TODO AQUEL PERSONAL QUE SE ENCUENTRE EN CALIDAD DE ASESORES O SIMILARES, ASISTENTES O AUXILIARES, ASÍ COMO LOS QUE SE ENCUENTRAN POR HONORARIOS. TAMBIEN SE SOLICITA LA INFORMACIÒN VIGENTE DE LO SIGUIENTE: NÙMERO DE PLACA, SERVIDOR PÙBLICO AL QUE ESTA ASIGNADO, TIPO DE VEHÌCULO Y MARCA, DE TODOS LOS VEHÌCULOS OFICIALES PERTENECIENTES AL AYUNTAMIENTO.</w:t>
      </w:r>
      <w:r>
        <w:rPr>
          <w:rFonts w:ascii="Palatino Linotype" w:eastAsia="Palatino Linotype" w:hAnsi="Palatino Linotype" w:cs="Palatino Linotype"/>
          <w:i/>
          <w:color w:val="404040"/>
        </w:rPr>
        <w:t>”</w:t>
      </w:r>
    </w:p>
    <w:p w:rsidR="00165515" w:rsidRDefault="00165515" w:rsidP="00165515">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rPr>
      </w:pPr>
    </w:p>
    <w:p w:rsidR="00165515" w:rsidRDefault="00165515" w:rsidP="0016551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respuesta,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refirió lo que se describe a continuación:</w:t>
      </w:r>
    </w:p>
    <w:p w:rsidR="00165515" w:rsidRDefault="00165515" w:rsidP="00165515">
      <w:pPr>
        <w:spacing w:after="0" w:line="360" w:lineRule="auto"/>
        <w:jc w:val="both"/>
        <w:rPr>
          <w:rFonts w:ascii="Palatino Linotype" w:eastAsia="Palatino Linotype" w:hAnsi="Palatino Linotype" w:cs="Palatino Linotype"/>
          <w:color w:val="000000"/>
          <w:sz w:val="24"/>
          <w:szCs w:val="24"/>
        </w:rPr>
      </w:pPr>
    </w:p>
    <w:p w:rsidR="00165515" w:rsidRDefault="00165515" w:rsidP="0016551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00000"/>
          <w:sz w:val="24"/>
          <w:szCs w:val="24"/>
        </w:rPr>
        <w:t xml:space="preserve">La </w:t>
      </w:r>
      <w:r>
        <w:rPr>
          <w:rFonts w:ascii="Palatino Linotype" w:eastAsia="Palatino Linotype" w:hAnsi="Palatino Linotype" w:cs="Palatino Linotype"/>
          <w:sz w:val="24"/>
          <w:szCs w:val="24"/>
        </w:rPr>
        <w:t xml:space="preserve">Oficialía Mayor de la Tesorería Municipal donde le refiere a la parte solicitante que </w:t>
      </w:r>
      <w:r>
        <w:rPr>
          <w:rFonts w:ascii="Palatino Linotype" w:eastAsia="Palatino Linotype" w:hAnsi="Palatino Linotype" w:cs="Palatino Linotype"/>
          <w:i/>
          <w:sz w:val="24"/>
          <w:szCs w:val="24"/>
        </w:rPr>
        <w:t>“… la documental requerida por el solicitante consta de 1,317 talones de pago impresos por su anverso en copia simple, mismas que se requieren para dar atención a lo solicitado…” (Sic),</w:t>
      </w:r>
      <w:r>
        <w:rPr>
          <w:rFonts w:ascii="Palatino Linotype" w:eastAsia="Palatino Linotype" w:hAnsi="Palatino Linotype" w:cs="Palatino Linotype"/>
          <w:sz w:val="24"/>
          <w:szCs w:val="24"/>
        </w:rPr>
        <w:t xml:space="preserve"> y además señaló que </w:t>
      </w:r>
      <w:r>
        <w:rPr>
          <w:rFonts w:ascii="Palatino Linotype" w:eastAsia="Palatino Linotype" w:hAnsi="Palatino Linotype" w:cs="Palatino Linotype"/>
          <w:i/>
          <w:sz w:val="24"/>
          <w:szCs w:val="24"/>
        </w:rPr>
        <w:t xml:space="preserve">“… la reproducción de los mismos genera un costo en materiales…” (Sic) </w:t>
      </w:r>
      <w:r>
        <w:rPr>
          <w:rFonts w:ascii="Palatino Linotype" w:eastAsia="Palatino Linotype" w:hAnsi="Palatino Linotype" w:cs="Palatino Linotype"/>
          <w:sz w:val="24"/>
          <w:szCs w:val="24"/>
        </w:rPr>
        <w:t xml:space="preserve">por lo cual, con fundamento en el Código Financiero para el Estado de México, señaló los costos que la persona solicitante debía de cubrir para que previo pago le fuera entregada la información. </w:t>
      </w:r>
    </w:p>
    <w:p w:rsidR="00165515" w:rsidRDefault="00165515" w:rsidP="00165515">
      <w:pPr>
        <w:spacing w:after="0" w:line="360" w:lineRule="auto"/>
        <w:jc w:val="both"/>
        <w:rPr>
          <w:rFonts w:ascii="Palatino Linotype" w:eastAsia="Palatino Linotype" w:hAnsi="Palatino Linotype" w:cs="Palatino Linotype"/>
          <w:sz w:val="24"/>
          <w:szCs w:val="24"/>
        </w:rPr>
      </w:pPr>
    </w:p>
    <w:p w:rsidR="00165515" w:rsidRDefault="00165515" w:rsidP="0016551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Además dijo que por lo que hace a los cuerpos de seguridad pública y tránsito municipal, sus datos se encuentran clasificados como reservados según el acuerdo </w:t>
      </w:r>
      <w:r>
        <w:rPr>
          <w:rFonts w:ascii="Palatino Linotype" w:eastAsia="Palatino Linotype" w:hAnsi="Palatino Linotype" w:cs="Palatino Linotype"/>
          <w:i/>
          <w:sz w:val="24"/>
          <w:szCs w:val="24"/>
        </w:rPr>
        <w:t>NR/CTM/ACR/EXT09/37/2022</w:t>
      </w:r>
      <w:r>
        <w:rPr>
          <w:rFonts w:ascii="Palatino Linotype" w:eastAsia="Palatino Linotype" w:hAnsi="Palatino Linotype" w:cs="Palatino Linotype"/>
          <w:sz w:val="24"/>
          <w:szCs w:val="24"/>
        </w:rPr>
        <w:t xml:space="preserve"> celebrado el veintisiete de septiembre de dos mil veintidós por el Comité de Transparencia del Ayuntamiento. </w:t>
      </w:r>
    </w:p>
    <w:p w:rsidR="00165515" w:rsidRDefault="00165515" w:rsidP="00165515">
      <w:pPr>
        <w:spacing w:after="0" w:line="360" w:lineRule="auto"/>
        <w:jc w:val="both"/>
        <w:rPr>
          <w:rFonts w:ascii="Palatino Linotype" w:eastAsia="Palatino Linotype" w:hAnsi="Palatino Linotype" w:cs="Palatino Linotype"/>
          <w:sz w:val="24"/>
          <w:szCs w:val="24"/>
        </w:rPr>
      </w:pPr>
    </w:p>
    <w:p w:rsidR="00165515" w:rsidRDefault="00165515" w:rsidP="0016551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Respecto a la información del número de placa, persona servidora pública a la que se le asignó, tipo de vehículo y marca se sirvió remitir un anexo </w:t>
      </w:r>
    </w:p>
    <w:p w:rsidR="00165515" w:rsidRDefault="00165515" w:rsidP="00165515">
      <w:pPr>
        <w:spacing w:after="0" w:line="360" w:lineRule="auto"/>
        <w:jc w:val="both"/>
        <w:rPr>
          <w:rFonts w:ascii="Palatino Linotype" w:eastAsia="Palatino Linotype" w:hAnsi="Palatino Linotype" w:cs="Palatino Linotype"/>
          <w:sz w:val="24"/>
          <w:szCs w:val="24"/>
        </w:rPr>
      </w:pPr>
    </w:p>
    <w:p w:rsidR="00165515" w:rsidRDefault="00165515" w:rsidP="0016551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Mientras que la Secretaría del Ayuntamiento informa que se remite para conocimiento de la persona solicitante el inventario general de parque vehicular, que obra en el Sistema CREG Patrimonial, y determina que el emplacado le corresponde al Departamento de Control Vehicular dependiente de la Oficialía Mayor de la Tesorería. </w:t>
      </w:r>
    </w:p>
    <w:p w:rsidR="00165515" w:rsidRDefault="00165515" w:rsidP="00165515">
      <w:pPr>
        <w:spacing w:after="0" w:line="360" w:lineRule="auto"/>
        <w:jc w:val="both"/>
        <w:rPr>
          <w:rFonts w:ascii="Palatino Linotype" w:eastAsia="Palatino Linotype" w:hAnsi="Palatino Linotype" w:cs="Palatino Linotype"/>
          <w:sz w:val="24"/>
          <w:szCs w:val="24"/>
        </w:rPr>
      </w:pPr>
    </w:p>
    <w:p w:rsidR="00165515" w:rsidRDefault="00165515" w:rsidP="0016551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Posteriormente, la parte solicitante presentó su medio de impugnación, a través del cual refirió lo siguiente: </w:t>
      </w:r>
    </w:p>
    <w:p w:rsidR="00165515" w:rsidRDefault="00165515" w:rsidP="00165515">
      <w:pPr>
        <w:spacing w:after="0" w:line="360" w:lineRule="auto"/>
        <w:jc w:val="both"/>
        <w:rPr>
          <w:rFonts w:ascii="Palatino Linotype" w:eastAsia="Palatino Linotype" w:hAnsi="Palatino Linotype" w:cs="Palatino Linotype"/>
          <w:b/>
          <w:sz w:val="24"/>
          <w:szCs w:val="24"/>
        </w:rPr>
      </w:pPr>
    </w:p>
    <w:p w:rsidR="00165515" w:rsidRDefault="00165515" w:rsidP="00165515">
      <w:pPr>
        <w:tabs>
          <w:tab w:val="left" w:pos="2745"/>
        </w:tabs>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Acto impugnado: </w:t>
      </w:r>
    </w:p>
    <w:p w:rsidR="00165515" w:rsidRDefault="00165515" w:rsidP="00165515">
      <w:pPr>
        <w:pBdr>
          <w:top w:val="nil"/>
          <w:left w:val="nil"/>
          <w:bottom w:val="nil"/>
          <w:right w:val="nil"/>
          <w:between w:val="nil"/>
        </w:pBdr>
        <w:spacing w:after="0" w:line="240" w:lineRule="auto"/>
        <w:ind w:left="851" w:right="851"/>
        <w:jc w:val="both"/>
        <w:rPr>
          <w:rFonts w:ascii="Palatino Linotype" w:eastAsia="Palatino Linotype" w:hAnsi="Palatino Linotype" w:cs="Palatino Linotype"/>
          <w:i/>
          <w:color w:val="000000"/>
          <w:sz w:val="24"/>
          <w:szCs w:val="24"/>
        </w:rPr>
      </w:pPr>
    </w:p>
    <w:p w:rsidR="00165515" w:rsidRDefault="00165515" w:rsidP="00165515">
      <w:pPr>
        <w:pBdr>
          <w:top w:val="nil"/>
          <w:left w:val="nil"/>
          <w:bottom w:val="nil"/>
          <w:right w:val="nil"/>
          <w:between w:val="nil"/>
        </w:pBdr>
        <w:spacing w:after="0" w:line="240" w:lineRule="auto"/>
        <w:ind w:left="851" w:right="851"/>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 xml:space="preserve">“Entrega de información incompleta” (Sic) </w:t>
      </w:r>
    </w:p>
    <w:p w:rsidR="00165515" w:rsidRDefault="00165515" w:rsidP="00165515">
      <w:pPr>
        <w:pBdr>
          <w:top w:val="nil"/>
          <w:left w:val="nil"/>
          <w:bottom w:val="nil"/>
          <w:right w:val="nil"/>
          <w:between w:val="nil"/>
        </w:pBdr>
        <w:spacing w:after="0" w:line="240" w:lineRule="auto"/>
        <w:ind w:left="851" w:right="851"/>
        <w:jc w:val="both"/>
        <w:rPr>
          <w:rFonts w:ascii="Palatino Linotype" w:eastAsia="Palatino Linotype" w:hAnsi="Palatino Linotype" w:cs="Palatino Linotype"/>
          <w:i/>
          <w:color w:val="000000"/>
          <w:sz w:val="24"/>
          <w:szCs w:val="24"/>
        </w:rPr>
      </w:pPr>
    </w:p>
    <w:p w:rsidR="00165515" w:rsidRDefault="00165515" w:rsidP="0016551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Razones o motivos de inconformidad</w:t>
      </w:r>
      <w:r>
        <w:rPr>
          <w:rFonts w:ascii="Palatino Linotype" w:eastAsia="Palatino Linotype" w:hAnsi="Palatino Linotype" w:cs="Palatino Linotype"/>
          <w:sz w:val="24"/>
          <w:szCs w:val="24"/>
        </w:rPr>
        <w:t>:</w:t>
      </w:r>
    </w:p>
    <w:p w:rsidR="00165515" w:rsidRDefault="00165515" w:rsidP="00165515">
      <w:pPr>
        <w:pBdr>
          <w:top w:val="nil"/>
          <w:left w:val="nil"/>
          <w:bottom w:val="nil"/>
          <w:right w:val="nil"/>
          <w:between w:val="nil"/>
        </w:pBdr>
        <w:spacing w:after="0" w:line="240" w:lineRule="auto"/>
        <w:ind w:left="851" w:right="851"/>
        <w:jc w:val="both"/>
        <w:rPr>
          <w:rFonts w:ascii="Palatino Linotype" w:eastAsia="Palatino Linotype" w:hAnsi="Palatino Linotype" w:cs="Palatino Linotype"/>
          <w:i/>
          <w:color w:val="000000"/>
          <w:sz w:val="24"/>
          <w:szCs w:val="24"/>
        </w:rPr>
      </w:pPr>
    </w:p>
    <w:p w:rsidR="00165515" w:rsidRDefault="00165515" w:rsidP="00165515">
      <w:pPr>
        <w:pBdr>
          <w:top w:val="nil"/>
          <w:left w:val="nil"/>
          <w:bottom w:val="nil"/>
          <w:right w:val="nil"/>
          <w:between w:val="nil"/>
        </w:pBdr>
        <w:spacing w:after="0" w:line="240" w:lineRule="auto"/>
        <w:ind w:left="851" w:right="851"/>
        <w:jc w:val="both"/>
        <w:rPr>
          <w:rFonts w:ascii="Palatino Linotype" w:eastAsia="Palatino Linotype" w:hAnsi="Palatino Linotype" w:cs="Palatino Linotype"/>
          <w:b/>
          <w:i/>
          <w:color w:val="000000"/>
          <w:sz w:val="24"/>
          <w:szCs w:val="24"/>
          <w:u w:val="single"/>
        </w:rPr>
      </w:pPr>
      <w:r>
        <w:rPr>
          <w:rFonts w:ascii="Palatino Linotype" w:eastAsia="Palatino Linotype" w:hAnsi="Palatino Linotype" w:cs="Palatino Linotype"/>
          <w:i/>
          <w:color w:val="000000"/>
          <w:sz w:val="24"/>
          <w:szCs w:val="24"/>
        </w:rPr>
        <w:t xml:space="preserve">“No hacen entrega completa de la información que se solicito al Ayuntamiento de Nicolás Romero, </w:t>
      </w:r>
      <w:r>
        <w:rPr>
          <w:rFonts w:ascii="Palatino Linotype" w:eastAsia="Palatino Linotype" w:hAnsi="Palatino Linotype" w:cs="Palatino Linotype"/>
          <w:b/>
          <w:i/>
          <w:color w:val="000000"/>
          <w:sz w:val="24"/>
          <w:szCs w:val="24"/>
          <w:u w:val="single"/>
        </w:rPr>
        <w:t xml:space="preserve">argumentando que dedo de realizar un pago, </w:t>
      </w:r>
      <w:r>
        <w:rPr>
          <w:rFonts w:ascii="Palatino Linotype" w:eastAsia="Palatino Linotype" w:hAnsi="Palatino Linotype" w:cs="Palatino Linotype"/>
          <w:i/>
          <w:color w:val="000000"/>
          <w:sz w:val="24"/>
          <w:szCs w:val="24"/>
        </w:rPr>
        <w:t xml:space="preserve">siendo que es información que deben de proporcionar ya que esta dentro de sus capacidades entregar.” (Sic) </w:t>
      </w:r>
      <w:r>
        <w:rPr>
          <w:rFonts w:ascii="Palatino Linotype" w:eastAsia="Palatino Linotype" w:hAnsi="Palatino Linotype" w:cs="Palatino Linotype"/>
          <w:b/>
          <w:i/>
          <w:color w:val="000000"/>
          <w:sz w:val="24"/>
          <w:szCs w:val="24"/>
          <w:u w:val="single"/>
        </w:rPr>
        <w:t>Énfasis añadido</w:t>
      </w:r>
    </w:p>
    <w:p w:rsidR="00165515" w:rsidRDefault="00165515" w:rsidP="00165515">
      <w:pPr>
        <w:spacing w:after="0" w:line="240" w:lineRule="auto"/>
        <w:jc w:val="both"/>
        <w:rPr>
          <w:rFonts w:ascii="Palatino Linotype" w:eastAsia="Palatino Linotype" w:hAnsi="Palatino Linotype" w:cs="Palatino Linotype"/>
          <w:b/>
          <w:sz w:val="24"/>
          <w:szCs w:val="24"/>
        </w:rPr>
      </w:pPr>
    </w:p>
    <w:p w:rsidR="00165515" w:rsidRDefault="00165515" w:rsidP="0016551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Las partes fueron omisas en rendir manifestaciones. </w:t>
      </w:r>
    </w:p>
    <w:p w:rsidR="00165515" w:rsidRDefault="00165515" w:rsidP="00165515">
      <w:pPr>
        <w:spacing w:after="0" w:line="360" w:lineRule="auto"/>
        <w:jc w:val="both"/>
        <w:rPr>
          <w:rFonts w:ascii="Palatino Linotype" w:eastAsia="Palatino Linotype" w:hAnsi="Palatino Linotype" w:cs="Palatino Linotype"/>
          <w:sz w:val="24"/>
          <w:szCs w:val="24"/>
        </w:rPr>
      </w:pPr>
    </w:p>
    <w:p w:rsidR="00165515" w:rsidRDefault="00165515" w:rsidP="0016551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Así las cosas, una vez analizadas las constancias que obran en el expediente electrónico del SAIMEX, el Pleno del Infoem determinó </w:t>
      </w:r>
      <w:r>
        <w:rPr>
          <w:rFonts w:ascii="Palatino Linotype" w:eastAsia="Palatino Linotype" w:hAnsi="Palatino Linotype" w:cs="Palatino Linotype"/>
          <w:b/>
          <w:sz w:val="24"/>
          <w:szCs w:val="24"/>
        </w:rPr>
        <w:t xml:space="preserve">MODIFICAR </w:t>
      </w:r>
      <w:r>
        <w:rPr>
          <w:rFonts w:ascii="Palatino Linotype" w:eastAsia="Palatino Linotype" w:hAnsi="Palatino Linotype" w:cs="Palatino Linotype"/>
          <w:sz w:val="24"/>
          <w:szCs w:val="24"/>
        </w:rPr>
        <w:t xml:space="preserve">la respuesta y determinó </w:t>
      </w:r>
      <w:r>
        <w:rPr>
          <w:rFonts w:ascii="Palatino Linotype" w:eastAsia="Palatino Linotype" w:hAnsi="Palatino Linotype" w:cs="Palatino Linotype"/>
          <w:b/>
          <w:sz w:val="24"/>
          <w:szCs w:val="24"/>
        </w:rPr>
        <w:t xml:space="preserve">ORDENAR </w:t>
      </w:r>
      <w:r>
        <w:rPr>
          <w:rFonts w:ascii="Palatino Linotype" w:eastAsia="Palatino Linotype" w:hAnsi="Palatino Linotype" w:cs="Palatino Linotype"/>
          <w:sz w:val="24"/>
          <w:szCs w:val="24"/>
        </w:rPr>
        <w:t>la siguiente información:</w:t>
      </w:r>
    </w:p>
    <w:p w:rsidR="00165515" w:rsidRDefault="00165515" w:rsidP="00165515">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sz w:val="24"/>
          <w:szCs w:val="24"/>
        </w:rPr>
      </w:pPr>
    </w:p>
    <w:p w:rsidR="00165515" w:rsidRDefault="00165515" w:rsidP="00165515">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sz w:val="24"/>
          <w:szCs w:val="24"/>
        </w:rPr>
      </w:pPr>
      <w:r>
        <w:rPr>
          <w:rFonts w:ascii="Palatino Linotype" w:eastAsia="Palatino Linotype" w:hAnsi="Palatino Linotype" w:cs="Palatino Linotype"/>
          <w:b/>
          <w:i/>
          <w:color w:val="404040"/>
          <w:sz w:val="24"/>
          <w:szCs w:val="24"/>
        </w:rPr>
        <w:t xml:space="preserve">SEGUNDO. </w:t>
      </w:r>
      <w:r>
        <w:rPr>
          <w:rFonts w:ascii="Palatino Linotype" w:eastAsia="Palatino Linotype" w:hAnsi="Palatino Linotype" w:cs="Palatino Linotype"/>
          <w:i/>
          <w:color w:val="404040"/>
          <w:sz w:val="24"/>
          <w:szCs w:val="24"/>
        </w:rPr>
        <w:t xml:space="preserve">Se </w:t>
      </w:r>
      <w:r>
        <w:rPr>
          <w:rFonts w:ascii="Palatino Linotype" w:eastAsia="Palatino Linotype" w:hAnsi="Palatino Linotype" w:cs="Palatino Linotype"/>
          <w:b/>
          <w:i/>
          <w:color w:val="404040"/>
          <w:sz w:val="24"/>
          <w:szCs w:val="24"/>
        </w:rPr>
        <w:t>ORDENA</w:t>
      </w:r>
      <w:r>
        <w:rPr>
          <w:rFonts w:ascii="Palatino Linotype" w:eastAsia="Palatino Linotype" w:hAnsi="Palatino Linotype" w:cs="Palatino Linotype"/>
          <w:i/>
          <w:color w:val="404040"/>
          <w:sz w:val="24"/>
          <w:szCs w:val="24"/>
        </w:rPr>
        <w:t xml:space="preserve"> al </w:t>
      </w:r>
      <w:r>
        <w:rPr>
          <w:rFonts w:ascii="Palatino Linotype" w:eastAsia="Palatino Linotype" w:hAnsi="Palatino Linotype" w:cs="Palatino Linotype"/>
          <w:b/>
          <w:i/>
          <w:color w:val="404040"/>
          <w:sz w:val="24"/>
          <w:szCs w:val="24"/>
        </w:rPr>
        <w:t>SUJETO OBLIGADO</w:t>
      </w:r>
      <w:r>
        <w:rPr>
          <w:rFonts w:ascii="Palatino Linotype" w:eastAsia="Palatino Linotype" w:hAnsi="Palatino Linotype" w:cs="Palatino Linotype"/>
          <w:i/>
          <w:color w:val="404040"/>
          <w:sz w:val="24"/>
          <w:szCs w:val="24"/>
        </w:rPr>
        <w:t xml:space="preserve">, en términos de los </w:t>
      </w:r>
      <w:r>
        <w:rPr>
          <w:rFonts w:ascii="Palatino Linotype" w:eastAsia="Palatino Linotype" w:hAnsi="Palatino Linotype" w:cs="Palatino Linotype"/>
          <w:b/>
          <w:i/>
          <w:color w:val="404040"/>
          <w:sz w:val="24"/>
          <w:szCs w:val="24"/>
        </w:rPr>
        <w:t xml:space="preserve">CONSIDERANDOS CUARTO </w:t>
      </w:r>
      <w:r>
        <w:rPr>
          <w:rFonts w:ascii="Palatino Linotype" w:eastAsia="Palatino Linotype" w:hAnsi="Palatino Linotype" w:cs="Palatino Linotype"/>
          <w:i/>
          <w:color w:val="404040"/>
          <w:sz w:val="24"/>
          <w:szCs w:val="24"/>
        </w:rPr>
        <w:t>y</w:t>
      </w:r>
      <w:r>
        <w:rPr>
          <w:rFonts w:ascii="Palatino Linotype" w:eastAsia="Palatino Linotype" w:hAnsi="Palatino Linotype" w:cs="Palatino Linotype"/>
          <w:b/>
          <w:i/>
          <w:color w:val="404040"/>
          <w:sz w:val="24"/>
          <w:szCs w:val="24"/>
        </w:rPr>
        <w:t xml:space="preserve"> QUINTO </w:t>
      </w:r>
      <w:r>
        <w:rPr>
          <w:rFonts w:ascii="Palatino Linotype" w:eastAsia="Palatino Linotype" w:hAnsi="Palatino Linotype" w:cs="Palatino Linotype"/>
          <w:i/>
          <w:color w:val="404040"/>
          <w:sz w:val="24"/>
          <w:szCs w:val="24"/>
        </w:rPr>
        <w:t xml:space="preserve">de esta resolución, haga entrega, vía SAIMEX, en versión pública, del: </w:t>
      </w:r>
    </w:p>
    <w:p w:rsidR="00165515" w:rsidRDefault="00165515" w:rsidP="00165515">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404040"/>
          <w:sz w:val="24"/>
          <w:szCs w:val="24"/>
        </w:rPr>
      </w:pPr>
    </w:p>
    <w:p w:rsidR="00165515" w:rsidRDefault="00165515" w:rsidP="00165515">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Documento donde conste la nómina de todo el personal adscrito al Ayuntamiento de Nicolás Romero de la primera quincena de mayo de dos mil veintitrés.</w:t>
      </w:r>
    </w:p>
    <w:p w:rsidR="00165515" w:rsidRDefault="00165515" w:rsidP="00165515">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000000"/>
          <w:sz w:val="24"/>
          <w:szCs w:val="24"/>
        </w:rPr>
      </w:pPr>
    </w:p>
    <w:p w:rsidR="00165515" w:rsidRDefault="00165515" w:rsidP="00165515">
      <w:pPr>
        <w:pBdr>
          <w:top w:val="nil"/>
          <w:left w:val="nil"/>
          <w:bottom w:val="nil"/>
          <w:right w:val="nil"/>
          <w:between w:val="nil"/>
        </w:pBdr>
        <w:spacing w:after="0" w:line="240" w:lineRule="auto"/>
        <w:ind w:left="864" w:right="864"/>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 xml:space="preserve">Debiendo acompañar con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Pr>
          <w:rFonts w:ascii="Palatino Linotype" w:eastAsia="Palatino Linotype" w:hAnsi="Palatino Linotype" w:cs="Palatino Linotype"/>
          <w:b/>
          <w:i/>
          <w:color w:val="000000"/>
          <w:sz w:val="24"/>
          <w:szCs w:val="24"/>
        </w:rPr>
        <w:t>LA PARTE RECURRENTE,</w:t>
      </w:r>
      <w:r>
        <w:rPr>
          <w:rFonts w:ascii="Palatino Linotype" w:eastAsia="Palatino Linotype" w:hAnsi="Palatino Linotype" w:cs="Palatino Linotype"/>
          <w:i/>
          <w:color w:val="000000"/>
          <w:sz w:val="24"/>
          <w:szCs w:val="24"/>
        </w:rPr>
        <w:t xml:space="preserve"> mismo que igualmente hará de su conocimiento.</w:t>
      </w:r>
    </w:p>
    <w:p w:rsidR="00165515" w:rsidRDefault="00165515" w:rsidP="00165515"/>
    <w:p w:rsidR="00165515" w:rsidRDefault="00165515" w:rsidP="00165515">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bookmarkStart w:id="1" w:name="_heading=h.3hestacsg4px" w:colFirst="0" w:colLast="0"/>
      <w:bookmarkEnd w:id="1"/>
      <w:r>
        <w:rPr>
          <w:rFonts w:ascii="Palatino Linotype" w:eastAsia="Palatino Linotype" w:hAnsi="Palatino Linotype" w:cs="Palatino Linotype"/>
          <w:b/>
          <w:sz w:val="24"/>
          <w:szCs w:val="24"/>
        </w:rPr>
        <w:t>RAZONES DEL VOTO PARTICULAR.</w:t>
      </w:r>
    </w:p>
    <w:p w:rsidR="00165515" w:rsidRDefault="00165515" w:rsidP="00165515">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165515" w:rsidRDefault="00165515" w:rsidP="001655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este orden de ideas, resulta importante señalar que coincido con los términos generales planteados en la resolución toda vez que por regla general la publicidad de las remuneraciones a las que se hacen acreedores los servidores públicos en el  ejercicio de la función pública, se encuentran establecidas como una obligación de transparencia común, tanto en la Ley General como en la Ley Local, y de manera específica, el artículo 92, fracción VIII de la Ley de Transparencia y Acceso a la </w:t>
      </w:r>
      <w:r>
        <w:rPr>
          <w:rFonts w:ascii="Palatino Linotype" w:eastAsia="Palatino Linotype" w:hAnsi="Palatino Linotype" w:cs="Palatino Linotype"/>
          <w:color w:val="000000"/>
          <w:sz w:val="24"/>
          <w:szCs w:val="24"/>
        </w:rPr>
        <w:lastRenderedPageBreak/>
        <w:t xml:space="preserve">Información Pública del Estado de México y Municipios; no obstante lo anterior, considero que dicha regla está sujeta a claro régimen de excepción, la cual concretamente se aprecia en el caso de las remuneraciones de personal que se encuentra adscrito a instituciones de seguridad pública con funciones operativas en atención a los consideraciones que a continuación se exponen. </w:t>
      </w:r>
    </w:p>
    <w:p w:rsidR="00165515" w:rsidRDefault="00165515" w:rsidP="001655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165515" w:rsidRDefault="00165515" w:rsidP="001655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Sobre este punto, debemos partir desde la máxima establecida en nuestro texto Constitucional Federal pues el artículo 21 en su párrafo noveno reconoce que la seguridad pública es una función del Estado a cargo de la Federación, las Entidades Federativas y </w:t>
      </w:r>
      <w:r>
        <w:rPr>
          <w:rFonts w:ascii="Palatino Linotype" w:eastAsia="Palatino Linotype" w:hAnsi="Palatino Linotype" w:cs="Palatino Linotype"/>
          <w:b/>
          <w:color w:val="000000"/>
          <w:sz w:val="24"/>
          <w:szCs w:val="24"/>
        </w:rPr>
        <w:t>los Municipios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cuyos fines son salvaguardar la vida, las libertades, la integridad y el patrimonio de las personas, así como contribuir a la generación y preservación del orden público y la paz social</w:t>
      </w:r>
      <w:r>
        <w:rPr>
          <w:rFonts w:ascii="Palatino Linotype" w:eastAsia="Palatino Linotype" w:hAnsi="Palatino Linotype" w:cs="Palatino Linotype"/>
          <w:color w:val="000000"/>
          <w:sz w:val="24"/>
          <w:szCs w:val="24"/>
        </w:rPr>
        <w:t>. Asimismo, señala que la actuación de las instituciones de seguridad pública se regirá por los principios de legalidad, objetividad, eficiencia, profesionalismo, honradez y respeto a los derechos humanos.</w:t>
      </w:r>
    </w:p>
    <w:p w:rsidR="00165515" w:rsidRDefault="00165515" w:rsidP="001655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165515" w:rsidRDefault="00165515" w:rsidP="001655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Dicha circunstancia es replicada por la Ley de Seguridad del Estado de México en su artículo 1, fracciones II, III y V, las cuales señalan que dicho ordenamiento es de orden público, de interés social y de observancia general en todo el territorio del Estado de México y tiene por objeto establecer las bases de coordinación del Estado y los Municipios con la Federación, las Entidades Federativas, Municipios y Alcaldías de la Ciudad de México; integrar el Sistema Estatal de Seguridad Pública, que a su vez </w:t>
      </w:r>
      <w:r>
        <w:rPr>
          <w:rFonts w:ascii="Palatino Linotype" w:eastAsia="Palatino Linotype" w:hAnsi="Palatino Linotype" w:cs="Palatino Linotype"/>
          <w:color w:val="000000"/>
          <w:sz w:val="24"/>
          <w:szCs w:val="24"/>
        </w:rPr>
        <w:lastRenderedPageBreak/>
        <w:t>contribuirá con el Sistema Nacional de Seguridad Pública; para la construcción de las bases para una plena seguridad ciudadana.</w:t>
      </w:r>
    </w:p>
    <w:p w:rsidR="00165515" w:rsidRDefault="00165515" w:rsidP="001655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165515" w:rsidRDefault="00165515" w:rsidP="0016551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tal suerte que con lo señalado hasta este punto se advierte que la finalidad de la función de seguridad pública indudablemente tienen como eje central a la persona humana y, por ende, contribuyen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w:t>
      </w:r>
    </w:p>
    <w:p w:rsidR="00165515" w:rsidRDefault="00165515" w:rsidP="0016551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165515" w:rsidRDefault="00165515" w:rsidP="0016551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acreditado el objeto de la seguridad pública, así como los sujetos encargados de ejecutar las acciones para consumar esta función, podemos observar con claridad la importancia de los elementos operativos que ejecutan estas acciones encaminadas a preservar el orden dentro de la dinámica social y podemos partir de este punto para determinar el riesgo de la divulgación de esta información y por ende, la procedencia de su clasificación como información reservada. </w:t>
      </w:r>
    </w:p>
    <w:p w:rsidR="00165515" w:rsidRDefault="00165515" w:rsidP="0016551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165515" w:rsidRDefault="00165515" w:rsidP="0016551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primer momento podemos vislumbrar que el artículo 81, fracción II de la Ley de Seguridad del Estado de México dispone de manera expresa que toda información </w:t>
      </w:r>
      <w:r>
        <w:rPr>
          <w:rFonts w:ascii="Palatino Linotype" w:eastAsia="Palatino Linotype" w:hAnsi="Palatino Linotype" w:cs="Palatino Linotype"/>
          <w:sz w:val="24"/>
          <w:szCs w:val="24"/>
        </w:rPr>
        <w:lastRenderedPageBreak/>
        <w:t>para la seguridad pública generada o en poder de Instituciones de Seguridad Pública o de cualquier instancia del Sistema Estatal debe clasificarse, sirve de referencia la siguiente cita:</w:t>
      </w:r>
    </w:p>
    <w:p w:rsidR="00165515" w:rsidRDefault="00165515" w:rsidP="00165515">
      <w:pPr>
        <w:pBdr>
          <w:top w:val="nil"/>
          <w:left w:val="nil"/>
          <w:bottom w:val="nil"/>
          <w:right w:val="nil"/>
          <w:between w:val="nil"/>
        </w:pBdr>
        <w:spacing w:after="0" w:line="240" w:lineRule="auto"/>
        <w:jc w:val="both"/>
        <w:rPr>
          <w:rFonts w:ascii="Palatino Linotype" w:eastAsia="Palatino Linotype" w:hAnsi="Palatino Linotype" w:cs="Palatino Linotype"/>
        </w:rPr>
      </w:pPr>
    </w:p>
    <w:p w:rsidR="00165515" w:rsidRDefault="00165515" w:rsidP="00165515">
      <w:pPr>
        <w:pBdr>
          <w:top w:val="nil"/>
          <w:left w:val="nil"/>
          <w:bottom w:val="nil"/>
          <w:right w:val="nil"/>
          <w:between w:val="nil"/>
        </w:pBdr>
        <w:spacing w:after="0" w:line="240"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“Artículo 81.-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rsidR="00165515" w:rsidRDefault="00165515" w:rsidP="00165515">
      <w:pPr>
        <w:pBdr>
          <w:top w:val="nil"/>
          <w:left w:val="nil"/>
          <w:bottom w:val="nil"/>
          <w:right w:val="nil"/>
          <w:between w:val="nil"/>
        </w:pBdr>
        <w:spacing w:after="0" w:line="240"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w:t>
      </w:r>
    </w:p>
    <w:p w:rsidR="00165515" w:rsidRDefault="00165515" w:rsidP="00165515">
      <w:pPr>
        <w:pBdr>
          <w:top w:val="nil"/>
          <w:left w:val="nil"/>
          <w:bottom w:val="nil"/>
          <w:right w:val="nil"/>
          <w:between w:val="nil"/>
        </w:pBdr>
        <w:spacing w:after="0" w:line="240"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b/>
          <w:i/>
          <w:u w:val="single"/>
        </w:rPr>
        <w:t>II. Aquella cuya revelación pueda ser utilizada para actualizar o potenciar una amenaza a la seguridad pública o a las instituciones del Estado de México ;</w:t>
      </w:r>
      <w:r>
        <w:rPr>
          <w:rFonts w:ascii="Palatino Linotype" w:eastAsia="Palatino Linotype" w:hAnsi="Palatino Linotype" w:cs="Palatino Linotype"/>
          <w:b/>
          <w:i/>
        </w:rPr>
        <w:t xml:space="preserve">” </w:t>
      </w:r>
    </w:p>
    <w:p w:rsidR="00165515" w:rsidRDefault="00165515" w:rsidP="00165515">
      <w:pPr>
        <w:pBdr>
          <w:top w:val="nil"/>
          <w:left w:val="nil"/>
          <w:bottom w:val="nil"/>
          <w:right w:val="nil"/>
          <w:between w:val="nil"/>
        </w:pBdr>
        <w:spacing w:after="0" w:line="240" w:lineRule="auto"/>
        <w:ind w:left="567" w:right="990"/>
        <w:jc w:val="both"/>
        <w:rPr>
          <w:rFonts w:ascii="Palatino Linotype" w:eastAsia="Palatino Linotype" w:hAnsi="Palatino Linotype" w:cs="Palatino Linotype"/>
          <w:b/>
          <w:i/>
          <w:u w:val="single"/>
        </w:rPr>
      </w:pPr>
    </w:p>
    <w:p w:rsidR="00165515" w:rsidRDefault="00165515" w:rsidP="0016551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armonía con esta disposición normativa, la Ley General de Transparencia y Acceso a la Información Pública, en su artículo 113, fracción I señala que deberá reservarse la información que con su publicación se comprometa a la seguridad pública y cuente con un efecto demostrable, posteriormente el artículo 140 fracción I de la Ley de Transparencia Local replica esta circunstancia de reserva, que señalan: </w:t>
      </w:r>
    </w:p>
    <w:p w:rsidR="00165515" w:rsidRDefault="00165515" w:rsidP="00165515">
      <w:pPr>
        <w:pBdr>
          <w:top w:val="nil"/>
          <w:left w:val="nil"/>
          <w:bottom w:val="nil"/>
          <w:right w:val="nil"/>
          <w:between w:val="nil"/>
        </w:pBdr>
        <w:tabs>
          <w:tab w:val="left" w:pos="284"/>
        </w:tabs>
        <w:spacing w:after="0" w:line="240" w:lineRule="auto"/>
        <w:ind w:left="567" w:right="709"/>
        <w:jc w:val="both"/>
        <w:rPr>
          <w:rFonts w:ascii="Palatino Linotype" w:eastAsia="Palatino Linotype" w:hAnsi="Palatino Linotype" w:cs="Palatino Linotype"/>
          <w:i/>
          <w:color w:val="000000"/>
        </w:rPr>
      </w:pPr>
    </w:p>
    <w:p w:rsidR="00165515" w:rsidRDefault="00165515" w:rsidP="00165515">
      <w:pPr>
        <w:pBdr>
          <w:top w:val="nil"/>
          <w:left w:val="nil"/>
          <w:bottom w:val="nil"/>
          <w:right w:val="nil"/>
          <w:between w:val="nil"/>
        </w:pBdr>
        <w:tabs>
          <w:tab w:val="left" w:pos="284"/>
        </w:tabs>
        <w:spacing w:after="0" w:line="240" w:lineRule="auto"/>
        <w:ind w:left="567" w:right="70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“Artículo 113. Como información reservada podrá clasificarse aquella cuya publicación: </w:t>
      </w:r>
    </w:p>
    <w:p w:rsidR="00165515" w:rsidRDefault="00165515" w:rsidP="00165515">
      <w:pPr>
        <w:pBdr>
          <w:top w:val="nil"/>
          <w:left w:val="nil"/>
          <w:bottom w:val="nil"/>
          <w:right w:val="nil"/>
          <w:between w:val="nil"/>
        </w:pBdr>
        <w:tabs>
          <w:tab w:val="left" w:pos="284"/>
        </w:tabs>
        <w:spacing w:after="0" w:line="240" w:lineRule="auto"/>
        <w:ind w:left="567" w:right="709"/>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I. Comprometa la seguridad nacional, la seguridad pública o la defensa nacional y cuente con un propósito genuino y un efecto demostrable;</w:t>
      </w:r>
    </w:p>
    <w:p w:rsidR="00165515" w:rsidRDefault="00165515" w:rsidP="00165515">
      <w:pPr>
        <w:pBdr>
          <w:top w:val="nil"/>
          <w:left w:val="nil"/>
          <w:bottom w:val="nil"/>
          <w:right w:val="nil"/>
          <w:between w:val="nil"/>
        </w:pBdr>
        <w:tabs>
          <w:tab w:val="left" w:pos="284"/>
        </w:tabs>
        <w:spacing w:after="0" w:line="240" w:lineRule="auto"/>
        <w:ind w:left="567" w:right="709"/>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w:t>
      </w:r>
    </w:p>
    <w:p w:rsidR="00165515" w:rsidRDefault="00165515" w:rsidP="00165515">
      <w:pPr>
        <w:pBdr>
          <w:top w:val="nil"/>
          <w:left w:val="nil"/>
          <w:bottom w:val="nil"/>
          <w:right w:val="nil"/>
          <w:between w:val="nil"/>
        </w:pBdr>
        <w:tabs>
          <w:tab w:val="left" w:pos="284"/>
        </w:tabs>
        <w:spacing w:after="0" w:line="240" w:lineRule="auto"/>
        <w:ind w:left="567" w:right="70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Artículo 140. El acceso a la información pública será restringido excepcionalmente, cuando por razones de interés público, ésta sea clasificada como reservada, conforme a los criterios siguientes: </w:t>
      </w:r>
    </w:p>
    <w:p w:rsidR="00165515" w:rsidRDefault="00165515" w:rsidP="00165515">
      <w:pPr>
        <w:numPr>
          <w:ilvl w:val="0"/>
          <w:numId w:val="7"/>
        </w:numPr>
        <w:pBdr>
          <w:top w:val="nil"/>
          <w:left w:val="nil"/>
          <w:bottom w:val="nil"/>
          <w:right w:val="nil"/>
          <w:between w:val="nil"/>
        </w:pBdr>
        <w:tabs>
          <w:tab w:val="left" w:pos="284"/>
        </w:tabs>
        <w:spacing w:after="0" w:line="240" w:lineRule="auto"/>
        <w:ind w:left="567" w:right="709" w:firstLine="0"/>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Comprometa la seguridad pública y cuente con un propósito genuino y un efecto demostrable…”</w:t>
      </w:r>
    </w:p>
    <w:p w:rsidR="00165515" w:rsidRDefault="00165515" w:rsidP="00165515">
      <w:pPr>
        <w:pBdr>
          <w:top w:val="nil"/>
          <w:left w:val="nil"/>
          <w:bottom w:val="nil"/>
          <w:right w:val="nil"/>
          <w:between w:val="nil"/>
        </w:pBdr>
        <w:spacing w:after="0" w:line="240" w:lineRule="auto"/>
        <w:jc w:val="both"/>
        <w:rPr>
          <w:rFonts w:ascii="Palatino Linotype" w:eastAsia="Palatino Linotype" w:hAnsi="Palatino Linotype" w:cs="Palatino Linotype"/>
        </w:rPr>
      </w:pPr>
    </w:p>
    <w:p w:rsidR="00165515" w:rsidRDefault="00165515" w:rsidP="0016551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Posteriormente los Lineamientos Generales en Materia de Clasificación y Desclasificación de la Información, así como para la Elaboración de Versiones Públicas, publicados el 16 de abril de 2016 y reformados el 18 de noviembre de 2022 señalan en su numeral décimo octavo que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rsidR="00165515" w:rsidRDefault="00165515" w:rsidP="0016551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165515" w:rsidRDefault="00165515" w:rsidP="0016551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crucial señalar que estos Lineamientos señalan </w:t>
      </w:r>
      <w:r>
        <w:rPr>
          <w:rFonts w:ascii="Palatino Linotype" w:eastAsia="Palatino Linotype" w:hAnsi="Palatino Linotype" w:cs="Palatino Linotype"/>
          <w:b/>
          <w:sz w:val="24"/>
          <w:szCs w:val="24"/>
          <w:u w:val="single"/>
        </w:rPr>
        <w:t>que es susceptible de considerarse como reservada aquella que revele datos que pudieran ser aprovechados para conocer la capacidad de reacción de las instituciones encargadas de la seguridad pública</w:t>
      </w:r>
      <w:r>
        <w:rPr>
          <w:rFonts w:ascii="Palatino Linotype" w:eastAsia="Palatino Linotype" w:hAnsi="Palatino Linotype" w:cs="Palatino Linotype"/>
          <w:sz w:val="24"/>
          <w:szCs w:val="24"/>
        </w:rPr>
        <w:t>, sus planes, estrategias, tecnología, información, sistemas de comunicaciones.</w:t>
      </w:r>
    </w:p>
    <w:p w:rsidR="00165515" w:rsidRDefault="00165515" w:rsidP="0016551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165515" w:rsidRDefault="00165515" w:rsidP="0016551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Hasta este punto tenemos que los instrumentos normativos que debemos observar en estricto sentido disponen puntualmente la reserva de información para los casos en los que se revele información que pueda ser empleada para conocer la capacidad de reacción, es decir, todo lo relativo a servidores públicos operativos que integran las instituciones de seguridad pública, ya que su divulgación podría ser utilizada para actualizar o potenciar una amenaza para la seguridad pública de la sociedad; </w:t>
      </w:r>
      <w:r>
        <w:rPr>
          <w:rFonts w:ascii="Palatino Linotype" w:eastAsia="Palatino Linotype" w:hAnsi="Palatino Linotype" w:cs="Palatino Linotype"/>
          <w:sz w:val="24"/>
          <w:szCs w:val="24"/>
        </w:rPr>
        <w:lastRenderedPageBreak/>
        <w:t>teniendo esto en cuenta y trasladando estas premisas al caso particular se estima que con la entrega de información de los servidores públicos con funciones operativas adscritos a instituciones de seguridad pública, revela información actualizada sobre el número de policías operativos en activo a la fecha de la solicitud de información y en consecuencia su estado de fuerza vigente, lo cual no sólo contraviene lo dispuesto expresamente por las disposiciones previamente insertadas, sino que, además, pone en riesgo los valores jurídicos y los principios bajo los cuales de las instituciones de seguridad pública se debe regir como son la legalidad, objetividad, eficiencia, profesionalismo, honradez y respeto a los derechos humanos reconocidos en la Constitución General.</w:t>
      </w:r>
    </w:p>
    <w:p w:rsidR="00165515" w:rsidRDefault="00165515" w:rsidP="0016551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165515" w:rsidRDefault="00165515" w:rsidP="00165515">
      <w:pPr>
        <w:spacing w:after="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conclusión, la reserva del personal operativo procede por dos circunstancias:</w:t>
      </w:r>
    </w:p>
    <w:p w:rsidR="00165515" w:rsidRDefault="00165515" w:rsidP="00165515">
      <w:pPr>
        <w:spacing w:after="0" w:line="240" w:lineRule="auto"/>
        <w:ind w:right="-3"/>
        <w:jc w:val="both"/>
        <w:rPr>
          <w:rFonts w:ascii="Palatino Linotype" w:eastAsia="Palatino Linotype" w:hAnsi="Palatino Linotype" w:cs="Palatino Linotype"/>
          <w:i/>
        </w:rPr>
      </w:pPr>
    </w:p>
    <w:p w:rsidR="00165515" w:rsidRDefault="00165515" w:rsidP="00165515">
      <w:pPr>
        <w:spacing w:after="0" w:line="240"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 xml:space="preserve">1. Se identifica en términos concretos cómo es que la información requerida podría comprometer el ejercicio de sus facultades constitucionales y, con ello, la seguridad pública, en virtud de que: </w:t>
      </w:r>
    </w:p>
    <w:p w:rsidR="00165515" w:rsidRDefault="00165515" w:rsidP="00165515">
      <w:pPr>
        <w:spacing w:after="0" w:line="240"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 xml:space="preserve">a) la información podría ser aprovechada por los grupos criminales para conocer la capacidad de reacción </w:t>
      </w:r>
    </w:p>
    <w:p w:rsidR="00165515" w:rsidRDefault="00165515" w:rsidP="00165515">
      <w:pPr>
        <w:spacing w:after="0" w:line="240" w:lineRule="auto"/>
        <w:ind w:left="567" w:right="706"/>
        <w:jc w:val="both"/>
        <w:rPr>
          <w:rFonts w:ascii="Palatino Linotype" w:eastAsia="Palatino Linotype" w:hAnsi="Palatino Linotype" w:cs="Palatino Linotype"/>
          <w:i/>
        </w:rPr>
      </w:pPr>
      <w:bookmarkStart w:id="2" w:name="_heading=h.30j0zll" w:colFirst="0" w:colLast="0"/>
      <w:bookmarkEnd w:id="2"/>
      <w:r>
        <w:rPr>
          <w:rFonts w:ascii="Palatino Linotype" w:eastAsia="Palatino Linotype" w:hAnsi="Palatino Linotype" w:cs="Palatino Linotype"/>
          <w:i/>
        </w:rPr>
        <w:t>b) Con dicha información se revelarían a detalle las características funcionales del personal y con ello, su organización para el cumplimiento de sus funciones; y;</w:t>
      </w:r>
    </w:p>
    <w:p w:rsidR="00165515" w:rsidRDefault="00165515" w:rsidP="00165515">
      <w:pPr>
        <w:spacing w:after="0" w:line="240" w:lineRule="auto"/>
        <w:ind w:left="567" w:right="706"/>
        <w:jc w:val="both"/>
        <w:rPr>
          <w:rFonts w:ascii="Palatino Linotype" w:eastAsia="Palatino Linotype" w:hAnsi="Palatino Linotype" w:cs="Palatino Linotype"/>
          <w:i/>
        </w:rPr>
      </w:pPr>
    </w:p>
    <w:p w:rsidR="00165515" w:rsidRDefault="00165515" w:rsidP="00165515">
      <w:pPr>
        <w:spacing w:after="0" w:line="240" w:lineRule="auto"/>
        <w:ind w:left="567" w:right="706"/>
        <w:jc w:val="both"/>
        <w:rPr>
          <w:rFonts w:ascii="Palatino Linotype" w:eastAsia="Palatino Linotype" w:hAnsi="Palatino Linotype" w:cs="Palatino Linotype"/>
          <w:i/>
          <w:highlight w:val="yellow"/>
        </w:rPr>
      </w:pPr>
      <w:r>
        <w:rPr>
          <w:rFonts w:ascii="Palatino Linotype" w:eastAsia="Palatino Linotype" w:hAnsi="Palatino Linotype" w:cs="Palatino Linotype"/>
          <w:i/>
        </w:rPr>
        <w:t>2. Existe una relación causal general entre la entrega de la información y la afectación a la seguridad pública, pues los grupos criminales estarían en posibilidad de obstaculizar o bloquear actividades encaminadas a preservar el orden dentro de la dinámica social.</w:t>
      </w:r>
    </w:p>
    <w:p w:rsidR="00165515" w:rsidRDefault="00165515" w:rsidP="00165515">
      <w:pPr>
        <w:spacing w:after="0" w:line="240"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 xml:space="preserve">Por lo tanto, entre mayor información se dé a conocer respecto del </w:t>
      </w:r>
      <w:r>
        <w:rPr>
          <w:rFonts w:ascii="Palatino Linotype" w:eastAsia="Palatino Linotype" w:hAnsi="Palatino Linotype" w:cs="Palatino Linotype"/>
          <w:b/>
          <w:i/>
        </w:rPr>
        <w:t xml:space="preserve">estado de fuerza </w:t>
      </w:r>
      <w:r>
        <w:rPr>
          <w:rFonts w:ascii="Palatino Linotype" w:eastAsia="Palatino Linotype" w:hAnsi="Palatino Linotype" w:cs="Palatino Linotype"/>
          <w:i/>
        </w:rPr>
        <w:t xml:space="preserve">con que cuentan el Estado y Municipios, mayor es la probabilidad de que la información pueda implementarse como medio para actualizar o potenciar una amenaza en contra de la seguridad pública de los mismos. </w:t>
      </w:r>
    </w:p>
    <w:p w:rsidR="00165515" w:rsidRDefault="00165515" w:rsidP="00165515">
      <w:pPr>
        <w:spacing w:after="0" w:line="240" w:lineRule="auto"/>
        <w:ind w:right="139"/>
        <w:jc w:val="both"/>
        <w:rPr>
          <w:rFonts w:ascii="Palatino Linotype" w:eastAsia="Palatino Linotype" w:hAnsi="Palatino Linotype" w:cs="Palatino Linotype"/>
          <w:i/>
        </w:rPr>
      </w:pPr>
    </w:p>
    <w:p w:rsidR="00165515" w:rsidRDefault="00165515" w:rsidP="00165515">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No pasa inadvertido para la suscrita que en los casos en los que se publiciten diversas notas o documentos en los que se dé a conocer información estadística sobre el número de elementos de policía con los que cuentan los ayuntamientos, esta información no se encuentra actualizada a la fecha de la solicitud, aunado a que no se hace una distinción entre el número de personal operativo y administrativo. </w:t>
      </w:r>
    </w:p>
    <w:p w:rsidR="00165515" w:rsidRDefault="00165515" w:rsidP="001655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165515" w:rsidRDefault="00165515" w:rsidP="001655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consecuencia, la información de los elementos operativos adscrito a instituciones de seguridad pública, deben recibir un tratamiento de carácter excepcional, y esto es en razón de que,  son los responsables de procurar el orden, la estabilidad y la defensa de la sociedad a la que pertenecen, por lo que, se estima que al proporcionar dicha información se revela el número de servidores públicos operativos con funciones de seguridad pública activos en el Sujeto obligado; información con la que se da a conocer el estado de fuerza y la capacidad de reacción del órgano público.</w:t>
      </w:r>
    </w:p>
    <w:p w:rsidR="00165515" w:rsidRDefault="00165515" w:rsidP="001655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165515" w:rsidRDefault="00165515" w:rsidP="0016551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Ahora bien, la suscrita considera que es de vital importancia señalar que para los casos en los que los particulares deseen conocer las remuneraciones de los elementos operativos de las instituciones de seguridad pública, estas se pueden otorgar mediante el tabulador de sueldos, pues en este soporte se asientan los puestos funcionales y las remuneraciones, lo anterior encuentra sustento en el Instructivo del módulo 4 para la entrega del informe trimestral 2023, en dicho documento obran los siguientes elementos:</w:t>
      </w:r>
    </w:p>
    <w:p w:rsidR="00165515" w:rsidRDefault="00165515" w:rsidP="00165515">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lang w:val="es-MX"/>
        </w:rPr>
        <w:lastRenderedPageBreak/>
        <w:drawing>
          <wp:inline distT="114300" distB="114300" distL="114300" distR="114300" wp14:anchorId="365E8B28" wp14:editId="640D40D1">
            <wp:extent cx="4621213" cy="6027668"/>
            <wp:effectExtent l="0" t="0" r="0" b="0"/>
            <wp:docPr id="2373134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32044" t="13708" r="33024" b="5397"/>
                    <a:stretch>
                      <a:fillRect/>
                    </a:stretch>
                  </pic:blipFill>
                  <pic:spPr>
                    <a:xfrm>
                      <a:off x="0" y="0"/>
                      <a:ext cx="4621213" cy="6027668"/>
                    </a:xfrm>
                    <a:prstGeom prst="rect">
                      <a:avLst/>
                    </a:prstGeom>
                    <a:ln/>
                  </pic:spPr>
                </pic:pic>
              </a:graphicData>
            </a:graphic>
          </wp:inline>
        </w:drawing>
      </w:r>
    </w:p>
    <w:p w:rsidR="00165515" w:rsidRDefault="00165515" w:rsidP="00165515">
      <w:pPr>
        <w:spacing w:after="0" w:line="360" w:lineRule="auto"/>
        <w:jc w:val="both"/>
        <w:rPr>
          <w:rFonts w:ascii="Palatino Linotype" w:eastAsia="Palatino Linotype" w:hAnsi="Palatino Linotype" w:cs="Palatino Linotype"/>
          <w:sz w:val="24"/>
          <w:szCs w:val="24"/>
        </w:rPr>
      </w:pPr>
    </w:p>
    <w:p w:rsidR="00165515" w:rsidRDefault="00165515" w:rsidP="00165515">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lang w:val="es-MX"/>
        </w:rPr>
        <w:lastRenderedPageBreak/>
        <w:drawing>
          <wp:inline distT="114300" distB="114300" distL="114300" distR="114300" wp14:anchorId="6B7C701C" wp14:editId="1FE5C860">
            <wp:extent cx="4531876" cy="3058259"/>
            <wp:effectExtent l="0" t="0" r="0" b="0"/>
            <wp:docPr id="23731340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27843" t="23455" r="30331" b="26438"/>
                    <a:stretch>
                      <a:fillRect/>
                    </a:stretch>
                  </pic:blipFill>
                  <pic:spPr>
                    <a:xfrm>
                      <a:off x="0" y="0"/>
                      <a:ext cx="4531876" cy="3058259"/>
                    </a:xfrm>
                    <a:prstGeom prst="rect">
                      <a:avLst/>
                    </a:prstGeom>
                    <a:ln/>
                  </pic:spPr>
                </pic:pic>
              </a:graphicData>
            </a:graphic>
          </wp:inline>
        </w:drawing>
      </w:r>
    </w:p>
    <w:p w:rsidR="00165515" w:rsidRDefault="00165515" w:rsidP="00165515">
      <w:pPr>
        <w:spacing w:after="0" w:line="360" w:lineRule="auto"/>
        <w:ind w:right="139"/>
        <w:jc w:val="both"/>
        <w:rPr>
          <w:rFonts w:ascii="Palatino Linotype" w:eastAsia="Palatino Linotype" w:hAnsi="Palatino Linotype" w:cs="Palatino Linotype"/>
          <w:sz w:val="24"/>
          <w:szCs w:val="24"/>
        </w:rPr>
      </w:pPr>
      <w:bookmarkStart w:id="3" w:name="_heading=h.1fob9te" w:colFirst="0" w:colLast="0"/>
      <w:bookmarkEnd w:id="3"/>
      <w:r>
        <w:rPr>
          <w:rFonts w:ascii="Palatino Linotype" w:eastAsia="Palatino Linotype" w:hAnsi="Palatino Linotype" w:cs="Palatino Linotype"/>
          <w:sz w:val="24"/>
          <w:szCs w:val="24"/>
        </w:rPr>
        <w:t xml:space="preserve">De manera que con la consulta de este documento podrá visualizarse con claridad el cargo y la remuneración sin conocer el estado de fuerza de las entidades públicas y así no se restringe el derecho de acceso a la información de los particulares; es por todo lo anteriormente expuesto que considero que en las líneas argumentativas que anteceden, se acreditó de manera fehaciente que esta información debe ser reservada pues su entrega revela datos que pudieran ser aprovechados para conocer la capacidad de reacción de las instituciones encargadas de la seguridad pública y </w:t>
      </w:r>
      <w:r>
        <w:rPr>
          <w:rFonts w:ascii="Palatino Linotype" w:eastAsia="Palatino Linotype" w:hAnsi="Palatino Linotype" w:cs="Palatino Linotype"/>
          <w:b/>
          <w:sz w:val="24"/>
          <w:szCs w:val="24"/>
          <w:u w:val="single"/>
        </w:rPr>
        <w:t xml:space="preserve">facilitaría a las células delictivas el neutralizar las acciones implementadas o por implementar para la preservación de la paz pública, afectando así su estado de fuerza, o bien les permita </w:t>
      </w:r>
      <w:r>
        <w:rPr>
          <w:rFonts w:ascii="Palatino Linotype" w:eastAsia="Palatino Linotype" w:hAnsi="Palatino Linotype" w:cs="Palatino Linotype"/>
          <w:sz w:val="24"/>
          <w:szCs w:val="24"/>
        </w:rPr>
        <w:t xml:space="preserve">realizar actos para amenazar, inhibir, extorsionar o corromper las funciones del personal operativo, lo que causaría una vulneración a la Seguridad Municipal, por lo tanto la suscrita no comparte las consideraciones </w:t>
      </w:r>
      <w:r>
        <w:rPr>
          <w:rFonts w:ascii="Palatino Linotype" w:eastAsia="Palatino Linotype" w:hAnsi="Palatino Linotype" w:cs="Palatino Linotype"/>
          <w:sz w:val="24"/>
          <w:szCs w:val="24"/>
        </w:rPr>
        <w:lastRenderedPageBreak/>
        <w:t xml:space="preserve">vertidas en la resolución respecto del tratamiento que se le da a la información relativa a elementos operativos de instituciones de seguridad pública, y  por ende formula el presente </w:t>
      </w:r>
      <w:r>
        <w:rPr>
          <w:rFonts w:ascii="Palatino Linotype" w:eastAsia="Palatino Linotype" w:hAnsi="Palatino Linotype" w:cs="Palatino Linotype"/>
          <w:b/>
          <w:sz w:val="24"/>
          <w:szCs w:val="24"/>
        </w:rPr>
        <w:t>VOTO PARTICULAR.</w:t>
      </w:r>
      <w:r>
        <w:rPr>
          <w:rFonts w:ascii="Palatino Linotype" w:eastAsia="Palatino Linotype" w:hAnsi="Palatino Linotype" w:cs="Palatino Linotype"/>
          <w:sz w:val="24"/>
          <w:szCs w:val="24"/>
        </w:rPr>
        <w:t xml:space="preserve"> </w:t>
      </w:r>
    </w:p>
    <w:p w:rsidR="0082621E" w:rsidRDefault="0082621E">
      <w:pPr>
        <w:spacing w:before="240" w:after="240" w:line="360" w:lineRule="auto"/>
        <w:ind w:right="139"/>
        <w:jc w:val="both"/>
        <w:rPr>
          <w:rFonts w:ascii="Palatino Linotype" w:eastAsia="Palatino Linotype" w:hAnsi="Palatino Linotype" w:cs="Palatino Linotype"/>
        </w:rPr>
        <w:sectPr w:rsidR="0082621E">
          <w:headerReference w:type="even" r:id="rId10"/>
          <w:headerReference w:type="default" r:id="rId11"/>
          <w:footerReference w:type="default" r:id="rId12"/>
          <w:pgSz w:w="12240" w:h="15840"/>
          <w:pgMar w:top="1871" w:right="1327" w:bottom="2836" w:left="1985" w:header="709" w:footer="586" w:gutter="0"/>
          <w:pgNumType w:start="1"/>
          <w:cols w:space="720"/>
        </w:sectPr>
      </w:pPr>
      <w:bookmarkStart w:id="4" w:name="_GoBack"/>
      <w:bookmarkEnd w:id="4"/>
    </w:p>
    <w:p w:rsidR="0082621E" w:rsidRDefault="0082621E">
      <w:pPr>
        <w:spacing w:after="0" w:line="360" w:lineRule="auto"/>
        <w:ind w:right="423"/>
        <w:jc w:val="both"/>
        <w:rPr>
          <w:rFonts w:ascii="Palatino Linotype" w:eastAsia="Palatino Linotype" w:hAnsi="Palatino Linotype" w:cs="Palatino Linotype"/>
        </w:rPr>
      </w:pPr>
    </w:p>
    <w:sectPr w:rsidR="0082621E">
      <w:headerReference w:type="default" r:id="rId13"/>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E52" w:rsidRDefault="00CD7E52">
      <w:pPr>
        <w:spacing w:after="0" w:line="240" w:lineRule="auto"/>
      </w:pPr>
      <w:r>
        <w:separator/>
      </w:r>
    </w:p>
  </w:endnote>
  <w:endnote w:type="continuationSeparator" w:id="0">
    <w:p w:rsidR="00CD7E52" w:rsidRDefault="00CD7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21E" w:rsidRDefault="00D567F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84BDA">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84BDA">
      <w:rPr>
        <w:rFonts w:ascii="Arial" w:eastAsia="Arial" w:hAnsi="Arial" w:cs="Arial"/>
        <w:b/>
        <w:noProof/>
        <w:color w:val="000000"/>
        <w:sz w:val="20"/>
        <w:szCs w:val="20"/>
      </w:rPr>
      <w:t>14</w:t>
    </w:r>
    <w:r>
      <w:rPr>
        <w:rFonts w:ascii="Arial" w:eastAsia="Arial" w:hAnsi="Arial" w:cs="Arial"/>
        <w:b/>
        <w:color w:val="000000"/>
        <w:sz w:val="20"/>
        <w:szCs w:val="20"/>
      </w:rPr>
      <w:fldChar w:fldCharType="end"/>
    </w:r>
  </w:p>
  <w:p w:rsidR="0082621E" w:rsidRDefault="0082621E">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E52" w:rsidRDefault="00CD7E52">
      <w:pPr>
        <w:spacing w:after="0" w:line="240" w:lineRule="auto"/>
      </w:pPr>
      <w:r>
        <w:separator/>
      </w:r>
    </w:p>
  </w:footnote>
  <w:footnote w:type="continuationSeparator" w:id="0">
    <w:p w:rsidR="00CD7E52" w:rsidRDefault="00CD7E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21E" w:rsidRDefault="00D567F3">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s-MX"/>
      </w:rPr>
      <mc:AlternateContent>
        <mc:Choice Requires="wps">
          <w:drawing>
            <wp:anchor distT="0" distB="0" distL="0" distR="0" simplePos="0" relativeHeight="251659264" behindDoc="1" locked="0" layoutInCell="1" hidden="0" allowOverlap="1">
              <wp:simplePos x="0" y="0"/>
              <wp:positionH relativeFrom="margin">
                <wp:align>center</wp:align>
              </wp:positionH>
              <wp:positionV relativeFrom="margin">
                <wp:align>center</wp:align>
              </wp:positionV>
              <wp:extent cx="21305332" cy="21305332"/>
              <wp:effectExtent l="0" t="0" r="0" b="0"/>
              <wp:wrapNone/>
              <wp:docPr id="237313403" name="Rectángulo 237313403"/>
              <wp:cNvGraphicFramePr/>
              <a:graphic xmlns:a="http://schemas.openxmlformats.org/drawingml/2006/main">
                <a:graphicData uri="http://schemas.microsoft.com/office/word/2010/wordprocessingShape">
                  <wps:wsp>
                    <wps:cNvSpPr/>
                    <wps:spPr>
                      <a:xfrm rot="-2700000">
                        <a:off x="2440875" y="2945610"/>
                        <a:ext cx="5810250" cy="1668780"/>
                      </a:xfrm>
                      <a:prstGeom prst="rect">
                        <a:avLst/>
                      </a:prstGeom>
                      <a:noFill/>
                      <a:ln>
                        <a:noFill/>
                      </a:ln>
                    </wps:spPr>
                    <wps:txbx>
                      <w:txbxContent>
                        <w:p w:rsidR="0082621E" w:rsidRDefault="00D567F3">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w:pict>
            <v:rect id="Rectángulo 237313403" o:spid="_x0000_s1026" style="position:absolute;margin-left:0;margin-top:0;width:1677.6pt;height:1677.6pt;rotation:-45;z-index:-251657216;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" filled="f" stroked="f">
              <v:textbox inset="2.53958mm,2.53958mm,2.53958mm,2.53958mm">
                <w:txbxContent>
                  <w:p w:rsidR="0082621E" w:rsidRDefault="00D567F3">
                    <w:pPr>
                      <w:spacing w:after="0" w:line="240" w:lineRule="auto"/>
                      <w:jc w:val="center"/>
                      <w:textDirection w:val="btLr"/>
                    </w:pPr>
                    <w:r>
                      <w:rPr>
                        <w:rFonts w:ascii="Arial" w:eastAsia="Arial" w:hAnsi="Arial" w:cs="Arial"/>
                        <w:color w:val="ED7D31"/>
                        <w:sz w:val="144"/>
                      </w:rPr>
                      <w:t>VOTO DISIDENTE</w:t>
                    </w:r>
                  </w:p>
                </w:txbxContent>
              </v:textbox>
              <w10:wrap anchorx="margin" anchory="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21E" w:rsidRDefault="00D567F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lang w:val="es-MX"/>
      </w:rPr>
      <w:drawing>
        <wp:anchor distT="0" distB="0" distL="0" distR="0" simplePos="0" relativeHeight="251658240" behindDoc="1" locked="0" layoutInCell="1" hidden="0" allowOverlap="1">
          <wp:simplePos x="0" y="0"/>
          <wp:positionH relativeFrom="column">
            <wp:posOffset>-1228090</wp:posOffset>
          </wp:positionH>
          <wp:positionV relativeFrom="paragraph">
            <wp:posOffset>-480060</wp:posOffset>
          </wp:positionV>
          <wp:extent cx="7510628" cy="9883775"/>
          <wp:effectExtent l="0" t="0" r="0" b="0"/>
          <wp:wrapNone/>
          <wp:docPr id="23731340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82621E" w:rsidRDefault="0082621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82621E" w:rsidRDefault="0082621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82621E" w:rsidRPr="00D31605" w:rsidRDefault="00D567F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4"/>
        <w:szCs w:val="24"/>
      </w:rPr>
    </w:pPr>
    <w:r w:rsidRPr="00D31605">
      <w:rPr>
        <w:rFonts w:ascii="Palatino Linotype" w:eastAsia="Palatino Linotype" w:hAnsi="Palatino Linotype" w:cs="Palatino Linotype"/>
        <w:b/>
        <w:color w:val="000000"/>
        <w:sz w:val="24"/>
        <w:szCs w:val="24"/>
      </w:rPr>
      <w:t xml:space="preserve">VOTO PARTICULAR </w:t>
    </w:r>
  </w:p>
  <w:p w:rsidR="0082621E" w:rsidRPr="00D31605" w:rsidRDefault="00D31605">
    <w:pPr>
      <w:pBdr>
        <w:top w:val="nil"/>
        <w:left w:val="nil"/>
        <w:bottom w:val="nil"/>
        <w:right w:val="nil"/>
        <w:between w:val="nil"/>
      </w:pBdr>
      <w:tabs>
        <w:tab w:val="center" w:pos="4419"/>
        <w:tab w:val="right" w:pos="8838"/>
      </w:tabs>
      <w:spacing w:after="0" w:line="240" w:lineRule="auto"/>
      <w:ind w:left="2552"/>
      <w:jc w:val="right"/>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   RECURSO</w:t>
    </w:r>
    <w:r w:rsidRPr="00D31605">
      <w:rPr>
        <w:rFonts w:ascii="Palatino Linotype" w:eastAsia="Palatino Linotype" w:hAnsi="Palatino Linotype" w:cs="Palatino Linotype"/>
        <w:b/>
        <w:color w:val="000000"/>
        <w:sz w:val="24"/>
        <w:szCs w:val="24"/>
      </w:rPr>
      <w:t xml:space="preserve"> DE REVISIÓN 03304</w:t>
    </w:r>
    <w:r w:rsidR="00D567F3" w:rsidRPr="00D31605">
      <w:rPr>
        <w:rFonts w:ascii="Palatino Linotype" w:eastAsia="Palatino Linotype" w:hAnsi="Palatino Linotype" w:cs="Palatino Linotype"/>
        <w:b/>
        <w:color w:val="000000"/>
        <w:sz w:val="24"/>
        <w:szCs w:val="24"/>
      </w:rPr>
      <w:t xml:space="preserve">/INFOEM/IP/RR/2023 </w:t>
    </w:r>
  </w:p>
  <w:p w:rsidR="0082621E" w:rsidRDefault="0082621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21E" w:rsidRDefault="0082621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82621E" w:rsidRDefault="0082621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82621E" w:rsidRDefault="0082621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82621E" w:rsidRDefault="0082621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47074"/>
    <w:multiLevelType w:val="multilevel"/>
    <w:tmpl w:val="C5363C5E"/>
    <w:lvl w:ilvl="0">
      <w:start w:val="1"/>
      <w:numFmt w:val="upperRoman"/>
      <w:lvlText w:val="%1."/>
      <w:lvlJc w:val="left"/>
      <w:pPr>
        <w:ind w:left="1712" w:hanging="720"/>
      </w:p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1" w15:restartNumberingAfterBreak="0">
    <w:nsid w:val="26036E4A"/>
    <w:multiLevelType w:val="multilevel"/>
    <w:tmpl w:val="9C90A94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1F1980"/>
    <w:multiLevelType w:val="multilevel"/>
    <w:tmpl w:val="0D7EF5D4"/>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DBB323F"/>
    <w:multiLevelType w:val="multilevel"/>
    <w:tmpl w:val="8FCC0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CDE7B70"/>
    <w:multiLevelType w:val="multilevel"/>
    <w:tmpl w:val="7AFC75E2"/>
    <w:lvl w:ilvl="0">
      <w:start w:val="1"/>
      <w:numFmt w:val="upperRoman"/>
      <w:lvlText w:val="%1."/>
      <w:lvlJc w:val="left"/>
      <w:pPr>
        <w:ind w:left="1712" w:hanging="720"/>
      </w:p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5" w15:restartNumberingAfterBreak="0">
    <w:nsid w:val="603172F3"/>
    <w:multiLevelType w:val="multilevel"/>
    <w:tmpl w:val="4C98BB0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C67D61"/>
    <w:multiLevelType w:val="multilevel"/>
    <w:tmpl w:val="B04850B4"/>
    <w:lvl w:ilvl="0">
      <w:start w:val="1"/>
      <w:numFmt w:val="decimal"/>
      <w:lvlText w:val="%1."/>
      <w:lvlJc w:val="left"/>
      <w:pPr>
        <w:ind w:left="720" w:hanging="360"/>
      </w:pPr>
      <w:rPr>
        <w:rFonts w:ascii="Arial" w:eastAsia="Arial" w:hAnsi="Arial" w:cs="Arial"/>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21E"/>
    <w:rsid w:val="00165515"/>
    <w:rsid w:val="00484BDA"/>
    <w:rsid w:val="0062517E"/>
    <w:rsid w:val="006871B7"/>
    <w:rsid w:val="006934A7"/>
    <w:rsid w:val="0082621E"/>
    <w:rsid w:val="008513CA"/>
    <w:rsid w:val="00CD7E52"/>
    <w:rsid w:val="00D31605"/>
    <w:rsid w:val="00D567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7D309F-5502-4ED5-8307-F0EFC4A4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0607BA"/>
    <w:pPr>
      <w:spacing w:after="0" w:line="240" w:lineRule="auto"/>
      <w:ind w:left="720"/>
      <w:contextualSpacing/>
    </w:pPr>
    <w:rPr>
      <w:rFonts w:ascii="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59"/>
    <w:rsid w:val="00CF5F4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fundamentos"/>
    <w:link w:val="SinespaciadoCar"/>
    <w:uiPriority w:val="1"/>
    <w:qFormat/>
    <w:rsid w:val="003B565F"/>
    <w:pPr>
      <w:spacing w:after="0" w:line="240" w:lineRule="auto"/>
    </w:pPr>
    <w:rPr>
      <w:rFonts w:ascii="Times New Roman" w:eastAsia="Times New Roman" w:hAnsi="Times New Roman" w:cs="Times New Roman"/>
      <w:sz w:val="24"/>
      <w:szCs w:val="24"/>
      <w:lang w:val="es-MX" w:eastAsia="es-ES"/>
    </w:rPr>
  </w:style>
  <w:style w:type="character" w:customStyle="1" w:styleId="SinespaciadoCar">
    <w:name w:val="Sin espaciado Car"/>
    <w:aliases w:val="Francesa Car,INAI Car,fundamentos Car"/>
    <w:link w:val="Sinespaciado"/>
    <w:uiPriority w:val="1"/>
    <w:qFormat/>
    <w:locked/>
    <w:rsid w:val="003B565F"/>
    <w:rPr>
      <w:rFonts w:ascii="Times New Roman" w:eastAsia="Times New Roman" w:hAnsi="Times New Roman" w:cs="Times New Roman"/>
      <w:sz w:val="24"/>
      <w:szCs w:val="24"/>
      <w:lang w:val="es-MX" w:eastAsia="es-ES"/>
    </w:rPr>
  </w:style>
  <w:style w:type="table" w:customStyle="1" w:styleId="Tablaconcuadrcula1">
    <w:name w:val="Tabla con cuadrícula1"/>
    <w:basedOn w:val="Tablanormal"/>
    <w:next w:val="Tablaconcuadrcula"/>
    <w:uiPriority w:val="39"/>
    <w:rsid w:val="001A1BDB"/>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paragraph" w:styleId="Cita">
    <w:name w:val="Quote"/>
    <w:basedOn w:val="Normal"/>
    <w:next w:val="Normal"/>
    <w:link w:val="CitaCar"/>
    <w:uiPriority w:val="29"/>
    <w:qFormat/>
    <w:rsid w:val="00D3160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D31605"/>
    <w:rPr>
      <w:i/>
      <w:iCs/>
      <w:color w:val="404040" w:themeColor="text1" w:themeTint="BF"/>
    </w:rPr>
  </w:style>
  <w:style w:type="paragraph" w:styleId="Listaconvietas3">
    <w:name w:val="List Bullet 3"/>
    <w:basedOn w:val="Normal"/>
    <w:uiPriority w:val="99"/>
    <w:unhideWhenUsed/>
    <w:rsid w:val="00D31605"/>
    <w:pPr>
      <w:numPr>
        <w:numId w:val="4"/>
      </w:numPr>
      <w:spacing w:after="0" w:line="240" w:lineRule="auto"/>
      <w:contextualSpacing/>
    </w:pPr>
    <w:rPr>
      <w:rFonts w:ascii="Times New Roman" w:eastAsia="Times New Roman" w:hAnsi="Times New Roman" w:cs="Times New Roman"/>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tfMD4kb3rFK3pbSkN+E7bTytYw==">CgMxLjAyCGguZ2pkZ3hzMg5oLjNoZXN0YWNzZzRweDIJaC4zMGowemxsOAByITFMZWRRQXN3alltQkNBQUtFX2FoU01YZ3QtVkNOcnB6dQ==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2414</Words>
  <Characters>13278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INFOEM402</cp:lastModifiedBy>
  <cp:revision>2</cp:revision>
  <dcterms:created xsi:type="dcterms:W3CDTF">2023-12-19T19:45:00Z</dcterms:created>
  <dcterms:modified xsi:type="dcterms:W3CDTF">2023-12-19T19:45:00Z</dcterms:modified>
</cp:coreProperties>
</file>