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51" w:rsidRPr="00FA0397" w:rsidRDefault="00FA0397">
      <w:pPr>
        <w:spacing w:before="240" w:after="240" w:line="360" w:lineRule="auto"/>
        <w:ind w:right="49"/>
        <w:jc w:val="both"/>
        <w:rPr>
          <w:rFonts w:ascii="Palatino Linotype" w:eastAsia="Palatino Linotype" w:hAnsi="Palatino Linotype" w:cs="Palatino Linotype"/>
          <w:b/>
          <w:sz w:val="24"/>
          <w:szCs w:val="24"/>
        </w:rPr>
      </w:pPr>
      <w:r w:rsidRPr="00FA0397">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FA0397">
        <w:rPr>
          <w:rFonts w:ascii="Palatino Linotype" w:eastAsia="Palatino Linotype" w:hAnsi="Palatino Linotype" w:cs="Palatino Linotype"/>
          <w:b/>
          <w:sz w:val="24"/>
          <w:szCs w:val="24"/>
        </w:rPr>
        <w:t>VIGÉSIMO OCTAVA SESIÓN ORDINARIA CELEBRADA</w:t>
      </w:r>
      <w:r w:rsidRPr="00FA0397">
        <w:rPr>
          <w:rFonts w:ascii="Palatino Linotype" w:eastAsia="Palatino Linotype" w:hAnsi="Palatino Linotype" w:cs="Palatino Linotype"/>
          <w:b/>
          <w:sz w:val="24"/>
          <w:szCs w:val="24"/>
        </w:rPr>
        <w:t xml:space="preserve"> </w:t>
      </w:r>
      <w:r w:rsidRPr="00FA0397">
        <w:rPr>
          <w:rFonts w:ascii="Palatino Linotype" w:eastAsia="Palatino Linotype" w:hAnsi="Palatino Linotype" w:cs="Palatino Linotype"/>
          <w:b/>
          <w:sz w:val="24"/>
          <w:szCs w:val="24"/>
        </w:rPr>
        <w:t>EL NUEVE DE AGOSTO DE DOS MIL VEINTITRÉS, EN EL RECURSO DE REVISIÓN 13281/INFOEM/IP/RR/2022.</w:t>
      </w:r>
    </w:p>
    <w:p w:rsidR="003D6651" w:rsidRPr="00FA0397" w:rsidRDefault="00FA0397">
      <w:pPr>
        <w:spacing w:before="240" w:after="240" w:line="360" w:lineRule="auto"/>
        <w:jc w:val="both"/>
        <w:rPr>
          <w:rFonts w:ascii="Palatino Linotype" w:eastAsia="Palatino Linotype" w:hAnsi="Palatino Linotype" w:cs="Palatino Linotype"/>
          <w:b/>
          <w:sz w:val="24"/>
          <w:szCs w:val="24"/>
        </w:rPr>
      </w:pPr>
      <w:r w:rsidRPr="00FA0397">
        <w:rPr>
          <w:rFonts w:ascii="Palatino Linotype" w:eastAsia="Palatino Linotype" w:hAnsi="Palatino Linotype" w:cs="Palatino Linotype"/>
          <w:sz w:val="24"/>
          <w:szCs w:val="24"/>
        </w:rPr>
        <w:t>Con fundamento en lo dispuesto por el artículo 14, fracciones X y XI, del Reglamento del Instituto de Transparencia, Acc</w:t>
      </w:r>
      <w:r w:rsidRPr="00FA0397">
        <w:rPr>
          <w:rFonts w:ascii="Palatino Linotype" w:eastAsia="Palatino Linotype" w:hAnsi="Palatino Linotype" w:cs="Palatino Linotype"/>
          <w:sz w:val="24"/>
          <w:szCs w:val="24"/>
        </w:rPr>
        <w:t xml:space="preserve">eso a la Información Pública y Protección de Datos Personales del Estado de México y Municipios, la que suscribe </w:t>
      </w:r>
      <w:r w:rsidRPr="00FA0397">
        <w:rPr>
          <w:rFonts w:ascii="Palatino Linotype" w:eastAsia="Palatino Linotype" w:hAnsi="Palatino Linotype" w:cs="Palatino Linotype"/>
          <w:b/>
          <w:sz w:val="24"/>
          <w:szCs w:val="24"/>
        </w:rPr>
        <w:t xml:space="preserve">Guadalupe Ramírez Peña </w:t>
      </w:r>
      <w:r w:rsidRPr="00FA0397">
        <w:rPr>
          <w:rFonts w:ascii="Palatino Linotype" w:eastAsia="Palatino Linotype" w:hAnsi="Palatino Linotype" w:cs="Palatino Linotype"/>
          <w:sz w:val="24"/>
          <w:szCs w:val="24"/>
        </w:rPr>
        <w:t xml:space="preserve">emite </w:t>
      </w:r>
      <w:r w:rsidRPr="00FA0397">
        <w:rPr>
          <w:rFonts w:ascii="Palatino Linotype" w:eastAsia="Palatino Linotype" w:hAnsi="Palatino Linotype" w:cs="Palatino Linotype"/>
          <w:b/>
          <w:sz w:val="24"/>
          <w:szCs w:val="24"/>
        </w:rPr>
        <w:t xml:space="preserve">VOTO PARTICULAR </w:t>
      </w:r>
      <w:r w:rsidRPr="00FA0397">
        <w:rPr>
          <w:rFonts w:ascii="Palatino Linotype" w:eastAsia="Palatino Linotype" w:hAnsi="Palatino Linotype" w:cs="Palatino Linotype"/>
          <w:sz w:val="24"/>
          <w:szCs w:val="24"/>
        </w:rPr>
        <w:t xml:space="preserve">respecto a la resolución dictada en el recurso de revisión número </w:t>
      </w:r>
      <w:r w:rsidRPr="00FA0397">
        <w:rPr>
          <w:rFonts w:ascii="Palatino Linotype" w:eastAsia="Palatino Linotype" w:hAnsi="Palatino Linotype" w:cs="Palatino Linotype"/>
          <w:b/>
          <w:sz w:val="24"/>
          <w:szCs w:val="24"/>
        </w:rPr>
        <w:t xml:space="preserve">13281/INFOEM/IP/RR/2022, </w:t>
      </w:r>
      <w:r w:rsidRPr="00FA0397">
        <w:rPr>
          <w:rFonts w:ascii="Palatino Linotype" w:eastAsia="Palatino Linotype" w:hAnsi="Palatino Linotype" w:cs="Palatino Linotype"/>
          <w:sz w:val="24"/>
          <w:szCs w:val="24"/>
        </w:rPr>
        <w:t>pronunc</w:t>
      </w:r>
      <w:r w:rsidRPr="00FA0397">
        <w:rPr>
          <w:rFonts w:ascii="Palatino Linotype" w:eastAsia="Palatino Linotype" w:hAnsi="Palatino Linotype" w:cs="Palatino Linotype"/>
          <w:sz w:val="24"/>
          <w:szCs w:val="24"/>
        </w:rPr>
        <w:t xml:space="preserve">iada por el Pleno de este Instituto ante el proyecto presentado por el </w:t>
      </w:r>
      <w:r w:rsidRPr="00FA0397">
        <w:rPr>
          <w:rFonts w:ascii="Palatino Linotype" w:eastAsia="Palatino Linotype" w:hAnsi="Palatino Linotype" w:cs="Palatino Linotype"/>
          <w:b/>
          <w:sz w:val="24"/>
          <w:szCs w:val="24"/>
        </w:rPr>
        <w:t xml:space="preserve">Comisionado Luis Gustavo Parra Noriega, </w:t>
      </w:r>
      <w:r w:rsidRPr="00FA0397">
        <w:rPr>
          <w:rFonts w:ascii="Palatino Linotype" w:eastAsia="Palatino Linotype" w:hAnsi="Palatino Linotype" w:cs="Palatino Linotype"/>
          <w:sz w:val="24"/>
          <w:szCs w:val="24"/>
        </w:rPr>
        <w:t>el cual se formuló, conforme al tenor siguiente:</w:t>
      </w:r>
    </w:p>
    <w:p w:rsidR="003D6651" w:rsidRPr="00FA0397" w:rsidRDefault="00FA0397">
      <w:pPr>
        <w:spacing w:before="240" w:after="240" w:line="360" w:lineRule="auto"/>
        <w:ind w:right="49"/>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A través de la solicitud de acceso a la información que nos ocupa, la persona solicitante requir</w:t>
      </w:r>
      <w:r w:rsidRPr="00FA0397">
        <w:rPr>
          <w:rFonts w:ascii="Palatino Linotype" w:eastAsia="Palatino Linotype" w:hAnsi="Palatino Linotype" w:cs="Palatino Linotype"/>
          <w:sz w:val="24"/>
          <w:szCs w:val="24"/>
        </w:rPr>
        <w:t>ió lo siguiente:</w:t>
      </w:r>
    </w:p>
    <w:p w:rsidR="003D6651" w:rsidRPr="00FA0397" w:rsidRDefault="00FA0397">
      <w:pPr>
        <w:spacing w:line="240" w:lineRule="auto"/>
        <w:ind w:left="851" w:right="990"/>
        <w:jc w:val="both"/>
        <w:rPr>
          <w:rFonts w:ascii="Palatino Linotype" w:eastAsia="Palatino Linotype" w:hAnsi="Palatino Linotype" w:cs="Palatino Linotype"/>
          <w:i/>
        </w:rPr>
      </w:pPr>
      <w:r w:rsidRPr="00FA0397">
        <w:rPr>
          <w:rFonts w:ascii="Palatino Linotype" w:eastAsia="Palatino Linotype" w:hAnsi="Palatino Linotype" w:cs="Palatino Linotype"/>
          <w:i/>
        </w:rPr>
        <w:t xml:space="preserve">“Queremos saber </w:t>
      </w:r>
      <w:proofErr w:type="spellStart"/>
      <w:r w:rsidRPr="00FA0397">
        <w:rPr>
          <w:rFonts w:ascii="Palatino Linotype" w:eastAsia="Palatino Linotype" w:hAnsi="Palatino Linotype" w:cs="Palatino Linotype"/>
          <w:i/>
        </w:rPr>
        <w:t>cuanto</w:t>
      </w:r>
      <w:proofErr w:type="spellEnd"/>
      <w:r w:rsidRPr="00FA0397">
        <w:rPr>
          <w:rFonts w:ascii="Palatino Linotype" w:eastAsia="Palatino Linotype" w:hAnsi="Palatino Linotype" w:cs="Palatino Linotype"/>
          <w:i/>
        </w:rPr>
        <w:t xml:space="preserve"> costos la construcción de la vía rápida de Lerma las Torres, tiempo de ejecución, el proyecto de factibilidad, el proyecto arquitectónico y técnico los dictámenes de </w:t>
      </w:r>
      <w:proofErr w:type="spellStart"/>
      <w:r w:rsidRPr="00FA0397">
        <w:rPr>
          <w:rFonts w:ascii="Palatino Linotype" w:eastAsia="Palatino Linotype" w:hAnsi="Palatino Linotype" w:cs="Palatino Linotype"/>
          <w:i/>
        </w:rPr>
        <w:t>fáctivilida</w:t>
      </w:r>
      <w:proofErr w:type="spellEnd"/>
      <w:r w:rsidRPr="00FA0397">
        <w:rPr>
          <w:rFonts w:ascii="Palatino Linotype" w:eastAsia="Palatino Linotype" w:hAnsi="Palatino Linotype" w:cs="Palatino Linotype"/>
          <w:i/>
        </w:rPr>
        <w:t xml:space="preserve"> vial, la empresa que lo construyó, la </w:t>
      </w:r>
      <w:proofErr w:type="gramStart"/>
      <w:r w:rsidRPr="00FA0397">
        <w:rPr>
          <w:rFonts w:ascii="Palatino Linotype" w:eastAsia="Palatino Linotype" w:hAnsi="Palatino Linotype" w:cs="Palatino Linotype"/>
          <w:b/>
          <w:i/>
          <w:u w:val="single"/>
        </w:rPr>
        <w:t>licitación</w:t>
      </w:r>
      <w:proofErr w:type="gramEnd"/>
      <w:r w:rsidRPr="00FA0397">
        <w:rPr>
          <w:rFonts w:ascii="Palatino Linotype" w:eastAsia="Palatino Linotype" w:hAnsi="Palatino Linotype" w:cs="Palatino Linotype"/>
          <w:b/>
          <w:i/>
          <w:u w:val="single"/>
        </w:rPr>
        <w:t xml:space="preserve"> pública</w:t>
      </w:r>
      <w:r w:rsidRPr="00FA0397">
        <w:rPr>
          <w:rFonts w:ascii="Palatino Linotype" w:eastAsia="Palatino Linotype" w:hAnsi="Palatino Linotype" w:cs="Palatino Linotype"/>
          <w:i/>
        </w:rPr>
        <w:t xml:space="preserve"> y contrato con la empresa a cargo” (Sic).</w:t>
      </w:r>
    </w:p>
    <w:p w:rsidR="003D6651" w:rsidRPr="00FA0397" w:rsidRDefault="00FA0397">
      <w:pPr>
        <w:tabs>
          <w:tab w:val="left" w:pos="709"/>
        </w:tabs>
        <w:spacing w:line="360" w:lineRule="auto"/>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lastRenderedPageBreak/>
        <w:t xml:space="preserve">En respuesta, el </w:t>
      </w:r>
      <w:r w:rsidRPr="00FA0397">
        <w:rPr>
          <w:rFonts w:ascii="Palatino Linotype" w:eastAsia="Palatino Linotype" w:hAnsi="Palatino Linotype" w:cs="Palatino Linotype"/>
          <w:b/>
          <w:sz w:val="24"/>
          <w:szCs w:val="24"/>
        </w:rPr>
        <w:t xml:space="preserve">Sujeto Obligado, </w:t>
      </w:r>
      <w:r w:rsidRPr="00FA0397">
        <w:rPr>
          <w:rFonts w:ascii="Palatino Linotype" w:eastAsia="Palatino Linotype" w:hAnsi="Palatino Linotype" w:cs="Palatino Linotype"/>
          <w:sz w:val="24"/>
          <w:szCs w:val="24"/>
        </w:rPr>
        <w:t>a través del servidor público de la Dirección General de Vialidad remitió la digitalización del plano denominado “TRAZO VIADUCTO LERMA CPO. A (RAMA 30) PLANTA GE</w:t>
      </w:r>
      <w:r w:rsidRPr="00FA0397">
        <w:rPr>
          <w:rFonts w:ascii="Palatino Linotype" w:eastAsia="Palatino Linotype" w:hAnsi="Palatino Linotype" w:cs="Palatino Linotype"/>
          <w:sz w:val="24"/>
          <w:szCs w:val="24"/>
        </w:rPr>
        <w:t>NERAL POR EL EJE DE TRAZO ( 1 DE 2 )” así como de una tabla con los siguientes datos: Empresa que lo construyó, No. de Licitación y No. de contrato, Nombre del Contrato, Precio del contrato, Periodo Contrato y Periodo Convenio, y, respecto del “Proyecto de</w:t>
      </w:r>
      <w:r w:rsidRPr="00FA0397">
        <w:rPr>
          <w:rFonts w:ascii="Palatino Linotype" w:eastAsia="Palatino Linotype" w:hAnsi="Palatino Linotype" w:cs="Palatino Linotype"/>
          <w:sz w:val="24"/>
          <w:szCs w:val="24"/>
        </w:rPr>
        <w:t xml:space="preserve"> factibilidad y los dictámenes de factibilidad vial”, informó que después de realizar una búsqueda exhaustiva en los archivos que obran dentro de la Dirección, no se encontró ningún tipo de información referente a su solicitud.</w:t>
      </w:r>
    </w:p>
    <w:p w:rsidR="003D6651" w:rsidRPr="00FA0397" w:rsidRDefault="00FA0397">
      <w:pPr>
        <w:tabs>
          <w:tab w:val="left" w:pos="709"/>
        </w:tabs>
        <w:spacing w:line="360" w:lineRule="auto"/>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 xml:space="preserve">Conocida la respuesta del </w:t>
      </w:r>
      <w:r w:rsidRPr="00FA0397">
        <w:rPr>
          <w:rFonts w:ascii="Palatino Linotype" w:eastAsia="Palatino Linotype" w:hAnsi="Palatino Linotype" w:cs="Palatino Linotype"/>
          <w:b/>
          <w:sz w:val="24"/>
          <w:szCs w:val="24"/>
        </w:rPr>
        <w:t>Su</w:t>
      </w:r>
      <w:r w:rsidRPr="00FA0397">
        <w:rPr>
          <w:rFonts w:ascii="Palatino Linotype" w:eastAsia="Palatino Linotype" w:hAnsi="Palatino Linotype" w:cs="Palatino Linotype"/>
          <w:b/>
          <w:sz w:val="24"/>
          <w:szCs w:val="24"/>
        </w:rPr>
        <w:t xml:space="preserve">jeto Obligado, </w:t>
      </w:r>
      <w:r w:rsidRPr="00FA0397">
        <w:rPr>
          <w:rFonts w:ascii="Palatino Linotype" w:eastAsia="Palatino Linotype" w:hAnsi="Palatino Linotype" w:cs="Palatino Linotype"/>
          <w:sz w:val="24"/>
          <w:szCs w:val="24"/>
        </w:rPr>
        <w:t>al no estar conforme con los términos de la respuesta emitida, presentó el recurso de revisión que se resolvió, mediante el cual, la persona solicitante manifestó como acto impugnado: “</w:t>
      </w:r>
      <w:r w:rsidRPr="00FA0397">
        <w:rPr>
          <w:rFonts w:ascii="Palatino Linotype" w:eastAsia="Palatino Linotype" w:hAnsi="Palatino Linotype" w:cs="Palatino Linotype"/>
          <w:i/>
          <w:sz w:val="24"/>
          <w:szCs w:val="24"/>
        </w:rPr>
        <w:t>realizan la obra y no cuentan con los documentos bases p</w:t>
      </w:r>
      <w:r w:rsidRPr="00FA0397">
        <w:rPr>
          <w:rFonts w:ascii="Palatino Linotype" w:eastAsia="Palatino Linotype" w:hAnsi="Palatino Linotype" w:cs="Palatino Linotype"/>
          <w:i/>
          <w:sz w:val="24"/>
          <w:szCs w:val="24"/>
        </w:rPr>
        <w:t xml:space="preserve">or lo que se tiene la negativa del proyecto de factibilidad, el proyecto arquitectónico y técnico los dictámenes de </w:t>
      </w:r>
      <w:proofErr w:type="spellStart"/>
      <w:r w:rsidRPr="00FA0397">
        <w:rPr>
          <w:rFonts w:ascii="Palatino Linotype" w:eastAsia="Palatino Linotype" w:hAnsi="Palatino Linotype" w:cs="Palatino Linotype"/>
          <w:i/>
          <w:sz w:val="24"/>
          <w:szCs w:val="24"/>
        </w:rPr>
        <w:t>fáctivilida</w:t>
      </w:r>
      <w:proofErr w:type="spellEnd"/>
      <w:r w:rsidRPr="00FA0397">
        <w:rPr>
          <w:rFonts w:ascii="Palatino Linotype" w:eastAsia="Palatino Linotype" w:hAnsi="Palatino Linotype" w:cs="Palatino Linotype"/>
          <w:i/>
          <w:sz w:val="24"/>
          <w:szCs w:val="24"/>
        </w:rPr>
        <w:t xml:space="preserve"> vial, la empresa que lo construyó, la licitación pública y contrato con la empresa a cargo</w:t>
      </w:r>
      <w:r w:rsidRPr="00FA0397">
        <w:rPr>
          <w:rFonts w:ascii="Palatino Linotype" w:eastAsia="Palatino Linotype" w:hAnsi="Palatino Linotype" w:cs="Palatino Linotype"/>
          <w:sz w:val="24"/>
          <w:szCs w:val="24"/>
        </w:rPr>
        <w:t>” (sic)</w:t>
      </w:r>
    </w:p>
    <w:p w:rsidR="003D6651" w:rsidRPr="00FA0397" w:rsidRDefault="00FA0397">
      <w:pPr>
        <w:spacing w:line="360" w:lineRule="auto"/>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Posteriormente la Ponencia que</w:t>
      </w:r>
      <w:r w:rsidRPr="00FA0397">
        <w:rPr>
          <w:rFonts w:ascii="Palatino Linotype" w:eastAsia="Palatino Linotype" w:hAnsi="Palatino Linotype" w:cs="Palatino Linotype"/>
          <w:sz w:val="24"/>
          <w:szCs w:val="24"/>
        </w:rPr>
        <w:t xml:space="preserve"> resolvió admitió el recurso de revisión y derivado de ello, se integró el expediente electrónico, en el cual, una vez otorgado un plazo de siete días, el </w:t>
      </w:r>
      <w:r w:rsidRPr="00FA0397">
        <w:rPr>
          <w:rFonts w:ascii="Palatino Linotype" w:eastAsia="Palatino Linotype" w:hAnsi="Palatino Linotype" w:cs="Palatino Linotype"/>
          <w:b/>
          <w:sz w:val="24"/>
          <w:szCs w:val="24"/>
        </w:rPr>
        <w:t>Sujeto Obligado</w:t>
      </w:r>
      <w:r w:rsidRPr="00FA0397">
        <w:rPr>
          <w:rFonts w:ascii="Palatino Linotype" w:eastAsia="Palatino Linotype" w:hAnsi="Palatino Linotype" w:cs="Palatino Linotype"/>
          <w:sz w:val="24"/>
          <w:szCs w:val="24"/>
        </w:rPr>
        <w:t xml:space="preserve"> remitió su informe justificado mediante el cual reiteró su respuesta.</w:t>
      </w:r>
    </w:p>
    <w:p w:rsidR="003D6651" w:rsidRPr="00FA0397" w:rsidRDefault="00FA0397">
      <w:pPr>
        <w:spacing w:before="240" w:after="240" w:line="360" w:lineRule="auto"/>
        <w:ind w:right="-6"/>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 xml:space="preserve">Así las cosas, </w:t>
      </w:r>
      <w:r w:rsidRPr="00FA0397">
        <w:rPr>
          <w:rFonts w:ascii="Palatino Linotype" w:eastAsia="Palatino Linotype" w:hAnsi="Palatino Linotype" w:cs="Palatino Linotype"/>
          <w:sz w:val="24"/>
          <w:szCs w:val="24"/>
        </w:rPr>
        <w:t xml:space="preserve">derivado del análisis efectuado, el Comisionado Ponente consideró que las razones o motivos de inconformidad hechas valer por la parte </w:t>
      </w:r>
      <w:r w:rsidRPr="00FA0397">
        <w:rPr>
          <w:rFonts w:ascii="Palatino Linotype" w:eastAsia="Palatino Linotype" w:hAnsi="Palatino Linotype" w:cs="Palatino Linotype"/>
          <w:b/>
          <w:sz w:val="24"/>
          <w:szCs w:val="24"/>
        </w:rPr>
        <w:t xml:space="preserve">Recurrente </w:t>
      </w:r>
      <w:r w:rsidRPr="00FA0397">
        <w:rPr>
          <w:rFonts w:ascii="Palatino Linotype" w:eastAsia="Palatino Linotype" w:hAnsi="Palatino Linotype" w:cs="Palatino Linotype"/>
          <w:sz w:val="24"/>
          <w:szCs w:val="24"/>
        </w:rPr>
        <w:lastRenderedPageBreak/>
        <w:t>resultaban fundados y determinó ordenar la entrega de información en los siguientes términos:</w:t>
      </w:r>
    </w:p>
    <w:p w:rsidR="003D6651" w:rsidRPr="00FA0397" w:rsidRDefault="00FA0397">
      <w:pPr>
        <w:spacing w:before="120" w:after="120" w:line="240" w:lineRule="auto"/>
        <w:ind w:left="851" w:right="902"/>
        <w:jc w:val="both"/>
        <w:rPr>
          <w:rFonts w:ascii="Palatino Linotype" w:eastAsia="Palatino Linotype" w:hAnsi="Palatino Linotype" w:cs="Palatino Linotype"/>
          <w:i/>
        </w:rPr>
      </w:pPr>
      <w:r w:rsidRPr="00FA0397">
        <w:rPr>
          <w:rFonts w:ascii="Palatino Linotype" w:eastAsia="Palatino Linotype" w:hAnsi="Palatino Linotype" w:cs="Palatino Linotype"/>
          <w:i/>
        </w:rPr>
        <w:t>“</w:t>
      </w:r>
      <w:r w:rsidRPr="00FA0397">
        <w:rPr>
          <w:rFonts w:ascii="Palatino Linotype" w:eastAsia="Palatino Linotype" w:hAnsi="Palatino Linotype" w:cs="Palatino Linotype"/>
          <w:b/>
          <w:i/>
        </w:rPr>
        <w:t xml:space="preserve">SEGUNDO. </w:t>
      </w:r>
      <w:r w:rsidRPr="00FA0397">
        <w:rPr>
          <w:rFonts w:ascii="Palatino Linotype" w:eastAsia="Palatino Linotype" w:hAnsi="Palatino Linotype" w:cs="Palatino Linotype"/>
          <w:i/>
        </w:rPr>
        <w:t xml:space="preserve">Se </w:t>
      </w:r>
      <w:r w:rsidRPr="00FA0397">
        <w:rPr>
          <w:rFonts w:ascii="Palatino Linotype" w:eastAsia="Palatino Linotype" w:hAnsi="Palatino Linotype" w:cs="Palatino Linotype"/>
          <w:b/>
          <w:i/>
        </w:rPr>
        <w:t xml:space="preserve">ORDENA </w:t>
      </w:r>
      <w:r w:rsidRPr="00FA0397">
        <w:rPr>
          <w:rFonts w:ascii="Palatino Linotype" w:eastAsia="Palatino Linotype" w:hAnsi="Palatino Linotype" w:cs="Palatino Linotype"/>
          <w:i/>
        </w:rPr>
        <w:t xml:space="preserve">al </w:t>
      </w:r>
      <w:r w:rsidRPr="00FA0397">
        <w:rPr>
          <w:rFonts w:ascii="Palatino Linotype" w:eastAsia="Palatino Linotype" w:hAnsi="Palatino Linotype" w:cs="Palatino Linotype"/>
          <w:i/>
        </w:rPr>
        <w:t>Sujeto Obligado</w:t>
      </w:r>
      <w:r w:rsidRPr="00FA0397">
        <w:rPr>
          <w:rFonts w:ascii="Palatino Linotype" w:eastAsia="Palatino Linotype" w:hAnsi="Palatino Linotype" w:cs="Palatino Linotype"/>
          <w:i/>
        </w:rPr>
        <w:t>, a efecto de que previa búsqueda exhaustiva y razonable en los archivos de las unidades administrativas competentes, entregue, a través del Sistema de Acceso a la Información Mexiquense (SAIMEX), en su caso en versión pública, res</w:t>
      </w:r>
      <w:r w:rsidRPr="00FA0397">
        <w:rPr>
          <w:rFonts w:ascii="Palatino Linotype" w:eastAsia="Palatino Linotype" w:hAnsi="Palatino Linotype" w:cs="Palatino Linotype"/>
          <w:i/>
        </w:rPr>
        <w:t>pecto a los procedimientos de ob</w:t>
      </w:r>
      <w:bookmarkStart w:id="0" w:name="_GoBack"/>
      <w:r w:rsidRPr="00FA0397">
        <w:rPr>
          <w:rFonts w:ascii="Palatino Linotype" w:eastAsia="Palatino Linotype" w:hAnsi="Palatino Linotype" w:cs="Palatino Linotype"/>
          <w:i/>
        </w:rPr>
        <w:t>r</w:t>
      </w:r>
      <w:bookmarkEnd w:id="0"/>
      <w:r w:rsidRPr="00FA0397">
        <w:rPr>
          <w:rFonts w:ascii="Palatino Linotype" w:eastAsia="Palatino Linotype" w:hAnsi="Palatino Linotype" w:cs="Palatino Linotype"/>
          <w:i/>
        </w:rPr>
        <w:t>a pública DGV-PAD-21-RE-05-C y SCEM-DGV-PAD-19-RE-06-C, los documentos que den cuenta de lo siguiente:</w:t>
      </w:r>
    </w:p>
    <w:p w:rsidR="003D6651" w:rsidRPr="00FA0397" w:rsidRDefault="00FA0397">
      <w:pPr>
        <w:numPr>
          <w:ilvl w:val="0"/>
          <w:numId w:val="1"/>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FA0397">
        <w:rPr>
          <w:rFonts w:ascii="Palatino Linotype" w:eastAsia="Palatino Linotype" w:hAnsi="Palatino Linotype" w:cs="Palatino Linotype"/>
          <w:i/>
        </w:rPr>
        <w:t>La convocatoria de la Licitación Pública Nacional con número SMEM-DGV-PAD-21-RE-05-C;</w:t>
      </w:r>
    </w:p>
    <w:p w:rsidR="003D6651" w:rsidRPr="00FA0397" w:rsidRDefault="00FA0397">
      <w:pPr>
        <w:numPr>
          <w:ilvl w:val="0"/>
          <w:numId w:val="1"/>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FA0397">
        <w:rPr>
          <w:rFonts w:ascii="Palatino Linotype" w:eastAsia="Palatino Linotype" w:hAnsi="Palatino Linotype" w:cs="Palatino Linotype"/>
          <w:i/>
        </w:rPr>
        <w:t>Las invitaciones emitidas dentro del procedimiento número SCEM-DGV-PAD-19-RE-06-C;</w:t>
      </w:r>
    </w:p>
    <w:p w:rsidR="003D6651" w:rsidRPr="00FA0397" w:rsidRDefault="00FA0397">
      <w:pPr>
        <w:numPr>
          <w:ilvl w:val="0"/>
          <w:numId w:val="1"/>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FA0397">
        <w:rPr>
          <w:rFonts w:ascii="Palatino Linotype" w:eastAsia="Palatino Linotype" w:hAnsi="Palatino Linotype" w:cs="Palatino Linotype"/>
          <w:i/>
        </w:rPr>
        <w:t>Los contratos celebrados;</w:t>
      </w:r>
    </w:p>
    <w:p w:rsidR="003D6651" w:rsidRPr="00FA0397" w:rsidRDefault="00FA0397">
      <w:pPr>
        <w:numPr>
          <w:ilvl w:val="0"/>
          <w:numId w:val="1"/>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FA0397">
        <w:rPr>
          <w:rFonts w:ascii="Palatino Linotype" w:eastAsia="Palatino Linotype" w:hAnsi="Palatino Linotype" w:cs="Palatino Linotype"/>
          <w:i/>
        </w:rPr>
        <w:t>El Análisis de Factibilidad, y</w:t>
      </w:r>
    </w:p>
    <w:p w:rsidR="003D6651" w:rsidRPr="00FA0397" w:rsidRDefault="00FA0397">
      <w:pPr>
        <w:numPr>
          <w:ilvl w:val="0"/>
          <w:numId w:val="1"/>
        </w:numPr>
        <w:pBdr>
          <w:top w:val="nil"/>
          <w:left w:val="nil"/>
          <w:bottom w:val="nil"/>
          <w:right w:val="nil"/>
          <w:between w:val="nil"/>
        </w:pBdr>
        <w:spacing w:before="120" w:after="120" w:line="240" w:lineRule="auto"/>
        <w:ind w:left="1134" w:right="902" w:firstLine="0"/>
        <w:jc w:val="both"/>
        <w:rPr>
          <w:rFonts w:ascii="Palatino Linotype" w:eastAsia="Palatino Linotype" w:hAnsi="Palatino Linotype" w:cs="Palatino Linotype"/>
          <w:i/>
        </w:rPr>
      </w:pPr>
      <w:r w:rsidRPr="00FA0397">
        <w:rPr>
          <w:rFonts w:ascii="Palatino Linotype" w:eastAsia="Palatino Linotype" w:hAnsi="Palatino Linotype" w:cs="Palatino Linotype"/>
          <w:i/>
        </w:rPr>
        <w:t>El Dictamen de Factibilidad.</w:t>
      </w:r>
    </w:p>
    <w:p w:rsidR="003D6651" w:rsidRPr="00FA0397" w:rsidRDefault="00FA0397">
      <w:pPr>
        <w:spacing w:before="120" w:after="120" w:line="240" w:lineRule="auto"/>
        <w:ind w:left="851" w:right="902"/>
        <w:jc w:val="both"/>
        <w:rPr>
          <w:rFonts w:ascii="Palatino Linotype" w:eastAsia="Palatino Linotype" w:hAnsi="Palatino Linotype" w:cs="Palatino Linotype"/>
          <w:i/>
        </w:rPr>
      </w:pPr>
      <w:r w:rsidRPr="00FA0397">
        <w:rPr>
          <w:rFonts w:ascii="Palatino Linotype" w:eastAsia="Palatino Linotype" w:hAnsi="Palatino Linotype" w:cs="Palatino Linotype"/>
          <w:i/>
        </w:rPr>
        <w:t>Además, de ser necesario, deberá proporcionar el Acuerdo de Clasificación donde el Comi</w:t>
      </w:r>
      <w:r w:rsidRPr="00FA0397">
        <w:rPr>
          <w:rFonts w:ascii="Palatino Linotype" w:eastAsia="Palatino Linotype" w:hAnsi="Palatino Linotype" w:cs="Palatino Linotype"/>
          <w:i/>
        </w:rPr>
        <w:t>té de Transparencia, confirme la eliminación de los datos o información clasificada, en la versión pública, de conformidad con los artículos 49, fracciones II y VIII y 132, fracción II de la Ley de Transparencia y Acceso a la Información Pública del Estado</w:t>
      </w:r>
      <w:r w:rsidRPr="00FA0397">
        <w:rPr>
          <w:rFonts w:ascii="Palatino Linotype" w:eastAsia="Palatino Linotype" w:hAnsi="Palatino Linotype" w:cs="Palatino Linotype"/>
          <w:i/>
        </w:rPr>
        <w:t xml:space="preserve"> de México y Municipios.</w:t>
      </w:r>
    </w:p>
    <w:p w:rsidR="003D6651" w:rsidRPr="00FA0397" w:rsidRDefault="00FA0397">
      <w:pPr>
        <w:spacing w:before="120" w:after="120" w:line="240" w:lineRule="auto"/>
        <w:ind w:left="851" w:right="902"/>
        <w:jc w:val="both"/>
        <w:rPr>
          <w:rFonts w:ascii="Palatino Linotype" w:eastAsia="Palatino Linotype" w:hAnsi="Palatino Linotype" w:cs="Palatino Linotype"/>
          <w:i/>
        </w:rPr>
      </w:pPr>
      <w:r w:rsidRPr="00FA0397">
        <w:rPr>
          <w:rFonts w:ascii="Palatino Linotype" w:eastAsia="Palatino Linotype" w:hAnsi="Palatino Linotype" w:cs="Palatino Linotype"/>
          <w:i/>
        </w:rPr>
        <w:t>Finalmente, para el caso de que no cuente con el Dictamen de Factibilidad (punto 5), al no haber obligación normativa, deberá hacerlo del conocimiento del ahora Recurrente, de manera clara y precisa.”</w:t>
      </w:r>
    </w:p>
    <w:p w:rsidR="00480911" w:rsidRPr="00FA0397" w:rsidRDefault="00FA0397">
      <w:pPr>
        <w:spacing w:before="240" w:after="240" w:line="360" w:lineRule="auto"/>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 xml:space="preserve">Determinación que se comparte </w:t>
      </w:r>
      <w:r w:rsidRPr="00FA0397">
        <w:rPr>
          <w:rFonts w:ascii="Palatino Linotype" w:eastAsia="Palatino Linotype" w:hAnsi="Palatino Linotype" w:cs="Palatino Linotype"/>
          <w:sz w:val="24"/>
          <w:szCs w:val="24"/>
        </w:rPr>
        <w:t xml:space="preserve">en su mayoría, no obstante, no escapa de la óptica de la suscrita que derivado de la interpretación a la solicitud, la ponencia que resolvió consideró que la pretensión de la persona solicitante consistía en acceder, entre otros documentos, a aquellos que </w:t>
      </w:r>
      <w:r w:rsidRPr="00FA0397">
        <w:rPr>
          <w:rFonts w:ascii="Palatino Linotype" w:eastAsia="Palatino Linotype" w:hAnsi="Palatino Linotype" w:cs="Palatino Linotype"/>
          <w:sz w:val="24"/>
          <w:szCs w:val="24"/>
        </w:rPr>
        <w:t xml:space="preserve">den cuenta de la convocatoria de la licitación pública, sin embargo, toda vez que de la información remitida por parte del </w:t>
      </w:r>
      <w:r w:rsidRPr="00FA0397">
        <w:rPr>
          <w:rFonts w:ascii="Palatino Linotype" w:eastAsia="Palatino Linotype" w:hAnsi="Palatino Linotype" w:cs="Palatino Linotype"/>
          <w:b/>
          <w:sz w:val="24"/>
          <w:szCs w:val="24"/>
        </w:rPr>
        <w:t>Sujeto Obligado</w:t>
      </w:r>
      <w:r w:rsidRPr="00FA0397">
        <w:rPr>
          <w:rFonts w:ascii="Palatino Linotype" w:eastAsia="Palatino Linotype" w:hAnsi="Palatino Linotype" w:cs="Palatino Linotype"/>
          <w:sz w:val="24"/>
          <w:szCs w:val="24"/>
        </w:rPr>
        <w:t xml:space="preserve"> se desprende que los contratos relacionados con la obra </w:t>
      </w:r>
      <w:r w:rsidRPr="00FA0397">
        <w:rPr>
          <w:rFonts w:ascii="Palatino Linotype" w:eastAsia="Palatino Linotype" w:hAnsi="Palatino Linotype" w:cs="Palatino Linotype"/>
          <w:i/>
          <w:sz w:val="24"/>
          <w:szCs w:val="24"/>
        </w:rPr>
        <w:t>Viaducto de conexión del cuerpo "A" de la carretera federal M</w:t>
      </w:r>
      <w:r w:rsidRPr="00FA0397">
        <w:rPr>
          <w:rFonts w:ascii="Palatino Linotype" w:eastAsia="Palatino Linotype" w:hAnsi="Palatino Linotype" w:cs="Palatino Linotype"/>
          <w:i/>
          <w:sz w:val="24"/>
          <w:szCs w:val="24"/>
        </w:rPr>
        <w:t xml:space="preserve">éxico - Toluca con el </w:t>
      </w:r>
      <w:proofErr w:type="spellStart"/>
      <w:r w:rsidRPr="00FA0397">
        <w:rPr>
          <w:rFonts w:ascii="Palatino Linotype" w:eastAsia="Palatino Linotype" w:hAnsi="Palatino Linotype" w:cs="Palatino Linotype"/>
          <w:i/>
          <w:sz w:val="24"/>
          <w:szCs w:val="24"/>
        </w:rPr>
        <w:t>Blvd</w:t>
      </w:r>
      <w:proofErr w:type="spellEnd"/>
      <w:r w:rsidRPr="00FA0397">
        <w:rPr>
          <w:rFonts w:ascii="Palatino Linotype" w:eastAsia="Palatino Linotype" w:hAnsi="Palatino Linotype" w:cs="Palatino Linotype"/>
          <w:i/>
          <w:sz w:val="24"/>
          <w:szCs w:val="24"/>
        </w:rPr>
        <w:t xml:space="preserve">. Solidaridad Las Torres, Municipio de Lerma, Estado de México, </w:t>
      </w:r>
      <w:r w:rsidRPr="00FA0397">
        <w:rPr>
          <w:rFonts w:ascii="Palatino Linotype" w:eastAsia="Palatino Linotype" w:hAnsi="Palatino Linotype" w:cs="Palatino Linotype"/>
          <w:sz w:val="24"/>
          <w:szCs w:val="24"/>
        </w:rPr>
        <w:t>se otorgaron mediante licitación pública e invitación restringida, la ponencia estimó oportuno que se hiciera entrega únicamente de la convocatoria de la Licitación P</w:t>
      </w:r>
      <w:r w:rsidRPr="00FA0397">
        <w:rPr>
          <w:rFonts w:ascii="Palatino Linotype" w:eastAsia="Palatino Linotype" w:hAnsi="Palatino Linotype" w:cs="Palatino Linotype"/>
          <w:sz w:val="24"/>
          <w:szCs w:val="24"/>
        </w:rPr>
        <w:t>ública Nacional con número SMEM-DGV-PAD-21-RE-05-C, así como de las invitaciones emitidas dentro del procedimiento número SCEM-DGV-PAD-19-RE-06-C, como se advierte en los puntos 1 y 2 del resolutivo segundo, no obstante, dicha conclusión que no se comparte</w:t>
      </w:r>
      <w:r w:rsidRPr="00FA0397">
        <w:rPr>
          <w:rFonts w:ascii="Palatino Linotype" w:eastAsia="Palatino Linotype" w:hAnsi="Palatino Linotype" w:cs="Palatino Linotype"/>
          <w:sz w:val="24"/>
          <w:szCs w:val="24"/>
        </w:rPr>
        <w:t xml:space="preserve"> por la que suscribe, al considerar que se ordena la entrega de información de manera incompleta, pues estimo que se debieron ordenar todos los documentos que forman parte de los procedimientos de licitación pública e invitación restringida, de conformidad</w:t>
      </w:r>
      <w:r w:rsidRPr="00FA0397">
        <w:rPr>
          <w:rFonts w:ascii="Palatino Linotype" w:eastAsia="Palatino Linotype" w:hAnsi="Palatino Linotype" w:cs="Palatino Linotype"/>
          <w:sz w:val="24"/>
          <w:szCs w:val="24"/>
        </w:rPr>
        <w:t xml:space="preserve"> con lo previsto en el artículo 92, fracción XXIX, incisos a) y b) de la Ley de Transparencia y Acceso a la Información Pública del Estado de México y Municipios</w:t>
      </w:r>
      <w:r w:rsidRPr="00FA0397">
        <w:rPr>
          <w:rFonts w:ascii="Palatino Linotype" w:eastAsia="Palatino Linotype" w:hAnsi="Palatino Linotype" w:cs="Palatino Linotype"/>
          <w:sz w:val="24"/>
          <w:szCs w:val="24"/>
        </w:rPr>
        <w:t xml:space="preserve">, </w:t>
      </w:r>
      <w:r w:rsidR="00480911" w:rsidRPr="00FA0397">
        <w:rPr>
          <w:rFonts w:ascii="Palatino Linotype" w:eastAsia="Palatino Linotype" w:hAnsi="Palatino Linotype" w:cs="Palatino Linotype"/>
          <w:sz w:val="24"/>
          <w:szCs w:val="24"/>
        </w:rPr>
        <w:t>el cual señala lo siguiente:</w:t>
      </w:r>
    </w:p>
    <w:p w:rsidR="00FA0397" w:rsidRPr="00FA0397" w:rsidRDefault="00FA0397" w:rsidP="00FA0397">
      <w:pPr>
        <w:ind w:left="851" w:right="902"/>
        <w:jc w:val="both"/>
        <w:rPr>
          <w:rFonts w:ascii="Palatino Linotype" w:eastAsia="Palatino Linotype" w:hAnsi="Palatino Linotype" w:cs="Palatino Linotype"/>
          <w:i/>
        </w:rPr>
      </w:pPr>
      <w:r w:rsidRPr="00FA0397">
        <w:rPr>
          <w:rFonts w:ascii="Palatino Linotype" w:eastAsia="Palatino Linotype" w:hAnsi="Palatino Linotype" w:cs="Palatino Linotype"/>
          <w:i/>
        </w:rPr>
        <w:t>“</w:t>
      </w:r>
      <w:r w:rsidRPr="00FA0397">
        <w:rPr>
          <w:rFonts w:ascii="Palatino Linotype" w:eastAsia="Palatino Linotype" w:hAnsi="Palatino Linotype" w:cs="Palatino Linotype"/>
          <w:b/>
          <w:i/>
        </w:rPr>
        <w:t>Artículo 92</w:t>
      </w:r>
      <w:r w:rsidRPr="00FA0397">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A0397" w:rsidRPr="00FA0397" w:rsidRDefault="00FA0397" w:rsidP="00FA0397">
      <w:pPr>
        <w:tabs>
          <w:tab w:val="left" w:pos="426"/>
        </w:tabs>
        <w:spacing w:before="120" w:after="120"/>
        <w:ind w:left="1134" w:right="902"/>
        <w:jc w:val="both"/>
        <w:rPr>
          <w:rFonts w:ascii="Palatino Linotype" w:eastAsia="Palatino Linotype" w:hAnsi="Palatino Linotype" w:cs="Palatino Linotype"/>
          <w:i/>
        </w:rPr>
      </w:pPr>
      <w:r w:rsidRPr="00FA0397">
        <w:rPr>
          <w:rFonts w:ascii="Palatino Linotype" w:eastAsia="Palatino Linotype" w:hAnsi="Palatino Linotype" w:cs="Palatino Linotype"/>
          <w:i/>
        </w:rPr>
        <w:t>(…)</w:t>
      </w:r>
    </w:p>
    <w:p w:rsidR="00FA0397" w:rsidRPr="00FA0397" w:rsidRDefault="00FA0397" w:rsidP="00FA0397">
      <w:pPr>
        <w:tabs>
          <w:tab w:val="left" w:pos="426"/>
        </w:tabs>
        <w:spacing w:before="120" w:after="120"/>
        <w:ind w:left="1134"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XXIX.</w:t>
      </w:r>
      <w:r w:rsidRPr="00FA0397">
        <w:rPr>
          <w:rFonts w:ascii="Palatino Linotype" w:eastAsia="Palatino Linotype" w:hAnsi="Palatino Linotype" w:cs="Palatino Linotype"/>
          <w:i/>
        </w:rPr>
        <w:t xml:space="preserve"> La </w:t>
      </w:r>
      <w:r w:rsidRPr="00FA0397">
        <w:rPr>
          <w:rFonts w:ascii="Palatino Linotype" w:eastAsia="Palatino Linotype" w:hAnsi="Palatino Linotype" w:cs="Palatino Linotype"/>
          <w:b/>
          <w:i/>
        </w:rPr>
        <w:t xml:space="preserve">información sobre los procesos y resultados </w:t>
      </w:r>
      <w:r w:rsidRPr="00FA0397">
        <w:rPr>
          <w:rFonts w:ascii="Palatino Linotype" w:eastAsia="Palatino Linotype" w:hAnsi="Palatino Linotype" w:cs="Palatino Linotype"/>
          <w:b/>
          <w:i/>
          <w:u w:val="single"/>
        </w:rPr>
        <w:t>sobre procedimientos de adjudicación directa, invitación restringida y licitación de cualquier naturaleza</w:t>
      </w:r>
      <w:r w:rsidRPr="00FA0397">
        <w:rPr>
          <w:rFonts w:ascii="Palatino Linotype" w:eastAsia="Palatino Linotype" w:hAnsi="Palatino Linotype" w:cs="Palatino Linotype"/>
          <w:i/>
          <w:u w:val="single"/>
        </w:rPr>
        <w:t xml:space="preserve">, </w:t>
      </w:r>
      <w:r w:rsidRPr="00FA0397">
        <w:rPr>
          <w:rFonts w:ascii="Palatino Linotype" w:eastAsia="Palatino Linotype" w:hAnsi="Palatino Linotype" w:cs="Palatino Linotype"/>
          <w:b/>
          <w:i/>
        </w:rPr>
        <w:t>incluyendo la versión pública</w:t>
      </w:r>
      <w:r w:rsidRPr="00FA0397">
        <w:rPr>
          <w:rFonts w:ascii="Palatino Linotype" w:eastAsia="Palatino Linotype" w:hAnsi="Palatino Linotype" w:cs="Palatino Linotype"/>
          <w:i/>
        </w:rPr>
        <w:t xml:space="preserve"> del expediente respectivo y </w:t>
      </w:r>
      <w:r w:rsidRPr="00FA0397">
        <w:rPr>
          <w:rFonts w:ascii="Palatino Linotype" w:eastAsia="Palatino Linotype" w:hAnsi="Palatino Linotype" w:cs="Palatino Linotype"/>
          <w:b/>
          <w:i/>
        </w:rPr>
        <w:t>de los contratos celebrados</w:t>
      </w:r>
      <w:r w:rsidRPr="00FA0397">
        <w:rPr>
          <w:rFonts w:ascii="Palatino Linotype" w:eastAsia="Palatino Linotype" w:hAnsi="Palatino Linotype" w:cs="Palatino Linotype"/>
          <w:i/>
        </w:rPr>
        <w:t>, que deberán contener, por los menos, lo siguiente:</w:t>
      </w:r>
    </w:p>
    <w:p w:rsidR="00FA0397" w:rsidRPr="00FA0397" w:rsidRDefault="00FA0397" w:rsidP="00FA0397">
      <w:pPr>
        <w:tabs>
          <w:tab w:val="left" w:pos="426"/>
        </w:tabs>
        <w:spacing w:before="120" w:after="120"/>
        <w:ind w:left="1418" w:right="902"/>
        <w:jc w:val="both"/>
        <w:rPr>
          <w:rFonts w:ascii="Palatino Linotype" w:eastAsia="Palatino Linotype" w:hAnsi="Palatino Linotype" w:cs="Palatino Linotype"/>
          <w:b/>
          <w:i/>
        </w:rPr>
      </w:pPr>
      <w:r w:rsidRPr="00FA0397">
        <w:rPr>
          <w:rFonts w:ascii="Palatino Linotype" w:eastAsia="Palatino Linotype" w:hAnsi="Palatino Linotype" w:cs="Palatino Linotype"/>
          <w:b/>
          <w:i/>
        </w:rPr>
        <w:t>a) De licitaciones públicas o procedimientos de invitación restringida:</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w:t>
      </w:r>
      <w:r w:rsidRPr="00FA0397">
        <w:rPr>
          <w:rFonts w:ascii="Palatino Linotype" w:eastAsia="Palatino Linotype" w:hAnsi="Palatino Linotype" w:cs="Palatino Linotype"/>
          <w:i/>
        </w:rPr>
        <w:t xml:space="preserve"> La convocatoria o invitación emitida, así como los fundamentos legales aplicados para llevarla a cabo;</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2)</w:t>
      </w:r>
      <w:r w:rsidRPr="00FA0397">
        <w:rPr>
          <w:rFonts w:ascii="Palatino Linotype" w:eastAsia="Palatino Linotype" w:hAnsi="Palatino Linotype" w:cs="Palatino Linotype"/>
          <w:i/>
        </w:rPr>
        <w:t xml:space="preserve"> Los nombres de los participantes o invitados;</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3)</w:t>
      </w:r>
      <w:r w:rsidRPr="00FA0397">
        <w:rPr>
          <w:rFonts w:ascii="Palatino Linotype" w:eastAsia="Palatino Linotype" w:hAnsi="Palatino Linotype" w:cs="Palatino Linotype"/>
          <w:i/>
        </w:rPr>
        <w:t xml:space="preserve"> El nombre del ganador y las razones que lo justifican;</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4)</w:t>
      </w:r>
      <w:r w:rsidRPr="00FA0397">
        <w:rPr>
          <w:rFonts w:ascii="Palatino Linotype" w:eastAsia="Palatino Linotype" w:hAnsi="Palatino Linotype" w:cs="Palatino Linotype"/>
          <w:i/>
        </w:rPr>
        <w:t xml:space="preserve"> El área solicitante y la responsable de su ejecución;</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5)</w:t>
      </w:r>
      <w:r w:rsidRPr="00FA0397">
        <w:rPr>
          <w:rFonts w:ascii="Palatino Linotype" w:eastAsia="Palatino Linotype" w:hAnsi="Palatino Linotype" w:cs="Palatino Linotype"/>
          <w:i/>
        </w:rPr>
        <w:t xml:space="preserve"> Las convocatorias e invitaciones emitidas;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6)</w:t>
      </w:r>
      <w:r w:rsidRPr="00FA0397">
        <w:rPr>
          <w:rFonts w:ascii="Palatino Linotype" w:eastAsia="Palatino Linotype" w:hAnsi="Palatino Linotype" w:cs="Palatino Linotype"/>
          <w:i/>
        </w:rPr>
        <w:t xml:space="preserve"> Los dictámenes y fallo de adjudicación;</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 xml:space="preserve">7) </w:t>
      </w:r>
      <w:r w:rsidRPr="00FA0397">
        <w:rPr>
          <w:rFonts w:ascii="Palatino Linotype" w:eastAsia="Palatino Linotype" w:hAnsi="Palatino Linotype" w:cs="Palatino Linotype"/>
          <w:i/>
        </w:rPr>
        <w:t xml:space="preserve">El contrato y, en su caso, sus anexos;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8)</w:t>
      </w:r>
      <w:r w:rsidRPr="00FA0397">
        <w:rPr>
          <w:rFonts w:ascii="Palatino Linotype" w:eastAsia="Palatino Linotype" w:hAnsi="Palatino Linotype" w:cs="Palatino Linotype"/>
          <w:i/>
        </w:rPr>
        <w:t xml:space="preserve"> Los mecanismos de vigilancia y supervisión, incluyendo en su caso, los estudios de impacto urbano y ambiental, según corresponda;</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9)</w:t>
      </w:r>
      <w:r w:rsidRPr="00FA0397">
        <w:rPr>
          <w:rFonts w:ascii="Palatino Linotype" w:eastAsia="Palatino Linotype" w:hAnsi="Palatino Linotype" w:cs="Palatino Linotype"/>
          <w:i/>
        </w:rPr>
        <w:t xml:space="preserve"> La partida presupuestal, de conformidad con el clasificador por objeto del gasto, en el caso de ser aplicable;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10)</w:t>
      </w:r>
      <w:r w:rsidRPr="00FA0397">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11)</w:t>
      </w:r>
      <w:r w:rsidRPr="00FA0397">
        <w:rPr>
          <w:rFonts w:ascii="Palatino Linotype" w:eastAsia="Palatino Linotype" w:hAnsi="Palatino Linotype" w:cs="Palatino Linotype"/>
          <w:i/>
        </w:rPr>
        <w:t xml:space="preserve"> Los convenios modificatorios que, en su caso, sean firmados, precisando el objeto y la fecha de celebración;</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12)</w:t>
      </w:r>
      <w:r w:rsidRPr="00FA0397">
        <w:rPr>
          <w:rFonts w:ascii="Palatino Linotype" w:eastAsia="Palatino Linotype" w:hAnsi="Palatino Linotype" w:cs="Palatino Linotype"/>
          <w:i/>
        </w:rPr>
        <w:t xml:space="preserve"> Los informes de avance físico y financiero sobre las obras o servicios contratados;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13)</w:t>
      </w:r>
      <w:r w:rsidRPr="00FA0397">
        <w:rPr>
          <w:rFonts w:ascii="Palatino Linotype" w:eastAsia="Palatino Linotype" w:hAnsi="Palatino Linotype" w:cs="Palatino Linotype"/>
          <w:i/>
        </w:rPr>
        <w:t xml:space="preserve"> El convenio de terminación;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14)</w:t>
      </w:r>
      <w:r w:rsidRPr="00FA0397">
        <w:rPr>
          <w:rFonts w:ascii="Palatino Linotype" w:eastAsia="Palatino Linotype" w:hAnsi="Palatino Linotype" w:cs="Palatino Linotype"/>
          <w:i/>
        </w:rPr>
        <w:t xml:space="preserve"> El finiquito.</w:t>
      </w:r>
    </w:p>
    <w:p w:rsidR="00FA0397" w:rsidRPr="00FA0397" w:rsidRDefault="00FA0397" w:rsidP="00FA0397">
      <w:pPr>
        <w:tabs>
          <w:tab w:val="left" w:pos="426"/>
        </w:tabs>
        <w:spacing w:before="120" w:after="120"/>
        <w:ind w:left="1418" w:right="902"/>
        <w:jc w:val="both"/>
        <w:rPr>
          <w:rFonts w:ascii="Palatino Linotype" w:eastAsia="Palatino Linotype" w:hAnsi="Palatino Linotype" w:cs="Palatino Linotype"/>
          <w:b/>
          <w:i/>
        </w:rPr>
      </w:pPr>
      <w:r w:rsidRPr="00FA0397">
        <w:rPr>
          <w:rFonts w:ascii="Palatino Linotype" w:eastAsia="Palatino Linotype" w:hAnsi="Palatino Linotype" w:cs="Palatino Linotype"/>
          <w:b/>
          <w:i/>
        </w:rPr>
        <w:t xml:space="preserve">b) De las adjudicaciones directas: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w:t>
      </w:r>
      <w:r w:rsidRPr="00FA0397">
        <w:rPr>
          <w:rFonts w:ascii="Palatino Linotype" w:eastAsia="Palatino Linotype" w:hAnsi="Palatino Linotype" w:cs="Palatino Linotype"/>
          <w:i/>
        </w:rPr>
        <w:t xml:space="preserve"> La propuesta enviada por el participante;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2)</w:t>
      </w:r>
      <w:r w:rsidRPr="00FA0397">
        <w:rPr>
          <w:rFonts w:ascii="Palatino Linotype" w:eastAsia="Palatino Linotype" w:hAnsi="Palatino Linotype" w:cs="Palatino Linotype"/>
          <w:i/>
        </w:rPr>
        <w:t xml:space="preserve"> Los motivos y fundamentos legales aplicados para llevarla a cabo;</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3)</w:t>
      </w:r>
      <w:r w:rsidRPr="00FA0397">
        <w:rPr>
          <w:rFonts w:ascii="Palatino Linotype" w:eastAsia="Palatino Linotype" w:hAnsi="Palatino Linotype" w:cs="Palatino Linotype"/>
          <w:i/>
        </w:rPr>
        <w:t xml:space="preserve"> La autorización del ejercicio de la opción;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b/>
          <w:i/>
        </w:rPr>
      </w:pPr>
      <w:r w:rsidRPr="00FA0397">
        <w:rPr>
          <w:rFonts w:ascii="Palatino Linotype" w:eastAsia="Palatino Linotype" w:hAnsi="Palatino Linotype" w:cs="Palatino Linotype"/>
          <w:b/>
          <w:i/>
        </w:rPr>
        <w:t xml:space="preserve">4) </w:t>
      </w:r>
      <w:r w:rsidRPr="00FA0397">
        <w:rPr>
          <w:rFonts w:ascii="Palatino Linotype" w:eastAsia="Palatino Linotype" w:hAnsi="Palatino Linotype" w:cs="Palatino Linotype"/>
          <w:i/>
        </w:rPr>
        <w:t>En su caso, las cotizaciones consideradas, especificando los nombres de los proveedores y sus montos;</w:t>
      </w:r>
      <w:r w:rsidRPr="00FA0397">
        <w:rPr>
          <w:rFonts w:ascii="Palatino Linotype" w:eastAsia="Palatino Linotype" w:hAnsi="Palatino Linotype" w:cs="Palatino Linotype"/>
          <w:b/>
          <w:i/>
        </w:rPr>
        <w:t xml:space="preserve">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5)</w:t>
      </w:r>
      <w:r w:rsidRPr="00FA0397">
        <w:rPr>
          <w:rFonts w:ascii="Palatino Linotype" w:eastAsia="Palatino Linotype" w:hAnsi="Palatino Linotype" w:cs="Palatino Linotype"/>
          <w:i/>
        </w:rPr>
        <w:t xml:space="preserve"> El nombre de la persona física o jurídica colectiva adjudicada;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6)</w:t>
      </w:r>
      <w:r w:rsidRPr="00FA0397">
        <w:rPr>
          <w:rFonts w:ascii="Palatino Linotype" w:eastAsia="Palatino Linotype" w:hAnsi="Palatino Linotype" w:cs="Palatino Linotype"/>
          <w:i/>
        </w:rPr>
        <w:t xml:space="preserve"> La unidad administrativa solicitante y la responsable de su ejecución;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b/>
          <w:i/>
        </w:rPr>
      </w:pPr>
      <w:r w:rsidRPr="00FA0397">
        <w:rPr>
          <w:rFonts w:ascii="Palatino Linotype" w:eastAsia="Palatino Linotype" w:hAnsi="Palatino Linotype" w:cs="Palatino Linotype"/>
          <w:b/>
          <w:i/>
        </w:rPr>
        <w:t xml:space="preserve">7) </w:t>
      </w:r>
      <w:r w:rsidRPr="00FA0397">
        <w:rPr>
          <w:rFonts w:ascii="Palatino Linotype" w:eastAsia="Palatino Linotype" w:hAnsi="Palatino Linotype" w:cs="Palatino Linotype"/>
          <w:i/>
        </w:rPr>
        <w:t>El número, fecha, el monto del contrato y el plazo de entrega o de ejecución de los servicios u obra</w:t>
      </w:r>
      <w:r w:rsidRPr="00FA0397">
        <w:rPr>
          <w:rFonts w:ascii="Palatino Linotype" w:eastAsia="Palatino Linotype" w:hAnsi="Palatino Linotype" w:cs="Palatino Linotype"/>
          <w:b/>
          <w:i/>
        </w:rPr>
        <w:t xml:space="preserve">;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8)</w:t>
      </w:r>
      <w:r w:rsidRPr="00FA0397">
        <w:rPr>
          <w:rFonts w:ascii="Palatino Linotype" w:eastAsia="Palatino Linotype" w:hAnsi="Palatino Linotype" w:cs="Palatino Linotype"/>
          <w:i/>
        </w:rPr>
        <w:t xml:space="preserve"> Los mecanismos de vigilancia y supervisión, incluyendo, en su caso, los estudios de impacto urbano y ambiental, según corresponda;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9)</w:t>
      </w:r>
      <w:r w:rsidRPr="00FA0397">
        <w:rPr>
          <w:rFonts w:ascii="Palatino Linotype" w:eastAsia="Palatino Linotype" w:hAnsi="Palatino Linotype" w:cs="Palatino Linotype"/>
          <w:i/>
        </w:rPr>
        <w:t xml:space="preserve"> Los informes de avance sobre las obras o servicios contratados;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10)</w:t>
      </w:r>
      <w:r w:rsidRPr="00FA0397">
        <w:rPr>
          <w:rFonts w:ascii="Palatino Linotype" w:eastAsia="Palatino Linotype" w:hAnsi="Palatino Linotype" w:cs="Palatino Linotype"/>
          <w:i/>
        </w:rPr>
        <w:t xml:space="preserve"> El convenio de terminación; y </w:t>
      </w:r>
    </w:p>
    <w:p w:rsidR="00FA0397" w:rsidRPr="00FA0397" w:rsidRDefault="00FA0397" w:rsidP="00FA0397">
      <w:pPr>
        <w:tabs>
          <w:tab w:val="left" w:pos="426"/>
        </w:tabs>
        <w:spacing w:before="120" w:after="120"/>
        <w:ind w:left="1701" w:right="902"/>
        <w:jc w:val="both"/>
        <w:rPr>
          <w:rFonts w:ascii="Palatino Linotype" w:eastAsia="Palatino Linotype" w:hAnsi="Palatino Linotype" w:cs="Palatino Linotype"/>
          <w:i/>
        </w:rPr>
      </w:pPr>
      <w:r w:rsidRPr="00FA0397">
        <w:rPr>
          <w:rFonts w:ascii="Palatino Linotype" w:eastAsia="Palatino Linotype" w:hAnsi="Palatino Linotype" w:cs="Palatino Linotype"/>
          <w:b/>
          <w:i/>
        </w:rPr>
        <w:t>11)</w:t>
      </w:r>
      <w:r w:rsidRPr="00FA0397">
        <w:rPr>
          <w:rFonts w:ascii="Palatino Linotype" w:eastAsia="Palatino Linotype" w:hAnsi="Palatino Linotype" w:cs="Palatino Linotype"/>
          <w:i/>
        </w:rPr>
        <w:t xml:space="preserve"> El finiquito;”</w:t>
      </w:r>
    </w:p>
    <w:p w:rsidR="00FA0397" w:rsidRPr="00FA0397" w:rsidRDefault="00FA0397" w:rsidP="00FA0397">
      <w:pPr>
        <w:spacing w:before="240" w:after="240" w:line="360" w:lineRule="auto"/>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 xml:space="preserve">Siendo importante mencionar que dicha información deberá ponerse a disposición del público </w:t>
      </w:r>
      <w:r w:rsidRPr="00FA0397">
        <w:rPr>
          <w:rFonts w:ascii="Palatino Linotype" w:eastAsia="Palatino Linotype" w:hAnsi="Palatino Linotype" w:cs="Palatino Linotype"/>
          <w:sz w:val="24"/>
          <w:szCs w:val="24"/>
        </w:rPr>
        <w:t xml:space="preserve">de acuerdo a los </w:t>
      </w:r>
      <w:r w:rsidRPr="00FA0397">
        <w:rPr>
          <w:rFonts w:ascii="Palatino Linotype" w:eastAsia="Palatino Linotype" w:hAnsi="Palatino Linotype" w:cs="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FA0397">
        <w:rPr>
          <w:rFonts w:ascii="Palatino Linotype" w:eastAsia="Palatino Linotype" w:hAnsi="Palatino Linotype" w:cs="Palatino Linotype"/>
          <w:sz w:val="24"/>
          <w:szCs w:val="24"/>
        </w:rPr>
        <w:t xml:space="preserve">, que deben de difundir los sujetos obligados en los portales de Internet y en la Plataforma Nacional de Transparencia, para el cumplimiento de la obligación de transparencia señalada en el artículo 70  fracción XXVIII de la </w:t>
      </w:r>
      <w:r w:rsidRPr="00FA0397">
        <w:rPr>
          <w:rFonts w:ascii="Palatino Linotype" w:eastAsia="Palatino Linotype" w:hAnsi="Palatino Linotype" w:cs="Palatino Linotype"/>
          <w:i/>
          <w:sz w:val="24"/>
          <w:szCs w:val="24"/>
        </w:rPr>
        <w:t>Ley General de Transparencia y Acceso a la Información Pública</w:t>
      </w:r>
      <w:r w:rsidRPr="00FA0397">
        <w:rPr>
          <w:rFonts w:ascii="Palatino Linotype" w:eastAsia="Palatino Linotype" w:hAnsi="Palatino Linotype" w:cs="Palatino Linotype"/>
          <w:sz w:val="24"/>
          <w:szCs w:val="24"/>
        </w:rPr>
        <w:t xml:space="preserve">, los sujetos obligados deben publicar información sobre los actos, contratos y convenios celebrados, misma que </w:t>
      </w:r>
      <w:r w:rsidRPr="00FA0397">
        <w:rPr>
          <w:rFonts w:ascii="Palatino Linotype" w:eastAsia="Palatino Linotype" w:hAnsi="Palatino Linotype" w:cs="Palatino Linotype"/>
          <w:b/>
          <w:sz w:val="24"/>
          <w:szCs w:val="24"/>
        </w:rPr>
        <w:t>debe presentarse en una base de datos en la que cada registro se hará por tipo de procedimiento, ya sea licitación pública, invitación restringida o adjudicación directa,</w:t>
      </w:r>
      <w:r w:rsidRPr="00FA0397">
        <w:rPr>
          <w:rFonts w:ascii="Palatino Linotype" w:eastAsia="Palatino Linotype" w:hAnsi="Palatino Linotype" w:cs="Palatino Linotype"/>
          <w:sz w:val="24"/>
          <w:szCs w:val="24"/>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3D6651" w:rsidRPr="00FA0397" w:rsidRDefault="00FA0397">
      <w:pPr>
        <w:spacing w:before="240" w:after="240" w:line="360" w:lineRule="auto"/>
        <w:jc w:val="both"/>
        <w:rPr>
          <w:rFonts w:ascii="Palatino Linotype" w:eastAsia="Palatino Linotype" w:hAnsi="Palatino Linotype" w:cs="Palatino Linotype"/>
          <w:sz w:val="24"/>
          <w:szCs w:val="24"/>
        </w:rPr>
      </w:pPr>
      <w:r w:rsidRPr="00FA0397">
        <w:rPr>
          <w:rFonts w:ascii="Palatino Linotype" w:eastAsia="Palatino Linotype" w:hAnsi="Palatino Linotype" w:cs="Palatino Linotype"/>
          <w:sz w:val="24"/>
          <w:szCs w:val="24"/>
        </w:rPr>
        <w:t xml:space="preserve">Asimismo, los procedimientos </w:t>
      </w:r>
      <w:r w:rsidRPr="00FA0397">
        <w:rPr>
          <w:rFonts w:ascii="Palatino Linotype" w:eastAsia="Palatino Linotype" w:hAnsi="Palatino Linotype" w:cs="Palatino Linotype"/>
          <w:sz w:val="24"/>
          <w:szCs w:val="24"/>
        </w:rPr>
        <w:t>de adquisición, celebrados en cualquier modalidad</w:t>
      </w:r>
      <w:r w:rsidRPr="00FA0397">
        <w:rPr>
          <w:rFonts w:ascii="Palatino Linotype" w:eastAsia="Palatino Linotype" w:hAnsi="Palatino Linotype" w:cs="Palatino Linotype"/>
          <w:sz w:val="24"/>
          <w:szCs w:val="24"/>
        </w:rPr>
        <w:t>, deben integrarse de conformidad con a</w:t>
      </w:r>
      <w:r w:rsidRPr="00FA0397">
        <w:rPr>
          <w:rFonts w:ascii="Palatino Linotype" w:eastAsia="Palatino Linotype" w:hAnsi="Palatino Linotype" w:cs="Palatino Linotype"/>
          <w:sz w:val="24"/>
          <w:szCs w:val="24"/>
        </w:rPr>
        <w:t xml:space="preserve">l Acuerdo del Secretario de Infraestructura por el que se establece el Índice de Expediente Único de Obra Pública e Instructivos de llenado en las modalidades de adjudicación directa, invitación restringida y licitación pública, </w:t>
      </w:r>
      <w:r w:rsidRPr="00FA0397">
        <w:rPr>
          <w:rFonts w:ascii="Palatino Linotype" w:eastAsia="Palatino Linotype" w:hAnsi="Palatino Linotype" w:cs="Palatino Linotype"/>
          <w:sz w:val="24"/>
          <w:szCs w:val="24"/>
        </w:rPr>
        <w:t>mediante el cual se establecen los índices de Expedientes Únicos de Obra e instructivos de llenado, en las</w:t>
      </w:r>
      <w:r w:rsidRPr="00FA0397">
        <w:rPr>
          <w:rFonts w:ascii="Palatino Linotype" w:eastAsia="Palatino Linotype" w:hAnsi="Palatino Linotype" w:cs="Palatino Linotype"/>
        </w:rPr>
        <w:t xml:space="preserve"> modalidades de Adjudicación Directa, Invitación Restringida y Licitación Pública, para la integración del expediente único de obra pública que para tal efecto integran las dependencias, entidades, ayuntamientos y tribunales administrativos </w:t>
      </w:r>
      <w:r w:rsidRPr="00FA0397">
        <w:rPr>
          <w:rFonts w:ascii="Palatino Linotype" w:eastAsia="Palatino Linotype" w:hAnsi="Palatino Linotype" w:cs="Palatino Linotype"/>
          <w:b/>
          <w:u w:val="single"/>
        </w:rPr>
        <w:t>que ejecuten obra pública</w:t>
      </w:r>
      <w:r w:rsidRPr="00FA0397">
        <w:rPr>
          <w:rFonts w:ascii="Palatino Linotype" w:eastAsia="Palatino Linotype" w:hAnsi="Palatino Linotype" w:cs="Palatino Linotype"/>
        </w:rPr>
        <w:t>.</w:t>
      </w:r>
    </w:p>
    <w:p w:rsidR="003D6651" w:rsidRPr="00FA0397" w:rsidRDefault="00FA0397">
      <w:pPr>
        <w:spacing w:after="0" w:line="360" w:lineRule="auto"/>
        <w:ind w:right="139"/>
        <w:jc w:val="both"/>
        <w:rPr>
          <w:rFonts w:ascii="Palatino Linotype" w:eastAsia="Palatino Linotype" w:hAnsi="Palatino Linotype" w:cs="Palatino Linotype"/>
          <w:sz w:val="23"/>
          <w:szCs w:val="23"/>
        </w:rPr>
      </w:pPr>
      <w:r w:rsidRPr="00FA0397">
        <w:rPr>
          <w:rFonts w:ascii="Palatino Linotype" w:eastAsia="Palatino Linotype" w:hAnsi="Palatino Linotype" w:cs="Palatino Linotype"/>
          <w:sz w:val="24"/>
          <w:szCs w:val="24"/>
        </w:rPr>
        <w:t xml:space="preserve">Con base en los razonamientos expuestos, se emite el presente </w:t>
      </w:r>
      <w:r w:rsidRPr="00FA0397">
        <w:rPr>
          <w:rFonts w:ascii="Palatino Linotype" w:eastAsia="Palatino Linotype" w:hAnsi="Palatino Linotype" w:cs="Palatino Linotype"/>
          <w:b/>
          <w:sz w:val="24"/>
          <w:szCs w:val="24"/>
        </w:rPr>
        <w:t>Voto Particular.</w:t>
      </w:r>
    </w:p>
    <w:p w:rsidR="003D6651" w:rsidRPr="00FA0397" w:rsidRDefault="003D6651">
      <w:pPr>
        <w:spacing w:after="0" w:line="360" w:lineRule="auto"/>
        <w:ind w:right="139"/>
        <w:jc w:val="both"/>
        <w:rPr>
          <w:rFonts w:ascii="Palatino Linotype" w:eastAsia="Palatino Linotype" w:hAnsi="Palatino Linotype" w:cs="Palatino Linotype"/>
          <w:sz w:val="23"/>
          <w:szCs w:val="23"/>
        </w:rPr>
      </w:pPr>
    </w:p>
    <w:p w:rsidR="003D6651" w:rsidRPr="00FA0397" w:rsidRDefault="003D6651">
      <w:pPr>
        <w:spacing w:after="0" w:line="360" w:lineRule="auto"/>
        <w:ind w:right="139"/>
        <w:jc w:val="both"/>
        <w:rPr>
          <w:rFonts w:ascii="Palatino Linotype" w:eastAsia="Palatino Linotype" w:hAnsi="Palatino Linotype" w:cs="Palatino Linotype"/>
          <w:sz w:val="23"/>
          <w:szCs w:val="23"/>
        </w:rPr>
      </w:pPr>
    </w:p>
    <w:p w:rsidR="003D6651" w:rsidRPr="00FA0397" w:rsidRDefault="003D6651">
      <w:pPr>
        <w:spacing w:after="0" w:line="360" w:lineRule="auto"/>
        <w:ind w:right="139"/>
        <w:jc w:val="both"/>
        <w:rPr>
          <w:rFonts w:ascii="Palatino Linotype" w:eastAsia="Palatino Linotype" w:hAnsi="Palatino Linotype" w:cs="Palatino Linotype"/>
          <w:sz w:val="23"/>
          <w:szCs w:val="23"/>
        </w:rPr>
      </w:pPr>
    </w:p>
    <w:p w:rsidR="003D6651" w:rsidRPr="00FA0397" w:rsidRDefault="003D6651">
      <w:pPr>
        <w:spacing w:after="0" w:line="360" w:lineRule="auto"/>
        <w:ind w:right="139"/>
        <w:jc w:val="both"/>
        <w:rPr>
          <w:rFonts w:ascii="Palatino Linotype" w:eastAsia="Palatino Linotype" w:hAnsi="Palatino Linotype" w:cs="Palatino Linotype"/>
          <w:sz w:val="23"/>
          <w:szCs w:val="23"/>
        </w:rPr>
      </w:pPr>
    </w:p>
    <w:p w:rsidR="003D6651" w:rsidRPr="00FA0397" w:rsidRDefault="003D6651">
      <w:pPr>
        <w:spacing w:after="0" w:line="360" w:lineRule="auto"/>
        <w:ind w:right="139"/>
        <w:jc w:val="both"/>
        <w:rPr>
          <w:rFonts w:ascii="Palatino Linotype" w:eastAsia="Palatino Linotype" w:hAnsi="Palatino Linotype" w:cs="Palatino Linotype"/>
          <w:sz w:val="23"/>
          <w:szCs w:val="23"/>
        </w:rPr>
      </w:pPr>
    </w:p>
    <w:p w:rsidR="003D6651" w:rsidRPr="00FA0397" w:rsidRDefault="003D6651">
      <w:pPr>
        <w:spacing w:after="0" w:line="360" w:lineRule="auto"/>
        <w:ind w:right="139"/>
        <w:jc w:val="both"/>
        <w:rPr>
          <w:rFonts w:ascii="Palatino Linotype" w:eastAsia="Palatino Linotype" w:hAnsi="Palatino Linotype" w:cs="Palatino Linotype"/>
          <w:sz w:val="23"/>
          <w:szCs w:val="23"/>
        </w:rPr>
      </w:pPr>
    </w:p>
    <w:sectPr w:rsidR="003D6651" w:rsidRPr="00FA0397">
      <w:headerReference w:type="default" r:id="rId8"/>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A0397">
      <w:pPr>
        <w:spacing w:after="0" w:line="240" w:lineRule="auto"/>
      </w:pPr>
      <w:r>
        <w:separator/>
      </w:r>
    </w:p>
  </w:endnote>
  <w:endnote w:type="continuationSeparator" w:id="0">
    <w:p w:rsidR="00000000" w:rsidRDefault="00FA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A0397">
      <w:pPr>
        <w:spacing w:after="0" w:line="240" w:lineRule="auto"/>
      </w:pPr>
      <w:r>
        <w:separator/>
      </w:r>
    </w:p>
  </w:footnote>
  <w:footnote w:type="continuationSeparator" w:id="0">
    <w:p w:rsidR="00000000" w:rsidRDefault="00FA0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51" w:rsidRDefault="00FA03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r>
      <w:rPr>
        <w:noProof/>
      </w:rPr>
      <w:drawing>
        <wp:anchor distT="0" distB="0" distL="114300" distR="114300" simplePos="0" relativeHeight="251658240" behindDoc="0" locked="0" layoutInCell="1" hidden="0" allowOverlap="1">
          <wp:simplePos x="0" y="0"/>
          <wp:positionH relativeFrom="column">
            <wp:posOffset>-200024</wp:posOffset>
          </wp:positionH>
          <wp:positionV relativeFrom="paragraph">
            <wp:posOffset>-385444</wp:posOffset>
          </wp:positionV>
          <wp:extent cx="1873250" cy="1126490"/>
          <wp:effectExtent l="0" t="0" r="0" b="0"/>
          <wp:wrapNone/>
          <wp:docPr id="2065189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3D6651" w:rsidRDefault="00FA03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13281/INFOEM/IP/RR/2022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60EE0"/>
    <w:multiLevelType w:val="multilevel"/>
    <w:tmpl w:val="9E129996"/>
    <w:lvl w:ilvl="0">
      <w:start w:val="1"/>
      <w:numFmt w:val="decimal"/>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51"/>
    <w:rsid w:val="003D6651"/>
    <w:rsid w:val="00480911"/>
    <w:rsid w:val="00FA0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27593-3566-47C6-9CCF-B0781900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D2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C6A"/>
  </w:style>
  <w:style w:type="paragraph" w:styleId="Piedepgina">
    <w:name w:val="footer"/>
    <w:basedOn w:val="Normal"/>
    <w:link w:val="PiedepginaCar"/>
    <w:uiPriority w:val="99"/>
    <w:unhideWhenUsed/>
    <w:rsid w:val="002D2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C6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1D3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1D31"/>
    <w:pPr>
      <w:spacing w:after="0" w:line="240" w:lineRule="auto"/>
      <w:ind w:left="708"/>
    </w:pPr>
    <w:rPr>
      <w:rFonts w:ascii="Times New Roman" w:eastAsia="Times New Roman" w:hAnsi="Times New Roman" w:cs="Times New Roman"/>
      <w:lang w:val="es-ES"/>
    </w:rPr>
  </w:style>
  <w:style w:type="character" w:customStyle="1" w:styleId="Ttulo2Car">
    <w:name w:val="Título 2 Car"/>
    <w:basedOn w:val="Fuentedeprrafopredeter"/>
    <w:link w:val="Ttulo2"/>
    <w:rsid w:val="00C61D31"/>
    <w:rPr>
      <w:b/>
      <w:sz w:val="36"/>
      <w:szCs w:val="36"/>
    </w:rPr>
  </w:style>
  <w:style w:type="character" w:customStyle="1" w:styleId="apple-converted-space">
    <w:name w:val="apple-converted-space"/>
    <w:basedOn w:val="Fuentedeprrafopredeter"/>
    <w:rsid w:val="00C61D31"/>
  </w:style>
  <w:style w:type="character" w:customStyle="1" w:styleId="s10">
    <w:name w:val="s10"/>
    <w:basedOn w:val="Fuentedeprrafopredeter"/>
    <w:rsid w:val="00C61D31"/>
  </w:style>
  <w:style w:type="character" w:styleId="Hipervnculo">
    <w:name w:val="Hyperlink"/>
    <w:aliases w:val="Hipervínculo1,Hipervínculo11,Hipervínculo12,Hipervínculo13,Hipervínculo14,Hipervínculo15"/>
    <w:basedOn w:val="Fuentedeprrafopredeter"/>
    <w:uiPriority w:val="99"/>
    <w:unhideWhenUsed/>
    <w:rsid w:val="003979B0"/>
    <w:rPr>
      <w:color w:val="0000FF" w:themeColor="hyperlink"/>
      <w:u w:val="single"/>
    </w:rPr>
  </w:style>
  <w:style w:type="character" w:customStyle="1" w:styleId="Mencinsinresolver1">
    <w:name w:val="Mención sin resolver1"/>
    <w:basedOn w:val="Fuentedeprrafopredeter"/>
    <w:uiPriority w:val="99"/>
    <w:semiHidden/>
    <w:unhideWhenUsed/>
    <w:rsid w:val="003979B0"/>
    <w:rPr>
      <w:color w:val="605E5C"/>
      <w:shd w:val="clear" w:color="auto" w:fill="E1DFDD"/>
    </w:rPr>
  </w:style>
  <w:style w:type="table" w:styleId="Tablaconcuadrcula">
    <w:name w:val="Table Grid"/>
    <w:basedOn w:val="Tablanormal"/>
    <w:uiPriority w:val="59"/>
    <w:rsid w:val="00FE2E8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4"/>
    <w:pPr>
      <w:spacing w:after="0" w:line="240" w:lineRule="auto"/>
    </w:pPr>
    <w:rPr>
      <w:rFonts w:ascii="Cambria" w:eastAsia="Cambria" w:hAnsi="Cambria" w:cs="Cambria"/>
    </w:rPr>
    <w:tblPr>
      <w:tblStyleRowBandSize w:val="1"/>
      <w:tblStyleColBandSize w:val="1"/>
      <w:tblCellMar>
        <w:left w:w="108" w:type="dxa"/>
        <w:right w:w="108" w:type="dxa"/>
      </w:tblCellMar>
    </w:tblPr>
  </w:style>
  <w:style w:type="paragraph" w:customStyle="1" w:styleId="infoemcitas">
    <w:name w:val="infoem citas"/>
    <w:basedOn w:val="Normal"/>
    <w:qFormat/>
    <w:rsid w:val="00AE3336"/>
    <w:pPr>
      <w:spacing w:before="240" w:line="360" w:lineRule="auto"/>
      <w:ind w:left="851" w:right="851"/>
      <w:jc w:val="both"/>
    </w:pPr>
    <w:rPr>
      <w:rFonts w:ascii="Palatino Linotype" w:eastAsiaTheme="minorHAnsi" w:hAnsi="Palatino Linotype" w:cstheme="minorBidi"/>
      <w:i/>
      <w:lang w:eastAsia="en-US"/>
    </w:rPr>
  </w:style>
  <w:style w:type="paragraph" w:customStyle="1" w:styleId="Citas">
    <w:name w:val="Citas"/>
    <w:basedOn w:val="Normal"/>
    <w:qFormat/>
    <w:rsid w:val="00AE3336"/>
    <w:pPr>
      <w:spacing w:before="240" w:line="360" w:lineRule="auto"/>
      <w:ind w:left="851" w:right="851"/>
      <w:jc w:val="both"/>
    </w:pPr>
    <w:rPr>
      <w:rFonts w:ascii="Palatino Linotype" w:eastAsiaTheme="minorHAnsi" w:hAnsi="Palatino Linotype" w:cs="Arial"/>
      <w:i/>
      <w:lang w:eastAsia="en-US"/>
    </w:rPr>
  </w:style>
  <w:style w:type="paragraph" w:styleId="Listaconvietas3">
    <w:name w:val="List Bullet 3"/>
    <w:basedOn w:val="Normal"/>
    <w:uiPriority w:val="99"/>
    <w:unhideWhenUsed/>
    <w:rsid w:val="004609AA"/>
    <w:pPr>
      <w:numPr>
        <w:numId w:val="1"/>
      </w:numPr>
      <w:spacing w:after="0" w:line="240" w:lineRule="auto"/>
      <w:contextualSpacing/>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XyXlsWHtfe6/XXpUtChInNaeg==">CgMxLjA4AHIhMW5kX3EzbUxCaDNMUi04MEVMQVVfVkJnaWhTTHJxT1Zj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1662</Words>
  <Characters>9142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USUARIO</cp:lastModifiedBy>
  <cp:revision>2</cp:revision>
  <dcterms:created xsi:type="dcterms:W3CDTF">2023-08-14T19:06:00Z</dcterms:created>
  <dcterms:modified xsi:type="dcterms:W3CDTF">2023-08-14T19:06:00Z</dcterms:modified>
</cp:coreProperties>
</file>