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0A012594"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6D51DF">
        <w:rPr>
          <w:rFonts w:ascii="Palatino Linotype" w:hAnsi="Palatino Linotype"/>
          <w:b/>
          <w:bCs/>
          <w:szCs w:val="22"/>
        </w:rPr>
        <w:t>16165/INFOEM/IP/RR/2022</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7F0A74">
        <w:rPr>
          <w:rFonts w:ascii="Palatino Linotype" w:hAnsi="Palatino Linotype" w:cs="Arial"/>
          <w:b/>
          <w:bCs/>
        </w:rPr>
        <w:t xml:space="preserve">AYUNTAMIENTO DE </w:t>
      </w:r>
      <w:r w:rsidR="006D51DF">
        <w:rPr>
          <w:rFonts w:ascii="Palatino Linotype" w:hAnsi="Palatino Linotype" w:cs="Arial"/>
          <w:b/>
          <w:bCs/>
        </w:rPr>
        <w:t>ACOLMAN</w:t>
      </w:r>
      <w:r w:rsidR="00084EB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522E6D27"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6D51DF">
        <w:rPr>
          <w:rFonts w:ascii="Palatino Linotype" w:hAnsi="Palatino Linotype"/>
          <w:b/>
          <w:bCs/>
          <w:szCs w:val="22"/>
        </w:rPr>
        <w:t>16165/INFOEM/IP/RR/2022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7F0A74">
        <w:rPr>
          <w:rFonts w:ascii="Palatino Linotype" w:hAnsi="Palatino Linotype" w:cs="Arial"/>
          <w:b/>
          <w:bCs/>
        </w:rPr>
        <w:t xml:space="preserve">Ayuntamiento de </w:t>
      </w:r>
      <w:r w:rsidR="006D51DF">
        <w:rPr>
          <w:rFonts w:ascii="Palatino Linotype" w:hAnsi="Palatino Linotype" w:cs="Arial"/>
          <w:b/>
          <w:bCs/>
        </w:rPr>
        <w:t>Acolman</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47CDB581"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6D51DF">
        <w:rPr>
          <w:rFonts w:ascii="Palatino Linotype" w:eastAsia="Calibri" w:hAnsi="Palatino Linotype" w:cs="Arial"/>
          <w:b/>
        </w:rPr>
        <w:t>00117</w:t>
      </w:r>
      <w:r w:rsidR="007F0A74">
        <w:rPr>
          <w:rFonts w:ascii="Palatino Linotype" w:eastAsia="Calibri" w:hAnsi="Palatino Linotype" w:cs="Arial"/>
          <w:b/>
        </w:rPr>
        <w:t>/</w:t>
      </w:r>
      <w:r w:rsidR="006D51DF">
        <w:rPr>
          <w:rFonts w:ascii="Palatino Linotype" w:eastAsia="Calibri" w:hAnsi="Palatino Linotype" w:cs="Arial"/>
          <w:b/>
        </w:rPr>
        <w:t>ACOLMAN</w:t>
      </w:r>
      <w:r w:rsidR="007F0A74">
        <w:rPr>
          <w:rFonts w:ascii="Palatino Linotype" w:eastAsia="Calibri" w:hAnsi="Palatino Linotype" w:cs="Arial"/>
          <w:b/>
        </w:rPr>
        <w:t>/IP/2022</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B7894DE" w14:textId="048B178A" w:rsidR="0067381F" w:rsidRPr="006D51DF" w:rsidRDefault="006D51DF" w:rsidP="006D51DF">
      <w:pPr>
        <w:spacing w:line="276" w:lineRule="auto"/>
        <w:ind w:left="567" w:right="567"/>
        <w:jc w:val="both"/>
        <w:rPr>
          <w:rFonts w:ascii="Palatino Linotype" w:eastAsia="Calibri" w:hAnsi="Palatino Linotype" w:cs="Arial"/>
          <w:color w:val="000000" w:themeColor="text1"/>
          <w:sz w:val="22"/>
        </w:rPr>
      </w:pPr>
      <w:r w:rsidRPr="006D51DF">
        <w:rPr>
          <w:rFonts w:ascii="Palatino Linotype" w:hAnsi="Palatino Linotype" w:cs="Arial"/>
          <w:i/>
          <w:iCs/>
          <w:sz w:val="22"/>
          <w:lang w:val="es-419"/>
        </w:rPr>
        <w:lastRenderedPageBreak/>
        <w:t>Al área de Recursos Humanos, personal o equivalente se le solicita una lista del personal dado de alta a partir del 1 de enero de 2022 y hasta el 22 de junio de 2022. Se solicita personal administrativo de base, sindicalizado o bajo cualquier modalidad que haya pasado a nómina; a listas de raya; personal eventual; o personal sujeto asimilado a salarios. Es decir, toda aquella persona que haya sido contratada bajo cualquier modalidad. La información se solicita con nombre, cargo y sueldo, salario o dieta. PARA QUE NO QUEDE DUDA. SE REQUIRE UN LISTADO DE TODAS LAS PERSONAS QUE HAYAN SIDO CONTRATADAS BAJO CUALQUIER MODALIDAD, CON SU CARGO, CATEGORIA Y SUELDO.</w:t>
      </w:r>
      <w:r w:rsidR="00F10A06" w:rsidRPr="006D51DF">
        <w:rPr>
          <w:rFonts w:ascii="Palatino Linotype" w:eastAsia="Calibri" w:hAnsi="Palatino Linotype" w:cs="Arial"/>
          <w:i/>
          <w:sz w:val="22"/>
        </w:rPr>
        <w:t>”</w:t>
      </w:r>
      <w:r w:rsidR="00F10A06" w:rsidRPr="006D51DF">
        <w:rPr>
          <w:rFonts w:ascii="Palatino Linotype" w:eastAsia="Calibri" w:hAnsi="Palatino Linotype" w:cs="Arial"/>
          <w:sz w:val="22"/>
        </w:rPr>
        <w:t xml:space="preserve"> (</w:t>
      </w:r>
      <w:r w:rsidR="00D9697B" w:rsidRPr="006D51DF">
        <w:rPr>
          <w:rFonts w:ascii="Palatino Linotype" w:eastAsia="Calibri" w:hAnsi="Palatino Linotype" w:cs="Arial"/>
          <w:sz w:val="22"/>
        </w:rPr>
        <w:t>Sic</w:t>
      </w:r>
      <w:r w:rsidR="00F10A06" w:rsidRPr="006D51DF">
        <w:rPr>
          <w:rFonts w:ascii="Palatino Linotype" w:eastAsia="Calibri" w:hAnsi="Palatino Linotype" w:cs="Arial"/>
          <w:sz w:val="22"/>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0439CC29"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6D51DF">
        <w:rPr>
          <w:rFonts w:ascii="Palatino Linotype" w:hAnsi="Palatino Linotype" w:cs="Arial"/>
        </w:rPr>
        <w:t xml:space="preserve">señaló un </w:t>
      </w:r>
      <w:r w:rsidR="006D51DF">
        <w:rPr>
          <w:rFonts w:ascii="Palatino Linotype" w:hAnsi="Palatino Linotype" w:cs="Arial"/>
          <w:i/>
        </w:rPr>
        <w:t>link</w:t>
      </w:r>
      <w:r w:rsidR="006D51DF">
        <w:rPr>
          <w:rFonts w:ascii="Palatino Linotype" w:hAnsi="Palatino Linotype" w:cs="Arial"/>
        </w:rPr>
        <w:t xml:space="preserve"> para consultar la información solicitada a través de su portal de Información Pública de Oficio Mexiquense.</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234613BC" w14:textId="4E959454"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6D51DF">
        <w:rPr>
          <w:rFonts w:ascii="Palatino Linotype" w:hAnsi="Palatino Linotype" w:cs="Segoe UI"/>
          <w:b/>
          <w:bCs/>
          <w:lang w:eastAsia="es-MX"/>
        </w:rPr>
        <w:t xml:space="preserve">siete (07) de noviembre </w:t>
      </w:r>
      <w:r w:rsidR="007F0A74">
        <w:rPr>
          <w:rFonts w:ascii="Palatino Linotype" w:hAnsi="Palatino Linotype" w:cs="Segoe UI"/>
          <w:b/>
          <w:bCs/>
          <w:lang w:eastAsia="es-MX"/>
        </w:rPr>
        <w:t>de dos mil veintidós</w:t>
      </w:r>
      <w:r w:rsidR="00D9697B">
        <w:rPr>
          <w:rFonts w:ascii="Palatino Linotype" w:hAnsi="Palatino Linotype" w:cs="Arial"/>
        </w:rPr>
        <w:t>, 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21529850"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6D51DF" w:rsidRPr="00A50946">
        <w:rPr>
          <w:rFonts w:ascii="Palatino Linotype" w:hAnsi="Palatino Linotype"/>
          <w:i/>
          <w:iCs/>
          <w:sz w:val="22"/>
          <w:szCs w:val="22"/>
          <w:lang w:val="es-ES_tradnl"/>
        </w:rPr>
        <w:t>INFORMACIÓN ERRONEA CON LO QUE DE FACTO ME NIEGAN EL ACCESO A LA INFORMACION.</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020BF719"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6D51DF" w:rsidRPr="00A50946">
        <w:rPr>
          <w:rFonts w:ascii="Palatino Linotype" w:hAnsi="Palatino Linotype"/>
          <w:i/>
          <w:sz w:val="22"/>
          <w:szCs w:val="22"/>
          <w:lang w:val="es-ES_tradnl"/>
        </w:rPr>
        <w:t>AL DAR INFORMACION ERRONEA NO SE CUMPLE CON EL PRINCIPIO DE MÁXIMA PUBLICIDAD. SE ENGAÑA. Y CON ESO ME NIEGAN MI DERECHO A LA INFORMACION</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057998C0" w:rsidR="00F10A06" w:rsidRPr="00F10A06" w:rsidRDefault="00BB071F" w:rsidP="00F10A06">
      <w:pPr>
        <w:spacing w:line="360" w:lineRule="auto"/>
        <w:jc w:val="both"/>
        <w:rPr>
          <w:rFonts w:ascii="Palatino Linotype" w:hAnsi="Palatino Linotype"/>
        </w:rPr>
      </w:pPr>
      <w:r w:rsidRPr="00BB071F">
        <w:rPr>
          <w:rFonts w:ascii="Palatino Linotype" w:hAnsi="Palatino Linotype"/>
        </w:rPr>
        <w:lastRenderedPageBreak/>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7F0A74">
        <w:rPr>
          <w:rFonts w:ascii="Palatino Linotype" w:hAnsi="Palatino Linotype"/>
        </w:rPr>
        <w:t>Ayuntamiento de Atenco</w:t>
      </w:r>
      <w:r w:rsidR="00D9697B">
        <w:rPr>
          <w:rFonts w:ascii="Palatino Linotype" w:hAnsi="Palatino Linotype"/>
        </w:rPr>
        <w:t xml:space="preserve"> a la solicitud de información </w:t>
      </w:r>
      <w:r w:rsidR="006D51DF">
        <w:rPr>
          <w:rFonts w:ascii="Palatino Linotype" w:eastAsia="Calibri" w:hAnsi="Palatino Linotype" w:cs="Arial"/>
          <w:b/>
        </w:rPr>
        <w:t>00117</w:t>
      </w:r>
      <w:r w:rsidR="007F0A74">
        <w:rPr>
          <w:rFonts w:ascii="Palatino Linotype" w:eastAsia="Calibri" w:hAnsi="Palatino Linotype" w:cs="Arial"/>
          <w:b/>
        </w:rPr>
        <w:t>/</w:t>
      </w:r>
      <w:r w:rsidR="006D51DF">
        <w:rPr>
          <w:rFonts w:ascii="Palatino Linotype" w:eastAsia="Calibri" w:hAnsi="Palatino Linotype" w:cs="Arial"/>
          <w:b/>
        </w:rPr>
        <w:t>ACOLMAN</w:t>
      </w:r>
      <w:r w:rsidR="007F0A74">
        <w:rPr>
          <w:rFonts w:ascii="Palatino Linotype" w:eastAsia="Calibri" w:hAnsi="Palatino Linotype" w:cs="Arial"/>
          <w:b/>
        </w:rPr>
        <w:t>/IP/2022</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0A276E37" w14:textId="77777777" w:rsidR="00F10A06" w:rsidRDefault="00F10A06" w:rsidP="00F10A06">
      <w:pPr>
        <w:spacing w:line="360" w:lineRule="auto"/>
        <w:jc w:val="both"/>
        <w:rPr>
          <w:rFonts w:ascii="Palatino Linotype" w:hAnsi="Palatino Linotype" w:cs="Arial"/>
          <w:bCs/>
        </w:rPr>
      </w:pPr>
    </w:p>
    <w:p w14:paraId="10544782" w14:textId="77777777" w:rsidR="006D51DF" w:rsidRPr="006D51DF" w:rsidRDefault="00F10A06"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sidR="006D51DF" w:rsidRPr="006D51DF">
        <w:rPr>
          <w:rFonts w:ascii="Palatino Linotype" w:eastAsia="Palatino Linotype" w:hAnsi="Palatino Linotype" w:cs="Palatino Linotype"/>
          <w:b/>
          <w:i/>
          <w:sz w:val="22"/>
          <w:szCs w:val="22"/>
        </w:rPr>
        <w:t>1.</w:t>
      </w:r>
      <w:r w:rsidR="006D51DF" w:rsidRPr="006D51DF">
        <w:rPr>
          <w:rFonts w:ascii="Palatino Linotype" w:eastAsia="Palatino Linotype" w:hAnsi="Palatino Linotype" w:cs="Palatino Linotype"/>
          <w:b/>
          <w:i/>
          <w:sz w:val="22"/>
          <w:szCs w:val="22"/>
        </w:rPr>
        <w:tab/>
        <w:t>Documento donde conste la contratación de servidores públicos del 1 de enero al 22 de junio de 2022.</w:t>
      </w:r>
    </w:p>
    <w:p w14:paraId="0C481222" w14:textId="77777777" w:rsidR="006D51DF" w:rsidRPr="006D51DF" w:rsidRDefault="006D51DF"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sidRPr="006D51DF">
        <w:rPr>
          <w:rFonts w:ascii="Palatino Linotype" w:eastAsia="Palatino Linotype" w:hAnsi="Palatino Linotype" w:cs="Palatino Linotype"/>
          <w:b/>
          <w:i/>
          <w:sz w:val="22"/>
          <w:szCs w:val="22"/>
        </w:rPr>
        <w:t>2.</w:t>
      </w:r>
      <w:r w:rsidRPr="006D51DF">
        <w:rPr>
          <w:rFonts w:ascii="Palatino Linotype" w:eastAsia="Palatino Linotype" w:hAnsi="Palatino Linotype" w:cs="Palatino Linotype"/>
          <w:b/>
          <w:i/>
          <w:sz w:val="22"/>
          <w:szCs w:val="22"/>
        </w:rPr>
        <w:tab/>
        <w:t>Documento donde conste cargo, categoría y sueldo de los servidores públicos contratados del 1 de enero al 22 de junio de 2022.</w:t>
      </w:r>
    </w:p>
    <w:p w14:paraId="43EC55E7" w14:textId="77777777" w:rsidR="006D51DF" w:rsidRPr="006D51DF" w:rsidRDefault="006D51DF"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sidRPr="006D51DF">
        <w:rPr>
          <w:rFonts w:ascii="Palatino Linotype" w:eastAsia="Palatino Linotype" w:hAnsi="Palatino Linotype" w:cs="Palatino Linotype"/>
          <w:b/>
          <w:i/>
          <w:sz w:val="22"/>
          <w:szCs w:val="22"/>
        </w:rPr>
        <w:t>3.</w:t>
      </w:r>
      <w:r w:rsidRPr="006D51DF">
        <w:rPr>
          <w:rFonts w:ascii="Palatino Linotype" w:eastAsia="Palatino Linotype" w:hAnsi="Palatino Linotype" w:cs="Palatino Linotype"/>
          <w:b/>
          <w:i/>
          <w:sz w:val="22"/>
          <w:szCs w:val="22"/>
        </w:rPr>
        <w:tab/>
        <w:t>Lista de raya de los servidores públicos que hayan sido contratados del 1 de enero al 22 de junio de 2022.</w:t>
      </w:r>
    </w:p>
    <w:p w14:paraId="5CA8578F" w14:textId="77777777" w:rsidR="006D51DF" w:rsidRPr="006D51DF" w:rsidRDefault="006D51DF"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sidRPr="006D51DF">
        <w:rPr>
          <w:rFonts w:ascii="Palatino Linotype" w:eastAsia="Palatino Linotype" w:hAnsi="Palatino Linotype" w:cs="Palatino Linotype"/>
          <w:b/>
          <w:i/>
          <w:sz w:val="22"/>
          <w:szCs w:val="22"/>
        </w:rPr>
        <w:t>4.</w:t>
      </w:r>
      <w:r w:rsidRPr="006D51DF">
        <w:rPr>
          <w:rFonts w:ascii="Palatino Linotype" w:eastAsia="Palatino Linotype" w:hAnsi="Palatino Linotype" w:cs="Palatino Linotype"/>
          <w:b/>
          <w:i/>
          <w:sz w:val="22"/>
          <w:szCs w:val="22"/>
        </w:rPr>
        <w:tab/>
        <w:t>Documento donde conste cargo, categoría y sueldo de los servidores públicos que hayan sido contratados en Lista de raya del 1 de enero al 22 de junio de 2022.</w:t>
      </w:r>
    </w:p>
    <w:p w14:paraId="4133DE38" w14:textId="77777777" w:rsidR="006D51DF" w:rsidRPr="006D51DF" w:rsidRDefault="006D51DF"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sidRPr="006D51DF">
        <w:rPr>
          <w:rFonts w:ascii="Palatino Linotype" w:eastAsia="Palatino Linotype" w:hAnsi="Palatino Linotype" w:cs="Palatino Linotype"/>
          <w:b/>
          <w:i/>
          <w:sz w:val="22"/>
          <w:szCs w:val="22"/>
        </w:rPr>
        <w:t>5.</w:t>
      </w:r>
      <w:r w:rsidRPr="006D51DF">
        <w:rPr>
          <w:rFonts w:ascii="Palatino Linotype" w:eastAsia="Palatino Linotype" w:hAnsi="Palatino Linotype" w:cs="Palatino Linotype"/>
          <w:b/>
          <w:i/>
          <w:sz w:val="22"/>
          <w:szCs w:val="22"/>
        </w:rPr>
        <w:tab/>
        <w:t>Documento donde conste el registro de los miembros del Comité de Participación Ciudadana del 1 de enero al 22 de junio de 2022.</w:t>
      </w:r>
    </w:p>
    <w:p w14:paraId="7DE0D8F1" w14:textId="77777777" w:rsidR="006D51DF" w:rsidRPr="006D51DF" w:rsidRDefault="006D51DF" w:rsidP="006D51DF">
      <w:pPr>
        <w:widowControl w:val="0"/>
        <w:tabs>
          <w:tab w:val="left" w:pos="993"/>
          <w:tab w:val="left" w:pos="1843"/>
        </w:tabs>
        <w:spacing w:line="276" w:lineRule="auto"/>
        <w:ind w:left="567" w:right="567"/>
        <w:jc w:val="both"/>
        <w:rPr>
          <w:rFonts w:ascii="Palatino Linotype" w:eastAsia="Palatino Linotype" w:hAnsi="Palatino Linotype" w:cs="Palatino Linotype"/>
          <w:b/>
          <w:i/>
          <w:sz w:val="22"/>
          <w:szCs w:val="22"/>
        </w:rPr>
      </w:pPr>
      <w:r w:rsidRPr="006D51DF">
        <w:rPr>
          <w:rFonts w:ascii="Palatino Linotype" w:eastAsia="Palatino Linotype" w:hAnsi="Palatino Linotype" w:cs="Palatino Linotype"/>
          <w:b/>
          <w:i/>
          <w:sz w:val="22"/>
          <w:szCs w:val="22"/>
        </w:rPr>
        <w:t>6.</w:t>
      </w:r>
      <w:r w:rsidRPr="006D51DF">
        <w:rPr>
          <w:rFonts w:ascii="Palatino Linotype" w:eastAsia="Palatino Linotype" w:hAnsi="Palatino Linotype" w:cs="Palatino Linotype"/>
          <w:b/>
          <w:i/>
          <w:sz w:val="22"/>
          <w:szCs w:val="22"/>
        </w:rPr>
        <w:tab/>
        <w:t>Documentos donde consten los honorarios de los integrantes del Comité de Participación Ciudadana del 1 de enero al 22 de junio de 2022.</w:t>
      </w:r>
    </w:p>
    <w:p w14:paraId="35EF8425" w14:textId="77777777" w:rsidR="006D51DF" w:rsidRPr="006D51DF" w:rsidRDefault="006D51DF" w:rsidP="006D51DF">
      <w:pPr>
        <w:widowControl w:val="0"/>
        <w:tabs>
          <w:tab w:val="left" w:pos="851"/>
          <w:tab w:val="left" w:pos="1843"/>
        </w:tabs>
        <w:spacing w:line="276" w:lineRule="auto"/>
        <w:ind w:left="567" w:right="567"/>
        <w:jc w:val="both"/>
        <w:rPr>
          <w:rFonts w:ascii="Palatino Linotype" w:eastAsia="Palatino Linotype" w:hAnsi="Palatino Linotype" w:cs="Palatino Linotype"/>
          <w:i/>
          <w:sz w:val="22"/>
          <w:szCs w:val="22"/>
        </w:rPr>
      </w:pPr>
    </w:p>
    <w:p w14:paraId="40AD5D2D" w14:textId="77777777" w:rsidR="006D51DF" w:rsidRPr="006D51DF" w:rsidRDefault="006D51DF" w:rsidP="006D51DF">
      <w:pPr>
        <w:widowControl w:val="0"/>
        <w:tabs>
          <w:tab w:val="left" w:pos="851"/>
          <w:tab w:val="left" w:pos="1843"/>
        </w:tabs>
        <w:spacing w:line="276" w:lineRule="auto"/>
        <w:ind w:left="567" w:right="567"/>
        <w:jc w:val="both"/>
        <w:rPr>
          <w:rFonts w:ascii="Palatino Linotype" w:eastAsia="Palatino Linotype" w:hAnsi="Palatino Linotype" w:cs="Palatino Linotype"/>
          <w:i/>
          <w:sz w:val="22"/>
          <w:szCs w:val="22"/>
        </w:rPr>
      </w:pPr>
      <w:r w:rsidRPr="006D51DF">
        <w:rPr>
          <w:rFonts w:ascii="Palatino Linotype" w:eastAsia="Palatino Linotype" w:hAnsi="Palatino Linotype" w:cs="Palatino Linotype"/>
          <w:i/>
          <w:sz w:val="22"/>
          <w:szCs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55DC6A1A" w14:textId="77777777" w:rsidR="006D51DF" w:rsidRPr="006D51DF" w:rsidRDefault="006D51DF" w:rsidP="006D51DF">
      <w:pPr>
        <w:widowControl w:val="0"/>
        <w:tabs>
          <w:tab w:val="left" w:pos="851"/>
          <w:tab w:val="left" w:pos="1843"/>
        </w:tabs>
        <w:spacing w:line="276" w:lineRule="auto"/>
        <w:ind w:left="567" w:right="567"/>
        <w:jc w:val="both"/>
        <w:rPr>
          <w:rFonts w:ascii="Palatino Linotype" w:eastAsia="Palatino Linotype" w:hAnsi="Palatino Linotype" w:cs="Palatino Linotype"/>
          <w:i/>
          <w:sz w:val="22"/>
          <w:szCs w:val="22"/>
        </w:rPr>
      </w:pPr>
    </w:p>
    <w:p w14:paraId="03DF50B9" w14:textId="77777777" w:rsidR="006D51DF" w:rsidRPr="006D51DF" w:rsidRDefault="006D51DF" w:rsidP="006D51DF">
      <w:pPr>
        <w:widowControl w:val="0"/>
        <w:tabs>
          <w:tab w:val="left" w:pos="851"/>
          <w:tab w:val="left" w:pos="1843"/>
        </w:tabs>
        <w:spacing w:line="276" w:lineRule="auto"/>
        <w:ind w:left="567" w:right="567"/>
        <w:jc w:val="both"/>
        <w:rPr>
          <w:rFonts w:ascii="Palatino Linotype" w:eastAsia="Palatino Linotype" w:hAnsi="Palatino Linotype" w:cs="Palatino Linotype"/>
          <w:i/>
          <w:sz w:val="22"/>
          <w:szCs w:val="22"/>
        </w:rPr>
      </w:pPr>
      <w:r w:rsidRPr="006D51DF">
        <w:rPr>
          <w:rFonts w:ascii="Palatino Linotype" w:eastAsia="Palatino Linotype" w:hAnsi="Palatino Linotype" w:cs="Palatino Linotype"/>
          <w:i/>
          <w:sz w:val="22"/>
          <w:szCs w:val="22"/>
        </w:rPr>
        <w:t>Para el caso de que no cuente con la información que se ordena del punto uno (1) al cuatro (4) durante el periodo referido por el recurrente, deberá informarlo en tal sentido, en términos del párrafo segundo del artículo 19 de la Ley de Transparencia y Acceso a la Información Pública del Estado de México y Municipios.</w:t>
      </w:r>
    </w:p>
    <w:p w14:paraId="2928848D" w14:textId="77777777" w:rsidR="006D51DF" w:rsidRPr="006D51DF" w:rsidRDefault="006D51DF" w:rsidP="006D51DF">
      <w:pPr>
        <w:widowControl w:val="0"/>
        <w:tabs>
          <w:tab w:val="left" w:pos="851"/>
          <w:tab w:val="left" w:pos="1843"/>
        </w:tabs>
        <w:spacing w:line="276" w:lineRule="auto"/>
        <w:ind w:left="567" w:right="567"/>
        <w:jc w:val="both"/>
        <w:rPr>
          <w:rFonts w:ascii="Palatino Linotype" w:eastAsia="Palatino Linotype" w:hAnsi="Palatino Linotype" w:cs="Palatino Linotype"/>
          <w:i/>
          <w:sz w:val="22"/>
          <w:szCs w:val="22"/>
        </w:rPr>
      </w:pPr>
    </w:p>
    <w:p w14:paraId="3606BEF3" w14:textId="1271E9AC" w:rsidR="00F10A06" w:rsidRPr="006D51DF" w:rsidRDefault="006D51DF" w:rsidP="006D51DF">
      <w:pPr>
        <w:widowControl w:val="0"/>
        <w:tabs>
          <w:tab w:val="left" w:pos="851"/>
          <w:tab w:val="left" w:pos="1843"/>
        </w:tabs>
        <w:spacing w:line="276" w:lineRule="auto"/>
        <w:ind w:left="567" w:right="567"/>
        <w:jc w:val="both"/>
        <w:rPr>
          <w:rFonts w:ascii="Palatino Linotype" w:hAnsi="Palatino Linotype"/>
          <w:i/>
          <w:sz w:val="22"/>
          <w:szCs w:val="22"/>
        </w:rPr>
      </w:pPr>
      <w:r w:rsidRPr="006D51DF">
        <w:rPr>
          <w:rFonts w:ascii="Palatino Linotype" w:eastAsia="Palatino Linotype" w:hAnsi="Palatino Linotype" w:cs="Palatino Linotype"/>
          <w:i/>
          <w:sz w:val="22"/>
          <w:szCs w:val="22"/>
        </w:rPr>
        <w:lastRenderedPageBreak/>
        <w:t>Para el caso de que no cuente con la información que se ordena de los puntos cinco (5) y seis (6) el sujeto obligado deberá emitir el acuerdo de inexistencia en términos de los artículos 169 y 170 de la Ley de Transparencia y Acceso a la Información Pública del Estado de México y Municipios.</w:t>
      </w:r>
      <w:r w:rsidR="00F10A06" w:rsidRPr="006D51DF">
        <w:rPr>
          <w:rFonts w:ascii="Palatino Linotype" w:hAnsi="Palatino Linotype"/>
          <w:i/>
          <w:sz w:val="22"/>
          <w:szCs w:val="22"/>
        </w:rPr>
        <w:t>”</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850D54F" w14:textId="48FFBD8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D985BC6"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lastRenderedPageBreak/>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04446458"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lastRenderedPageBreak/>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w:t>
      </w:r>
      <w:proofErr w:type="gramStart"/>
      <w:r>
        <w:rPr>
          <w:rFonts w:ascii="Palatino Linotype" w:hAnsi="Palatino Linotype" w:cs="Tahoma"/>
        </w:rPr>
        <w:t>que</w:t>
      </w:r>
      <w:proofErr w:type="gramEnd"/>
      <w:r>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432732" w:rsidRDefault="000625B1" w:rsidP="00A7702A">
      <w:pPr>
        <w:pStyle w:val="Prrafodelista"/>
        <w:tabs>
          <w:tab w:val="left" w:pos="851"/>
        </w:tabs>
        <w:spacing w:line="276" w:lineRule="auto"/>
        <w:ind w:left="567" w:right="567"/>
        <w:jc w:val="both"/>
        <w:rPr>
          <w:rFonts w:ascii="Palatino Linotype" w:hAnsi="Palatino Linotype"/>
          <w:i/>
          <w:sz w:val="22"/>
        </w:rPr>
      </w:pPr>
      <w:r w:rsidRPr="00432732">
        <w:rPr>
          <w:rFonts w:ascii="Palatino Linotype" w:hAnsi="Palatino Linotype"/>
          <w:i/>
          <w:sz w:val="22"/>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w:t>
      </w:r>
      <w:r>
        <w:rPr>
          <w:rFonts w:ascii="Palatino Linotype" w:hAnsi="Palatino Linotype" w:cs="Tahoma"/>
        </w:rPr>
        <w:lastRenderedPageBreak/>
        <w:t xml:space="preserve">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w:t>
      </w:r>
      <w:proofErr w:type="gramStart"/>
      <w:r w:rsidR="00A66A81" w:rsidRPr="00A66A81">
        <w:rPr>
          <w:rFonts w:ascii="Palatino Linotype" w:hAnsi="Palatino Linotype" w:cs="Tahoma"/>
        </w:rPr>
        <w:t xml:space="preserve">102  </w:t>
      </w:r>
      <w:r w:rsidR="00A66A81">
        <w:rPr>
          <w:rFonts w:ascii="Palatino Linotype" w:hAnsi="Palatino Linotype" w:cs="Tahoma"/>
        </w:rPr>
        <w:t>de</w:t>
      </w:r>
      <w:proofErr w:type="gramEnd"/>
      <w:r w:rsidR="00A66A81">
        <w:rPr>
          <w:rFonts w:ascii="Palatino Linotype" w:hAnsi="Palatino Linotype" w:cs="Tahoma"/>
        </w:rPr>
        <w:t xml:space="preserv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432732">
        <w:rPr>
          <w:rFonts w:ascii="Palatino Linotype" w:hAnsi="Palatino Linotype"/>
          <w:sz w:val="22"/>
        </w:rPr>
        <w:t xml:space="preserve">Artículo </w:t>
      </w:r>
      <w:r w:rsidR="00A66A81" w:rsidRPr="00432732">
        <w:rPr>
          <w:rFonts w:ascii="Palatino Linotype" w:hAnsi="Palatino Linotype" w:cs="Tahoma"/>
          <w:i/>
          <w:sz w:val="22"/>
        </w:rPr>
        <w:t xml:space="preserve">102.-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I.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II.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III. Fotografía </w:t>
      </w:r>
      <w:proofErr w:type="gramStart"/>
      <w:r w:rsidRPr="00432732">
        <w:rPr>
          <w:rFonts w:ascii="Palatino Linotype" w:hAnsi="Palatino Linotype" w:cs="Tahoma"/>
          <w:i/>
          <w:sz w:val="22"/>
        </w:rPr>
        <w:t>del integrante debidamente sellada</w:t>
      </w:r>
      <w:proofErr w:type="gramEnd"/>
      <w:r w:rsidRPr="00432732">
        <w:rPr>
          <w:rFonts w:ascii="Palatino Linotype" w:hAnsi="Palatino Linotype" w:cs="Tahoma"/>
          <w:i/>
          <w:sz w:val="22"/>
        </w:rPr>
        <w:t xml:space="preserve">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IV.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V.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VI.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VII.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 xml:space="preserve">B. Obligaciones: </w:t>
      </w:r>
    </w:p>
    <w:p w14:paraId="01BA5577"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I. Generales:</w:t>
      </w:r>
    </w:p>
    <w:p w14:paraId="53DEFD8A" w14:textId="0555D137" w:rsidR="00A66A81" w:rsidRPr="00432732" w:rsidRDefault="00A66A81" w:rsidP="00A7702A">
      <w:pPr>
        <w:spacing w:line="276" w:lineRule="auto"/>
        <w:ind w:left="567"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4F695CCA"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22A89139"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1FE9A22" w14:textId="3161BFE0"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lastRenderedPageBreak/>
        <w:t>(…)</w:t>
      </w:r>
    </w:p>
    <w:p w14:paraId="29CC0E78" w14:textId="77777777" w:rsidR="00A66A81" w:rsidRPr="00432732" w:rsidRDefault="00A66A81" w:rsidP="00A7702A">
      <w:pPr>
        <w:spacing w:line="276" w:lineRule="auto"/>
        <w:ind w:left="567"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Artículo 102.-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432732">
        <w:rPr>
          <w:rFonts w:ascii="Palatino Linotype" w:hAnsi="Palatino Linotype" w:cs="Tahoma"/>
          <w:i/>
          <w:sz w:val="22"/>
        </w:rPr>
        <w:t>I.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w:t>
      </w:r>
      <w:proofErr w:type="gramStart"/>
      <w:r w:rsidR="00C242A7" w:rsidRPr="00C242A7">
        <w:rPr>
          <w:rFonts w:ascii="Palatino Linotype" w:hAnsi="Palatino Linotype"/>
        </w:rPr>
        <w:t>refiere  lo</w:t>
      </w:r>
      <w:proofErr w:type="gramEnd"/>
      <w:r w:rsidR="00C242A7" w:rsidRPr="00C242A7">
        <w:rPr>
          <w:rFonts w:ascii="Palatino Linotype" w:hAnsi="Palatino Linotype"/>
        </w:rPr>
        <w:t xml:space="preserve">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lastRenderedPageBreak/>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w:t>
      </w:r>
      <w:r w:rsidR="00C242A7" w:rsidRPr="00C242A7">
        <w:rPr>
          <w:rFonts w:ascii="Palatino Linotype" w:hAnsi="Palatino Linotype"/>
        </w:rPr>
        <w:lastRenderedPageBreak/>
        <w:t xml:space="preserve">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7702A">
        <w:rPr>
          <w:rFonts w:ascii="Palatino Linotype" w:hAnsi="Palatino Linotype"/>
          <w:i/>
          <w:sz w:val="22"/>
        </w:rPr>
        <w:t>obstante</w:t>
      </w:r>
      <w:proofErr w:type="gramEnd"/>
      <w:r w:rsidRPr="00A7702A">
        <w:rPr>
          <w:rFonts w:ascii="Palatino Linotype" w:hAnsi="Palatino Linotype"/>
          <w:i/>
          <w:sz w:val="22"/>
        </w:rPr>
        <w:t xml:space="preserv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w:t>
      </w:r>
      <w:proofErr w:type="gramStart"/>
      <w:r w:rsidRPr="00CD2984">
        <w:rPr>
          <w:rFonts w:ascii="Palatino Linotype" w:hAnsi="Palatino Linotype"/>
          <w:lang w:val="es-MX"/>
        </w:rPr>
        <w:t>puede</w:t>
      </w:r>
      <w:proofErr w:type="gramEnd"/>
      <w:r w:rsidRPr="00CD2984">
        <w:rPr>
          <w:rFonts w:ascii="Palatino Linotype" w:hAnsi="Palatino Linotype"/>
          <w:lang w:val="es-MX"/>
        </w:rPr>
        <w:t xml:space="preserve"> considerarse como una actividad que por sí misma representa ciertos riesgos. Pero esto no es exclusivo de estos servidores públicos, también comparten esa misma condición la mayor parte de los elementos de la </w:t>
      </w:r>
      <w:proofErr w:type="gramStart"/>
      <w:r w:rsidRPr="00CD2984">
        <w:rPr>
          <w:rFonts w:ascii="Palatino Linotype" w:hAnsi="Palatino Linotype"/>
          <w:lang w:val="es-MX"/>
        </w:rPr>
        <w:t>Fiscalía General</w:t>
      </w:r>
      <w:proofErr w:type="gramEnd"/>
      <w:r w:rsidRPr="00CD2984">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D2984">
        <w:rPr>
          <w:rFonts w:ascii="Palatino Linotype" w:hAnsi="Palatino Linotype"/>
          <w:i/>
          <w:sz w:val="22"/>
          <w:lang w:val="es-MX"/>
        </w:rPr>
        <w:t>obstante</w:t>
      </w:r>
      <w:proofErr w:type="gramEnd"/>
      <w:r w:rsidRPr="00CD2984">
        <w:rPr>
          <w:rFonts w:ascii="Palatino Linotype" w:hAnsi="Palatino Linotype"/>
          <w:i/>
          <w:sz w:val="22"/>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Así las cosas, se reconoce que el dar a conocer el nombre de policías, comandantes, jefes de cuadrilla, o cualquier elemento policial (municipal o estatal) puede generar un riesgo a su integridad, más </w:t>
      </w:r>
      <w:proofErr w:type="gramStart"/>
      <w:r w:rsidRPr="00CD2984">
        <w:rPr>
          <w:rFonts w:ascii="Palatino Linotype" w:hAnsi="Palatino Linotype"/>
        </w:rPr>
        <w:t>aun</w:t>
      </w:r>
      <w:proofErr w:type="gramEnd"/>
      <w:r w:rsidRPr="00CD2984">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6FF282E8"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CD2984">
        <w:rPr>
          <w:rFonts w:ascii="Palatino Linotype" w:hAnsi="Palatino Linotype"/>
          <w:i/>
        </w:rPr>
        <w:t>Conciliación de Nómina</w:t>
      </w:r>
      <w:r w:rsidRPr="00CD2984">
        <w:rPr>
          <w:rFonts w:ascii="Palatino Linotype" w:hAnsi="Palatino Linotype"/>
        </w:rPr>
        <w:t xml:space="preserve"> que los Sujetos Obligados entregan de forma trimestral al Órgano Superior de Fiscalización </w:t>
      </w:r>
      <w:r w:rsidR="007F0A74">
        <w:rPr>
          <w:rFonts w:ascii="Palatino Linotype" w:hAnsi="Palatino Linotype"/>
        </w:rPr>
        <w:t>de la entidad, o bien, los controles de consumo de combustible,</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3C494F4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w:t>
      </w:r>
      <w:r w:rsidR="00432732">
        <w:rPr>
          <w:rFonts w:ascii="Palatino Linotype" w:hAnsi="Palatino Linotype"/>
        </w:rPr>
        <w:t xml:space="preserve">un formato de conciliación de nómina, u otro,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Pr>
          <w:rFonts w:ascii="Palatino Linotype" w:hAnsi="Palatino Linotype"/>
        </w:rPr>
        <w:lastRenderedPageBreak/>
        <w:t xml:space="preserve">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w:t>
      </w:r>
      <w:proofErr w:type="gramStart"/>
      <w:r>
        <w:rPr>
          <w:rFonts w:ascii="Palatino Linotype" w:hAnsi="Palatino Linotype"/>
        </w:rPr>
        <w:t>caso,  no</w:t>
      </w:r>
      <w:proofErr w:type="gramEnd"/>
      <w:r>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57CC60C" w14:textId="524C9E7D"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p>
    <w:p w14:paraId="227CE841" w14:textId="2CE6B8DE" w:rsidR="00E80943" w:rsidRDefault="00CD2984" w:rsidP="00E80943">
      <w:pPr>
        <w:spacing w:before="240" w:after="240" w:line="360" w:lineRule="auto"/>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r w:rsidR="00E80943">
        <w:rPr>
          <w:rFonts w:ascii="Palatino Linotype" w:hAnsi="Palatino Linotype" w:cs="Arial"/>
          <w:sz w:val="18"/>
        </w:rPr>
        <w:br w:type="page"/>
      </w: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522D" w14:textId="77777777" w:rsidR="00F1591A" w:rsidRDefault="00F1591A" w:rsidP="00C80F8C">
      <w:r>
        <w:separator/>
      </w:r>
    </w:p>
  </w:endnote>
  <w:endnote w:type="continuationSeparator" w:id="0">
    <w:p w14:paraId="28F874A6" w14:textId="77777777" w:rsidR="00F1591A" w:rsidRDefault="00F159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D338C2">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38C2">
              <w:rPr>
                <w:b/>
                <w:bCs/>
                <w:noProof/>
              </w:rPr>
              <w:t>20</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56BB" w14:textId="77777777" w:rsidR="00F1591A" w:rsidRDefault="00F1591A" w:rsidP="00C80F8C">
      <w:r>
        <w:separator/>
      </w:r>
    </w:p>
  </w:footnote>
  <w:footnote w:type="continuationSeparator" w:id="0">
    <w:p w14:paraId="4648C476" w14:textId="77777777" w:rsidR="00F1591A" w:rsidRDefault="00F1591A"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8E63F9">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64F79D2C"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6D51DF">
      <w:rPr>
        <w:rFonts w:ascii="Palatino Linotype" w:hAnsi="Palatino Linotype"/>
        <w:b/>
        <w:bCs/>
        <w:sz w:val="22"/>
        <w:szCs w:val="22"/>
      </w:rPr>
      <w:t>16165</w:t>
    </w:r>
    <w:r w:rsidR="007F0A74">
      <w:rPr>
        <w:rFonts w:ascii="Palatino Linotype" w:hAnsi="Palatino Linotype"/>
        <w:b/>
        <w:bCs/>
        <w:sz w:val="22"/>
        <w:szCs w:val="22"/>
      </w:rPr>
      <w:t>/INFOEM/IP/RR/2022</w:t>
    </w:r>
  </w:p>
  <w:p w14:paraId="71104997" w14:textId="38C4B57E"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6D51DF">
      <w:rPr>
        <w:rFonts w:ascii="Palatino Linotype" w:hAnsi="Palatino Linotype" w:cs="Arial"/>
        <w:b/>
        <w:bCs/>
      </w:rPr>
      <w:t>Acolman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7355720">
    <w:abstractNumId w:val="3"/>
  </w:num>
  <w:num w:numId="2" w16cid:durableId="1764835426">
    <w:abstractNumId w:val="44"/>
  </w:num>
  <w:num w:numId="3" w16cid:durableId="2122844729">
    <w:abstractNumId w:val="10"/>
  </w:num>
  <w:num w:numId="4" w16cid:durableId="902327986">
    <w:abstractNumId w:val="15"/>
  </w:num>
  <w:num w:numId="5" w16cid:durableId="1255359986">
    <w:abstractNumId w:val="34"/>
  </w:num>
  <w:num w:numId="6" w16cid:durableId="2087528624">
    <w:abstractNumId w:val="32"/>
  </w:num>
  <w:num w:numId="7" w16cid:durableId="1082146193">
    <w:abstractNumId w:val="25"/>
  </w:num>
  <w:num w:numId="8" w16cid:durableId="1126895779">
    <w:abstractNumId w:val="38"/>
  </w:num>
  <w:num w:numId="9" w16cid:durableId="979842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6881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712620">
    <w:abstractNumId w:val="11"/>
  </w:num>
  <w:num w:numId="12" w16cid:durableId="1615793031">
    <w:abstractNumId w:val="40"/>
  </w:num>
  <w:num w:numId="13" w16cid:durableId="1548375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939859">
    <w:abstractNumId w:val="31"/>
  </w:num>
  <w:num w:numId="15" w16cid:durableId="1937708472">
    <w:abstractNumId w:val="18"/>
  </w:num>
  <w:num w:numId="16" w16cid:durableId="270868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940502">
    <w:abstractNumId w:val="33"/>
  </w:num>
  <w:num w:numId="18" w16cid:durableId="1636718904">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5610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284810">
    <w:abstractNumId w:val="22"/>
  </w:num>
  <w:num w:numId="21" w16cid:durableId="76026742">
    <w:abstractNumId w:val="21"/>
  </w:num>
  <w:num w:numId="22" w16cid:durableId="4700535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342500">
    <w:abstractNumId w:val="9"/>
  </w:num>
  <w:num w:numId="24" w16cid:durableId="994799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305055">
    <w:abstractNumId w:val="6"/>
  </w:num>
  <w:num w:numId="26" w16cid:durableId="1186410735">
    <w:abstractNumId w:val="41"/>
  </w:num>
  <w:num w:numId="27" w16cid:durableId="1240409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6863544">
    <w:abstractNumId w:val="26"/>
  </w:num>
  <w:num w:numId="29" w16cid:durableId="815419694">
    <w:abstractNumId w:val="33"/>
  </w:num>
  <w:num w:numId="30" w16cid:durableId="19579028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283803">
    <w:abstractNumId w:val="16"/>
  </w:num>
  <w:num w:numId="32" w16cid:durableId="11695188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2008518">
    <w:abstractNumId w:val="0"/>
  </w:num>
  <w:num w:numId="34" w16cid:durableId="1966155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5109336">
    <w:abstractNumId w:val="4"/>
  </w:num>
  <w:num w:numId="36" w16cid:durableId="299846086">
    <w:abstractNumId w:val="24"/>
  </w:num>
  <w:num w:numId="37" w16cid:durableId="2489748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2031709">
    <w:abstractNumId w:val="12"/>
    <w:lvlOverride w:ilvl="0">
      <w:startOverride w:val="1"/>
    </w:lvlOverride>
    <w:lvlOverride w:ilvl="1"/>
    <w:lvlOverride w:ilvl="2"/>
    <w:lvlOverride w:ilvl="3"/>
    <w:lvlOverride w:ilvl="4"/>
    <w:lvlOverride w:ilvl="5"/>
    <w:lvlOverride w:ilvl="6"/>
    <w:lvlOverride w:ilvl="7"/>
    <w:lvlOverride w:ilvl="8"/>
  </w:num>
  <w:num w:numId="39" w16cid:durableId="769667918">
    <w:abstractNumId w:val="20"/>
  </w:num>
  <w:num w:numId="40" w16cid:durableId="70556987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832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7831586">
    <w:abstractNumId w:val="42"/>
  </w:num>
  <w:num w:numId="43" w16cid:durableId="405810639">
    <w:abstractNumId w:val="14"/>
  </w:num>
  <w:num w:numId="44" w16cid:durableId="289169252">
    <w:abstractNumId w:val="28"/>
    <w:lvlOverride w:ilvl="0">
      <w:startOverride w:val="1"/>
    </w:lvlOverride>
    <w:lvlOverride w:ilvl="1"/>
    <w:lvlOverride w:ilvl="2"/>
    <w:lvlOverride w:ilvl="3"/>
    <w:lvlOverride w:ilvl="4"/>
    <w:lvlOverride w:ilvl="5"/>
    <w:lvlOverride w:ilvl="6"/>
    <w:lvlOverride w:ilvl="7"/>
    <w:lvlOverride w:ilvl="8"/>
  </w:num>
  <w:num w:numId="45" w16cid:durableId="1530337474">
    <w:abstractNumId w:val="19"/>
  </w:num>
  <w:num w:numId="46" w16cid:durableId="190297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65143"/>
    <w:rsid w:val="00084EB4"/>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04F9"/>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0F29"/>
    <w:rsid w:val="00592BEE"/>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36C06"/>
    <w:rsid w:val="007519AE"/>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92AFC"/>
    <w:rsid w:val="008936B4"/>
    <w:rsid w:val="008A67F1"/>
    <w:rsid w:val="008B0A68"/>
    <w:rsid w:val="008C19BE"/>
    <w:rsid w:val="008C3C4B"/>
    <w:rsid w:val="008D1526"/>
    <w:rsid w:val="008E63F9"/>
    <w:rsid w:val="008F0202"/>
    <w:rsid w:val="008F67BC"/>
    <w:rsid w:val="009535D2"/>
    <w:rsid w:val="00956B18"/>
    <w:rsid w:val="00961995"/>
    <w:rsid w:val="00975EB9"/>
    <w:rsid w:val="009812A5"/>
    <w:rsid w:val="00981C38"/>
    <w:rsid w:val="00997CD5"/>
    <w:rsid w:val="009B3D3A"/>
    <w:rsid w:val="009C666B"/>
    <w:rsid w:val="009D10D2"/>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C2CB7"/>
    <w:rsid w:val="00DC3082"/>
    <w:rsid w:val="00DD45AC"/>
    <w:rsid w:val="00DD5CD5"/>
    <w:rsid w:val="00DE1629"/>
    <w:rsid w:val="00DE5C27"/>
    <w:rsid w:val="00E00BE5"/>
    <w:rsid w:val="00E37AE3"/>
    <w:rsid w:val="00E429BA"/>
    <w:rsid w:val="00E80943"/>
    <w:rsid w:val="00EF3513"/>
    <w:rsid w:val="00F05A30"/>
    <w:rsid w:val="00F10A06"/>
    <w:rsid w:val="00F1205F"/>
    <w:rsid w:val="00F1591A"/>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4443-4DE7-4DAD-9DE4-20983CB1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4583</Words>
  <Characters>25209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7</cp:revision>
  <cp:lastPrinted>2023-06-13T00:57:00Z</cp:lastPrinted>
  <dcterms:created xsi:type="dcterms:W3CDTF">2023-07-10T18:56:00Z</dcterms:created>
  <dcterms:modified xsi:type="dcterms:W3CDTF">2024-02-08T23:02:00Z</dcterms:modified>
</cp:coreProperties>
</file>