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360BB" w14:textId="77777777" w:rsidR="00F03166" w:rsidRDefault="00F03166" w:rsidP="00C169ED">
      <w:pPr>
        <w:tabs>
          <w:tab w:val="left" w:pos="1843"/>
        </w:tabs>
        <w:spacing w:after="0" w:line="360" w:lineRule="auto"/>
        <w:jc w:val="both"/>
        <w:rPr>
          <w:rFonts w:ascii="Palatino Linotype" w:hAnsi="Palatino Linotype" w:cs="Tahoma"/>
          <w:b/>
        </w:rPr>
      </w:pPr>
    </w:p>
    <w:p w14:paraId="1EC3C5F7" w14:textId="01F624E4" w:rsidR="00C169ED" w:rsidRPr="000C73AC"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sidR="00B95CE5" w:rsidRPr="00B95CE5">
        <w:rPr>
          <w:rFonts w:ascii="Palatino Linotype" w:hAnsi="Palatino Linotype" w:cs="Arial"/>
          <w:b/>
          <w:bCs/>
          <w:lang w:val="es-MX" w:eastAsia="es-MX"/>
        </w:rPr>
        <w:t>0</w:t>
      </w:r>
      <w:r w:rsidR="00B95CE5">
        <w:rPr>
          <w:rFonts w:ascii="Palatino Linotype" w:hAnsi="Palatino Linotype" w:cs="Arial"/>
          <w:b/>
          <w:bCs/>
          <w:lang w:val="es-MX" w:eastAsia="es-MX"/>
        </w:rPr>
        <w:t>0092/INFOEM/IP/RR/2023 Y A</w:t>
      </w:r>
      <w:r w:rsidR="00B95CE5" w:rsidRPr="00B95CE5">
        <w:rPr>
          <w:rFonts w:ascii="Palatino Linotype" w:hAnsi="Palatino Linotype" w:cs="Arial"/>
          <w:b/>
          <w:bCs/>
          <w:lang w:val="es-MX" w:eastAsia="es-MX"/>
        </w:rPr>
        <w:t>CUMULADOS</w:t>
      </w:r>
      <w:r w:rsidR="00B95CE5" w:rsidRPr="000C73AC">
        <w:rPr>
          <w:rFonts w:ascii="Palatino Linotype" w:hAnsi="Palatino Linotype" w:cs="Tahoma"/>
          <w:b/>
        </w:rPr>
        <w:t xml:space="preserve">, </w:t>
      </w:r>
      <w:r w:rsidRPr="000C73AC">
        <w:rPr>
          <w:rFonts w:ascii="Palatino Linotype" w:hAnsi="Palatino Linotype" w:cs="Tahoma"/>
          <w:b/>
        </w:rPr>
        <w:t>PROMOVIDO EN CONTRA DE</w:t>
      </w:r>
      <w:r>
        <w:rPr>
          <w:rFonts w:ascii="Palatino Linotype" w:hAnsi="Palatino Linotype" w:cs="Tahoma"/>
          <w:b/>
        </w:rPr>
        <w:t>L AYUNTAMIENTO DE</w:t>
      </w:r>
      <w:r w:rsidR="00B95CE5">
        <w:rPr>
          <w:rFonts w:ascii="Palatino Linotype" w:hAnsi="Palatino Linotype" w:cs="Tahoma"/>
          <w:b/>
        </w:rPr>
        <w:t xml:space="preserve"> ZINACANTEPEC</w:t>
      </w:r>
      <w:r w:rsidR="00392841">
        <w:rPr>
          <w:rFonts w:ascii="Palatino Linotype" w:hAnsi="Palatino Linotype" w:cs="Tahoma"/>
          <w:b/>
        </w:rPr>
        <w:t>.</w:t>
      </w:r>
    </w:p>
    <w:p w14:paraId="578E4ECC" w14:textId="77777777" w:rsidR="00C169ED" w:rsidRPr="000C73AC" w:rsidRDefault="00C169ED" w:rsidP="00C169ED">
      <w:pPr>
        <w:tabs>
          <w:tab w:val="left" w:pos="1843"/>
        </w:tabs>
        <w:spacing w:after="0" w:line="360" w:lineRule="auto"/>
        <w:jc w:val="both"/>
        <w:rPr>
          <w:rFonts w:ascii="Palatino Linotype" w:hAnsi="Palatino Linotype" w:cs="Arial"/>
          <w:b/>
        </w:rPr>
      </w:pPr>
    </w:p>
    <w:p w14:paraId="0971DF8C" w14:textId="2FDDF63F"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sidR="00B95CE5" w:rsidRPr="00B95CE5">
        <w:rPr>
          <w:rFonts w:ascii="Palatino Linotype" w:hAnsi="Palatino Linotype"/>
          <w:b/>
          <w:bCs/>
          <w:lang w:val="es-MX"/>
        </w:rPr>
        <w:t>00092/INFOEM/IP/RR/2023 y acumulados</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7099C5DD" w14:textId="77777777" w:rsidR="00C169ED" w:rsidRDefault="00C169ED" w:rsidP="00C169ED">
      <w:pPr>
        <w:tabs>
          <w:tab w:val="left" w:pos="1843"/>
        </w:tabs>
        <w:spacing w:after="0" w:line="360" w:lineRule="auto"/>
        <w:jc w:val="both"/>
        <w:rPr>
          <w:rFonts w:ascii="Palatino Linotype" w:hAnsi="Palatino Linotype" w:cs="Tahoma"/>
        </w:rPr>
      </w:pPr>
    </w:p>
    <w:p w14:paraId="39A60329" w14:textId="0998D075"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Pr>
          <w:rFonts w:ascii="Palatino Linotype" w:hAnsi="Palatino Linotype" w:cs="Tahoma"/>
          <w:b/>
          <w:bCs/>
          <w:u w:val="single"/>
        </w:rPr>
        <w:t>nombre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0D413B6" w14:textId="77777777" w:rsidR="00796F78" w:rsidRDefault="00796F78" w:rsidP="00796F78">
      <w:pPr>
        <w:spacing w:after="0" w:line="360" w:lineRule="auto"/>
        <w:jc w:val="both"/>
        <w:rPr>
          <w:rFonts w:ascii="Palatino Linotype" w:hAnsi="Palatino Linotype" w:cs="Tahoma"/>
        </w:rPr>
      </w:pPr>
    </w:p>
    <w:p w14:paraId="53050276" w14:textId="713C981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estudiar la prueba de daño específica; además, no comparto la clasificación del cargo de los elementos operativos, por las siguientes consideraciones.</w:t>
      </w:r>
    </w:p>
    <w:p w14:paraId="023C3E70" w14:textId="77777777" w:rsidR="00796F78" w:rsidRDefault="00796F78" w:rsidP="00796F78">
      <w:pPr>
        <w:spacing w:after="0" w:line="360" w:lineRule="auto"/>
        <w:jc w:val="both"/>
        <w:rPr>
          <w:rFonts w:ascii="Palatino Linotype" w:hAnsi="Palatino Linotype" w:cs="Tahoma"/>
        </w:rPr>
      </w:pPr>
    </w:p>
    <w:p w14:paraId="5C3412CC" w14:textId="77777777" w:rsidR="00796F78" w:rsidRPr="00C75CD8" w:rsidRDefault="00796F78" w:rsidP="00796F78">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54C1FA39" w14:textId="77777777" w:rsidR="00796F78" w:rsidRDefault="00796F78" w:rsidP="00796F78">
      <w:pPr>
        <w:spacing w:after="0" w:line="360" w:lineRule="auto"/>
        <w:jc w:val="both"/>
        <w:rPr>
          <w:rFonts w:ascii="Palatino Linotype" w:hAnsi="Palatino Linotype" w:cs="Tahoma"/>
        </w:rPr>
      </w:pPr>
    </w:p>
    <w:p w14:paraId="30A92C95"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65201BBB" w14:textId="77777777" w:rsidR="00796F78" w:rsidRDefault="00796F78" w:rsidP="00796F78">
      <w:pPr>
        <w:spacing w:after="0" w:line="360" w:lineRule="auto"/>
        <w:jc w:val="both"/>
        <w:rPr>
          <w:rFonts w:ascii="Palatino Linotype" w:hAnsi="Palatino Linotype" w:cs="Tahoma"/>
        </w:rPr>
      </w:pPr>
    </w:p>
    <w:p w14:paraId="1BD4B957" w14:textId="272D6149"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w:t>
      </w:r>
      <w:r w:rsidR="00E95351">
        <w:rPr>
          <w:rFonts w:ascii="Palatino Linotype" w:hAnsi="Palatino Linotype" w:cs="Tahoma"/>
        </w:rPr>
        <w:t>pública</w:t>
      </w:r>
      <w:r>
        <w:rPr>
          <w:rFonts w:ascii="Palatino Linotype" w:hAnsi="Palatino Linotype" w:cs="Tahoma"/>
        </w:rPr>
        <w:t xml:space="preserve">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AD7015E" w14:textId="77777777" w:rsidR="00796F78" w:rsidRDefault="00796F78" w:rsidP="00796F78">
      <w:pPr>
        <w:spacing w:after="0" w:line="360" w:lineRule="auto"/>
        <w:jc w:val="both"/>
        <w:rPr>
          <w:rFonts w:ascii="Palatino Linotype" w:hAnsi="Palatino Linotype" w:cs="Tahoma"/>
        </w:rPr>
      </w:pPr>
    </w:p>
    <w:p w14:paraId="355C46EB" w14:textId="77777777" w:rsidR="00796F78" w:rsidRPr="00FB0274" w:rsidRDefault="00796F78" w:rsidP="00796F78">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019820F" w14:textId="77777777" w:rsidR="00796F78" w:rsidRPr="00FB0274" w:rsidRDefault="00796F78" w:rsidP="00796F78">
      <w:pPr>
        <w:spacing w:after="0" w:line="360" w:lineRule="auto"/>
        <w:jc w:val="both"/>
        <w:rPr>
          <w:rFonts w:ascii="Palatino Linotype" w:hAnsi="Palatino Linotype"/>
        </w:rPr>
      </w:pPr>
    </w:p>
    <w:p w14:paraId="5D9F4760" w14:textId="1A896229"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E95351" w:rsidRPr="00FB0274">
        <w:rPr>
          <w:rFonts w:ascii="Palatino Linotype" w:hAnsi="Palatino Linotype"/>
        </w:rPr>
        <w:t>información</w:t>
      </w:r>
      <w:r w:rsidRPr="00FB0274">
        <w:rPr>
          <w:rFonts w:ascii="Palatino Linotype" w:hAnsi="Palatino Linotype"/>
        </w:rPr>
        <w:t xml:space="preserve"> pone en riesgo su vida,</w:t>
      </w:r>
      <w:r>
        <w:rPr>
          <w:rFonts w:ascii="Palatino Linotype" w:hAnsi="Palatino Linotype"/>
        </w:rPr>
        <w:t xml:space="preserve"> salud,</w:t>
      </w:r>
      <w:r w:rsidRPr="00FB0274">
        <w:rPr>
          <w:rFonts w:ascii="Palatino Linotype" w:hAnsi="Palatino Linotype"/>
        </w:rPr>
        <w:t xml:space="preserve"> integridad o seguridad.</w:t>
      </w:r>
    </w:p>
    <w:p w14:paraId="4282041E" w14:textId="77777777" w:rsidR="00796F78" w:rsidRPr="00FB0274" w:rsidRDefault="00796F78" w:rsidP="00796F78">
      <w:pPr>
        <w:spacing w:after="0" w:line="360" w:lineRule="auto"/>
        <w:jc w:val="both"/>
        <w:rPr>
          <w:rFonts w:ascii="Palatino Linotype" w:hAnsi="Palatino Linotype"/>
        </w:rPr>
      </w:pPr>
    </w:p>
    <w:p w14:paraId="10E4CF5D" w14:textId="77777777"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34F3DBCE" w14:textId="77777777" w:rsidR="00796F78" w:rsidRPr="006A7606" w:rsidRDefault="00796F78" w:rsidP="00796F78">
      <w:pPr>
        <w:spacing w:after="0" w:line="360" w:lineRule="auto"/>
        <w:jc w:val="both"/>
        <w:rPr>
          <w:rFonts w:ascii="Palatino Linotype" w:eastAsia="MS Mincho" w:hAnsi="Palatino Linotype" w:cs="Arial"/>
        </w:rPr>
      </w:pPr>
    </w:p>
    <w:p w14:paraId="0A44507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9CEDA63"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F9CF1E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2F971D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6919BDB" w14:textId="77777777" w:rsidR="00796F78" w:rsidRDefault="00796F78" w:rsidP="00796F78">
      <w:pPr>
        <w:spacing w:after="0" w:line="360" w:lineRule="auto"/>
        <w:jc w:val="both"/>
        <w:rPr>
          <w:rFonts w:ascii="Palatino Linotype" w:eastAsia="MS Mincho" w:hAnsi="Palatino Linotype" w:cs="Arial"/>
        </w:rPr>
      </w:pPr>
    </w:p>
    <w:p w14:paraId="1B14C401" w14:textId="77777777" w:rsidR="00796F78" w:rsidRPr="001A758C" w:rsidRDefault="00796F78" w:rsidP="00796F78">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06B00A9F" w14:textId="77777777" w:rsidR="00796F78" w:rsidRDefault="00796F78" w:rsidP="00796F78">
      <w:pPr>
        <w:spacing w:after="0" w:line="360" w:lineRule="auto"/>
        <w:jc w:val="both"/>
        <w:rPr>
          <w:rFonts w:ascii="Palatino Linotype" w:eastAsia="MS Mincho" w:hAnsi="Palatino Linotype" w:cs="Arial"/>
        </w:rPr>
      </w:pPr>
    </w:p>
    <w:p w14:paraId="2A942857" w14:textId="77777777" w:rsidR="00796F78" w:rsidRPr="006A7606" w:rsidRDefault="00796F78" w:rsidP="00796F78">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0DC5C63" w14:textId="77777777" w:rsidR="00796F78" w:rsidRPr="006A7606" w:rsidRDefault="00796F78" w:rsidP="00796F78">
      <w:pPr>
        <w:spacing w:after="0" w:line="360" w:lineRule="auto"/>
        <w:jc w:val="both"/>
        <w:rPr>
          <w:rFonts w:ascii="Palatino Linotype" w:eastAsia="MS Mincho" w:hAnsi="Palatino Linotype" w:cs="Arial"/>
          <w:lang w:val="es-ES_tradnl"/>
        </w:rPr>
      </w:pPr>
    </w:p>
    <w:p w14:paraId="70D10014" w14:textId="77777777" w:rsidR="00796F78" w:rsidRPr="006A7606" w:rsidRDefault="00796F78" w:rsidP="00796F78">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CFCEF5C" w14:textId="77777777" w:rsidR="00796F78" w:rsidRPr="006A7606" w:rsidRDefault="00796F78" w:rsidP="00796F78">
      <w:pPr>
        <w:spacing w:after="0" w:line="360" w:lineRule="auto"/>
        <w:ind w:left="851" w:right="851"/>
        <w:jc w:val="both"/>
        <w:rPr>
          <w:rFonts w:ascii="Palatino Linotype" w:eastAsia="MS Mincho" w:hAnsi="Palatino Linotype" w:cs="Arial"/>
          <w:i/>
          <w:lang w:val="es-ES_tradnl"/>
        </w:rPr>
      </w:pPr>
    </w:p>
    <w:p w14:paraId="2E776C1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3679CB9A"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9849D59"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F954754" w14:textId="77777777" w:rsidR="00796F78" w:rsidRDefault="00796F78" w:rsidP="00796F78">
      <w:pPr>
        <w:spacing w:after="0" w:line="360" w:lineRule="auto"/>
        <w:jc w:val="both"/>
        <w:rPr>
          <w:rFonts w:ascii="Palatino Linotype" w:hAnsi="Palatino Linotype" w:cs="Arial"/>
        </w:rPr>
      </w:pPr>
    </w:p>
    <w:p w14:paraId="4CDE6637"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B0419D6" w14:textId="77777777" w:rsidR="00796F78" w:rsidRPr="006A7606" w:rsidRDefault="00796F78" w:rsidP="00796F78">
      <w:pPr>
        <w:spacing w:after="0" w:line="360" w:lineRule="auto"/>
        <w:jc w:val="both"/>
        <w:rPr>
          <w:rFonts w:ascii="Palatino Linotype" w:hAnsi="Palatino Linotype" w:cs="Arial"/>
        </w:rPr>
      </w:pPr>
    </w:p>
    <w:p w14:paraId="375FCFA7" w14:textId="77777777" w:rsidR="00796F78" w:rsidRPr="006E2C84" w:rsidRDefault="00796F78" w:rsidP="00796F78">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1AE1A3F" w14:textId="77777777" w:rsidR="00796F78" w:rsidRDefault="00796F78" w:rsidP="00796F78">
      <w:pPr>
        <w:spacing w:after="0" w:line="360" w:lineRule="auto"/>
        <w:jc w:val="both"/>
        <w:rPr>
          <w:rFonts w:ascii="Palatino Linotype" w:hAnsi="Palatino Linotype"/>
        </w:rPr>
      </w:pPr>
    </w:p>
    <w:p w14:paraId="3F31E842"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78A8121A" w14:textId="77777777" w:rsidR="00796F78" w:rsidRPr="006A7606" w:rsidRDefault="00796F78" w:rsidP="00796F78">
      <w:pPr>
        <w:spacing w:after="0" w:line="360" w:lineRule="auto"/>
        <w:jc w:val="both"/>
        <w:rPr>
          <w:rFonts w:ascii="Palatino Linotype" w:hAnsi="Palatino Linotype"/>
        </w:rPr>
      </w:pPr>
    </w:p>
    <w:p w14:paraId="62CB5F63" w14:textId="1FF34466" w:rsidR="00796F78" w:rsidRPr="006A7606" w:rsidRDefault="00796F78" w:rsidP="00796F78">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E95351"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F174131" w14:textId="77777777" w:rsidR="00796F78" w:rsidRPr="006A7606" w:rsidRDefault="00796F78" w:rsidP="00796F78">
      <w:pPr>
        <w:spacing w:after="0" w:line="360" w:lineRule="auto"/>
        <w:jc w:val="both"/>
        <w:rPr>
          <w:rFonts w:ascii="Palatino Linotype" w:hAnsi="Palatino Linotype" w:cs="Segoe UI"/>
        </w:rPr>
      </w:pPr>
    </w:p>
    <w:p w14:paraId="2A2CC1AE" w14:textId="77777777" w:rsidR="00796F78" w:rsidRPr="006E2C84" w:rsidRDefault="00796F78" w:rsidP="00796F78">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0EF1A0" w14:textId="77777777" w:rsidR="00796F78"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258508E" w14:textId="77777777" w:rsidR="00796F78" w:rsidRPr="001A758C"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11731B9" w14:textId="77777777" w:rsidR="00796F78" w:rsidRDefault="00796F78" w:rsidP="00796F78">
      <w:pPr>
        <w:spacing w:after="0" w:line="360" w:lineRule="auto"/>
        <w:jc w:val="both"/>
        <w:rPr>
          <w:rFonts w:ascii="Palatino Linotype" w:hAnsi="Palatino Linotype" w:cs="Arial"/>
        </w:rPr>
      </w:pPr>
    </w:p>
    <w:p w14:paraId="21DB73C1" w14:textId="77777777" w:rsidR="00796F78" w:rsidRDefault="00796F78" w:rsidP="00796F78">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AF47C2A" w14:textId="77777777" w:rsidR="00796F78" w:rsidRDefault="00796F78" w:rsidP="00796F78">
      <w:pPr>
        <w:spacing w:after="0" w:line="360" w:lineRule="auto"/>
        <w:jc w:val="both"/>
        <w:rPr>
          <w:rFonts w:ascii="Palatino Linotype" w:hAnsi="Palatino Linotype" w:cs="Arial"/>
        </w:rPr>
      </w:pPr>
    </w:p>
    <w:p w14:paraId="104C5B49" w14:textId="77777777" w:rsidR="00796F78" w:rsidRPr="00885189" w:rsidRDefault="00796F78" w:rsidP="00796F78">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5C56B518" w14:textId="77777777" w:rsidR="00796F78" w:rsidRDefault="00796F78" w:rsidP="00796F78">
      <w:pPr>
        <w:spacing w:after="0" w:line="360" w:lineRule="auto"/>
        <w:jc w:val="both"/>
        <w:rPr>
          <w:rFonts w:ascii="Palatino Linotype" w:hAnsi="Palatino Linotype" w:cs="Tahoma"/>
        </w:rPr>
      </w:pPr>
    </w:p>
    <w:p w14:paraId="056E2EB1" w14:textId="77777777"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F01EF06" w14:textId="77777777" w:rsidR="00796F78" w:rsidRPr="00D07D91" w:rsidRDefault="00796F78" w:rsidP="00796F78">
      <w:pPr>
        <w:spacing w:after="0" w:line="360" w:lineRule="auto"/>
        <w:jc w:val="both"/>
        <w:rPr>
          <w:rFonts w:ascii="Palatino Linotype" w:eastAsia="Calibri" w:hAnsi="Palatino Linotype" w:cs="Tahoma"/>
        </w:rPr>
      </w:pPr>
    </w:p>
    <w:p w14:paraId="383BB842"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66189836" w14:textId="77777777" w:rsidR="00796F78" w:rsidRPr="00D07D91" w:rsidRDefault="00796F78" w:rsidP="00796F78">
      <w:pPr>
        <w:spacing w:after="0" w:line="360" w:lineRule="auto"/>
        <w:jc w:val="both"/>
        <w:rPr>
          <w:rFonts w:ascii="Palatino Linotype" w:eastAsia="Calibri" w:hAnsi="Palatino Linotype" w:cs="Tahoma"/>
        </w:rPr>
      </w:pPr>
    </w:p>
    <w:p w14:paraId="58944075"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A79B779" w14:textId="77777777" w:rsidR="00796F78" w:rsidRPr="00D07D91" w:rsidRDefault="00796F78" w:rsidP="00796F78">
      <w:pPr>
        <w:spacing w:after="0" w:line="360" w:lineRule="auto"/>
        <w:jc w:val="both"/>
        <w:rPr>
          <w:rFonts w:ascii="Palatino Linotype" w:eastAsia="Calibri" w:hAnsi="Palatino Linotype" w:cs="Tahoma"/>
        </w:rPr>
      </w:pPr>
    </w:p>
    <w:p w14:paraId="3A80772C"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D68A122" w14:textId="77777777" w:rsidR="00796F78" w:rsidRPr="00D07D91" w:rsidRDefault="00796F78" w:rsidP="00796F78">
      <w:pPr>
        <w:spacing w:after="0" w:line="360" w:lineRule="auto"/>
        <w:jc w:val="both"/>
        <w:rPr>
          <w:rFonts w:ascii="Palatino Linotype" w:eastAsia="Calibri" w:hAnsi="Palatino Linotype" w:cs="Tahoma"/>
        </w:rPr>
      </w:pPr>
    </w:p>
    <w:p w14:paraId="61FA807F" w14:textId="7D30FE0E"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E95351">
        <w:rPr>
          <w:rFonts w:ascii="Palatino Linotype" w:eastAsia="Calibri" w:hAnsi="Palatino Linotype" w:cs="Tahoma"/>
        </w:rPr>
        <w:t xml:space="preserve">Personales, </w:t>
      </w:r>
      <w:r w:rsidR="00E95351"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62207EBF" w14:textId="77777777" w:rsidR="00796F78" w:rsidRPr="00D07D91" w:rsidRDefault="00796F78" w:rsidP="00796F78">
      <w:pPr>
        <w:spacing w:after="0" w:line="360" w:lineRule="auto"/>
        <w:jc w:val="both"/>
        <w:rPr>
          <w:rFonts w:ascii="Palatino Linotype" w:eastAsia="Calibri" w:hAnsi="Palatino Linotype" w:cs="Tahoma"/>
        </w:rPr>
      </w:pPr>
    </w:p>
    <w:p w14:paraId="13AB53D6"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EBBE22E" w14:textId="77777777" w:rsidR="00796F78" w:rsidRPr="00D07D91" w:rsidRDefault="00796F78" w:rsidP="00796F78">
      <w:pPr>
        <w:spacing w:after="0" w:line="360" w:lineRule="auto"/>
        <w:jc w:val="both"/>
        <w:rPr>
          <w:rFonts w:ascii="Palatino Linotype" w:eastAsia="Calibri" w:hAnsi="Palatino Linotype" w:cs="Tahoma"/>
        </w:rPr>
      </w:pPr>
    </w:p>
    <w:p w14:paraId="78E0C358"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61B2EF7E" w14:textId="77777777" w:rsidR="00796F78" w:rsidRPr="00D07D91" w:rsidRDefault="00796F78" w:rsidP="00796F78">
      <w:pPr>
        <w:spacing w:after="0" w:line="360" w:lineRule="auto"/>
        <w:jc w:val="both"/>
        <w:rPr>
          <w:rFonts w:ascii="Palatino Linotype" w:eastAsia="Calibri" w:hAnsi="Palatino Linotype" w:cs="Tahoma"/>
        </w:rPr>
      </w:pPr>
    </w:p>
    <w:p w14:paraId="289A9D9A" w14:textId="77777777" w:rsidR="00796F78"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4E9CD4D7" w14:textId="77777777" w:rsidR="00796F78" w:rsidRPr="00885189" w:rsidRDefault="00796F78" w:rsidP="00796F78">
      <w:pPr>
        <w:spacing w:after="0" w:line="360" w:lineRule="auto"/>
        <w:jc w:val="both"/>
        <w:rPr>
          <w:rFonts w:ascii="Palatino Linotype" w:hAnsi="Palatino Linotype" w:cs="Tahoma"/>
        </w:rPr>
      </w:pPr>
    </w:p>
    <w:p w14:paraId="719E2946"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5BA25538" w14:textId="77777777" w:rsidR="00796F78" w:rsidRPr="00885189" w:rsidRDefault="00796F78" w:rsidP="00796F78">
      <w:pPr>
        <w:spacing w:after="0" w:line="360" w:lineRule="auto"/>
        <w:jc w:val="both"/>
        <w:rPr>
          <w:rFonts w:ascii="Palatino Linotype" w:hAnsi="Palatino Linotype" w:cs="Tahoma"/>
        </w:rPr>
      </w:pPr>
    </w:p>
    <w:p w14:paraId="7DAC29AB"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50C78DA4" w14:textId="77777777" w:rsidR="00796F78" w:rsidRDefault="00796F78" w:rsidP="00796F78">
      <w:pPr>
        <w:spacing w:after="0" w:line="360" w:lineRule="auto"/>
        <w:jc w:val="both"/>
        <w:rPr>
          <w:rFonts w:ascii="Palatino Linotype" w:hAnsi="Palatino Linotype" w:cs="Tahoma"/>
        </w:rPr>
      </w:pPr>
    </w:p>
    <w:p w14:paraId="1291A49F" w14:textId="77777777" w:rsidR="00796F78" w:rsidRPr="00885189" w:rsidRDefault="00796F78" w:rsidP="00796F78">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8652BA5" w14:textId="77777777" w:rsidR="00796F78" w:rsidRPr="00885189" w:rsidRDefault="00796F78" w:rsidP="00796F78">
      <w:pPr>
        <w:spacing w:after="0" w:line="360" w:lineRule="auto"/>
        <w:jc w:val="both"/>
        <w:rPr>
          <w:rFonts w:ascii="Palatino Linotype" w:hAnsi="Palatino Linotype" w:cs="Tahoma"/>
        </w:rPr>
      </w:pPr>
    </w:p>
    <w:p w14:paraId="5C484882" w14:textId="77777777" w:rsidR="00796F78" w:rsidRPr="00EB7785" w:rsidRDefault="00796F78" w:rsidP="00796F78">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5C128EE6" w14:textId="77777777" w:rsidR="00796F78" w:rsidRDefault="00796F78" w:rsidP="00796F78">
      <w:pPr>
        <w:spacing w:after="0" w:line="360" w:lineRule="auto"/>
        <w:jc w:val="both"/>
        <w:rPr>
          <w:rFonts w:ascii="Palatino Linotype" w:hAnsi="Palatino Linotype" w:cs="Tahoma"/>
        </w:rPr>
      </w:pPr>
    </w:p>
    <w:p w14:paraId="4F00E811"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70D3BE32" w14:textId="77777777" w:rsidR="00796F78" w:rsidRDefault="00796F78" w:rsidP="00796F78">
      <w:pPr>
        <w:spacing w:after="0" w:line="360" w:lineRule="auto"/>
        <w:jc w:val="both"/>
        <w:rPr>
          <w:rFonts w:ascii="Palatino Linotype" w:hAnsi="Palatino Linotype" w:cs="Tahoma"/>
        </w:rPr>
      </w:pPr>
    </w:p>
    <w:p w14:paraId="06348532" w14:textId="77777777" w:rsidR="00796F78" w:rsidRPr="00F16598" w:rsidRDefault="00796F78" w:rsidP="00796F7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27E67A8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FF82D37"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7EEB8772"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CB812E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I. Comprometa la seguridad pública y cuente con un propósito genuino y un efecto demostrable;</w:t>
      </w:r>
    </w:p>
    <w:p w14:paraId="2CBA16B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7A071CEF"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7DEDF994" w14:textId="77777777" w:rsidR="00796F78" w:rsidRPr="00F16598" w:rsidRDefault="00796F78" w:rsidP="00796F7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2D8C8D3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04133B5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70D8852B"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D79B98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1CF7A71"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0F98E0F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6FB7278" w14:textId="77777777" w:rsidR="00796F78" w:rsidRDefault="00796F78" w:rsidP="00796F78">
      <w:pPr>
        <w:spacing w:after="0" w:line="360" w:lineRule="auto"/>
        <w:jc w:val="both"/>
        <w:rPr>
          <w:rFonts w:ascii="Palatino Linotype" w:eastAsia="Calibri" w:hAnsi="Palatino Linotype" w:cs="Tahoma"/>
          <w:bCs/>
          <w:lang w:val="es-MX"/>
        </w:rPr>
      </w:pPr>
    </w:p>
    <w:p w14:paraId="27635769"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291D2DB0"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F6E8AE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ED3DB8C"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09A479A"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09B9AC33" w14:textId="77777777" w:rsidR="00796F78" w:rsidRPr="00F16598" w:rsidRDefault="00796F78" w:rsidP="00796F78">
      <w:pPr>
        <w:spacing w:after="0" w:line="360" w:lineRule="auto"/>
        <w:jc w:val="both"/>
        <w:rPr>
          <w:rFonts w:ascii="Palatino Linotype" w:eastAsia="Calibri" w:hAnsi="Palatino Linotype" w:cs="Tahoma"/>
          <w:bCs/>
          <w:lang w:val="es-MX"/>
        </w:rPr>
      </w:pPr>
    </w:p>
    <w:p w14:paraId="330FDE6B"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2D48A1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2EC13D76"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65FB3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081D1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6F5AC238"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07D9DE4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4C2FF31F"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68EDD1A"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1C51D6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20645B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w:t>
      </w:r>
      <w:r w:rsidRPr="00F16598">
        <w:rPr>
          <w:rFonts w:ascii="Palatino Linotype" w:eastAsia="Calibri" w:hAnsi="Palatino Linotype" w:cs="Tahoma"/>
          <w:bCs/>
          <w:lang w:val="es-MX"/>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5AD985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FBAC634"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w:t>
      </w:r>
      <w:r>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3B52AF5A" w14:textId="77777777" w:rsidR="00796F78" w:rsidRPr="00F16598" w:rsidRDefault="00796F78" w:rsidP="00796F78">
      <w:pPr>
        <w:spacing w:after="0" w:line="360" w:lineRule="auto"/>
        <w:jc w:val="both"/>
        <w:rPr>
          <w:rFonts w:ascii="Palatino Linotype" w:eastAsia="Calibri" w:hAnsi="Palatino Linotype" w:cs="Tahoma"/>
          <w:bCs/>
          <w:lang w:val="es-MX"/>
        </w:rPr>
      </w:pPr>
    </w:p>
    <w:p w14:paraId="6E1DF047"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0D97B2CE"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0FB3489A"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6BF50586" w14:textId="77777777" w:rsidR="00796F7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31E1CDC2"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3E9F4A7E"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7FF99465"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24BED19E"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477C55AB" w14:textId="77777777" w:rsidR="00796F7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07EF4E9A"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02A71662"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5F125610"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5D7C80F3"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0C6BD2A8" w14:textId="77777777" w:rsidR="00796F7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1F7D2B7C"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1FF9ED38"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520E4786"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Policía Primero;</w:t>
      </w:r>
    </w:p>
    <w:p w14:paraId="08DAB2C7"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90940A1"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03012D25"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5F2D90F2" w14:textId="77777777" w:rsidR="00796F78" w:rsidRPr="00F16598" w:rsidRDefault="00796F78" w:rsidP="00796F78">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721E9012" w14:textId="77777777" w:rsidR="00796F78" w:rsidRPr="009073A7" w:rsidRDefault="00796F78" w:rsidP="00796F78">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1989F28F" w14:textId="77777777" w:rsidR="00796F78" w:rsidRPr="009073A7" w:rsidRDefault="00796F78" w:rsidP="00796F78">
      <w:pPr>
        <w:spacing w:after="0" w:line="360" w:lineRule="auto"/>
        <w:jc w:val="both"/>
        <w:rPr>
          <w:rFonts w:ascii="Palatino Linotype" w:eastAsia="Calibri" w:hAnsi="Palatino Linotype" w:cs="Tahoma"/>
          <w:lang w:val="es-MX"/>
        </w:rPr>
      </w:pPr>
    </w:p>
    <w:p w14:paraId="5C2B20B4" w14:textId="77777777" w:rsidR="00796F78" w:rsidRPr="009073A7" w:rsidRDefault="00796F78" w:rsidP="00796F78">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D92818A" w14:textId="77777777" w:rsidR="00796F78" w:rsidRDefault="00796F78" w:rsidP="00796F78">
      <w:pPr>
        <w:spacing w:after="0" w:line="360" w:lineRule="auto"/>
        <w:jc w:val="both"/>
        <w:rPr>
          <w:rFonts w:ascii="Palatino Linotype" w:eastAsia="Calibri" w:hAnsi="Palatino Linotype" w:cs="Tahoma"/>
          <w:b/>
          <w:bCs/>
          <w:lang w:val="es-MX"/>
        </w:rPr>
      </w:pPr>
      <w:bookmarkStart w:id="0" w:name="_GoBack"/>
      <w:bookmarkEnd w:id="0"/>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78807767" w14:textId="77777777" w:rsidR="00796F78" w:rsidRDefault="00796F78" w:rsidP="00796F78">
      <w:pPr>
        <w:spacing w:after="0" w:line="360" w:lineRule="auto"/>
        <w:jc w:val="both"/>
        <w:rPr>
          <w:rFonts w:ascii="Palatino Linotype" w:eastAsia="Calibri" w:hAnsi="Palatino Linotype" w:cs="Tahoma"/>
          <w:b/>
          <w:bCs/>
          <w:lang w:val="es-MX"/>
        </w:rPr>
      </w:pPr>
    </w:p>
    <w:p w14:paraId="73719663" w14:textId="77777777" w:rsidR="00796F78" w:rsidRPr="00F16598" w:rsidRDefault="00796F78" w:rsidP="00796F7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67A34A6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E6B182D"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xml:space="preserve">, dar a conocer los documentos </w:t>
      </w:r>
      <w:r>
        <w:rPr>
          <w:rFonts w:ascii="Palatino Linotype" w:eastAsia="Calibri" w:hAnsi="Palatino Linotype" w:cs="Tahoma"/>
          <w:bCs/>
          <w:lang w:val="es-MX"/>
        </w:rPr>
        <w:lastRenderedPageBreak/>
        <w:t>donde conste el cargo de los elementos operativos, desvinculado de su nombre (por ejemplo, Policía Primero; Policía Segundo y/o Policía Tercero):</w:t>
      </w:r>
    </w:p>
    <w:p w14:paraId="6D8B7BB8"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B1627F9"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3C08451D" w14:textId="77777777" w:rsidR="00796F78" w:rsidRPr="00F16598" w:rsidRDefault="00796F78" w:rsidP="00796F78">
      <w:pPr>
        <w:spacing w:after="0" w:line="360" w:lineRule="auto"/>
        <w:ind w:left="720"/>
        <w:contextualSpacing/>
        <w:jc w:val="both"/>
        <w:rPr>
          <w:rFonts w:ascii="Palatino Linotype" w:eastAsia="Calibri" w:hAnsi="Palatino Linotype" w:cs="Tahoma"/>
          <w:bCs/>
          <w:lang w:val="es-MX"/>
        </w:rPr>
      </w:pPr>
    </w:p>
    <w:p w14:paraId="24503238"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33A3492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1A3A9A4A"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553DCE0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3F164893" w14:textId="77777777" w:rsidR="00796F7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54EAFB4E" w14:textId="77777777" w:rsidR="00796F78" w:rsidRDefault="00796F78" w:rsidP="00796F78">
      <w:pPr>
        <w:spacing w:after="0" w:line="360" w:lineRule="auto"/>
        <w:jc w:val="both"/>
        <w:rPr>
          <w:rFonts w:ascii="Palatino Linotype" w:eastAsia="Calibri" w:hAnsi="Palatino Linotype" w:cs="Tahoma"/>
          <w:bCs/>
          <w:iCs/>
          <w:lang w:eastAsia="es-ES_tradnl"/>
        </w:rPr>
      </w:pPr>
    </w:p>
    <w:p w14:paraId="55B7B940"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 toda vez que, en documentos como la nómina o los recibos de nómina, la información relativa a los salarios es pública.</w:t>
      </w:r>
    </w:p>
    <w:p w14:paraId="044AA4E5" w14:textId="77777777" w:rsidR="00796F78" w:rsidRDefault="00796F78" w:rsidP="00796F78">
      <w:pPr>
        <w:spacing w:after="0" w:line="360" w:lineRule="auto"/>
        <w:jc w:val="both"/>
        <w:rPr>
          <w:rFonts w:ascii="Palatino Linotype" w:hAnsi="Palatino Linotype" w:cs="Tahoma"/>
        </w:rPr>
      </w:pPr>
    </w:p>
    <w:p w14:paraId="3EA49419"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Por todo lo anterior, recalco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4AD251AE" w14:textId="77777777" w:rsidR="00796F78" w:rsidRDefault="00796F78" w:rsidP="00796F78">
      <w:pPr>
        <w:spacing w:after="0" w:line="360" w:lineRule="auto"/>
        <w:jc w:val="both"/>
        <w:rPr>
          <w:rFonts w:ascii="Palatino Linotype" w:hAnsi="Palatino Linotype" w:cs="Tahoma"/>
        </w:rPr>
      </w:pPr>
    </w:p>
    <w:p w14:paraId="01946ECF" w14:textId="77777777" w:rsidR="00796F78" w:rsidRDefault="00796F78" w:rsidP="00796F78">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7F74EB95" w14:textId="77777777" w:rsidR="00E95351" w:rsidRDefault="00E95351" w:rsidP="00796F78">
      <w:pPr>
        <w:spacing w:after="0" w:line="360" w:lineRule="auto"/>
        <w:jc w:val="both"/>
        <w:rPr>
          <w:rFonts w:ascii="Palatino Linotype" w:hAnsi="Palatino Linotype" w:cs="Tahoma"/>
          <w:lang w:val="es-MX"/>
        </w:rPr>
      </w:pPr>
    </w:p>
    <w:p w14:paraId="6BF25562" w14:textId="77777777" w:rsidR="00E95351" w:rsidRDefault="00E95351" w:rsidP="00796F78">
      <w:pPr>
        <w:spacing w:after="0" w:line="360" w:lineRule="auto"/>
        <w:jc w:val="both"/>
        <w:rPr>
          <w:rFonts w:ascii="Palatino Linotype" w:hAnsi="Palatino Linotype" w:cs="Tahoma"/>
          <w:lang w:val="es-MX"/>
        </w:rPr>
      </w:pPr>
    </w:p>
    <w:p w14:paraId="23543684" w14:textId="77777777" w:rsidR="00E95351" w:rsidRDefault="00E95351" w:rsidP="00796F78">
      <w:pPr>
        <w:spacing w:after="0" w:line="360" w:lineRule="auto"/>
        <w:jc w:val="both"/>
        <w:rPr>
          <w:rFonts w:ascii="Palatino Linotype" w:hAnsi="Palatino Linotype" w:cs="Tahoma"/>
          <w:lang w:val="es-MX"/>
        </w:rPr>
      </w:pPr>
    </w:p>
    <w:p w14:paraId="7E10E122" w14:textId="77777777" w:rsidR="00E95351" w:rsidRDefault="00E95351" w:rsidP="00796F78">
      <w:pPr>
        <w:spacing w:after="0" w:line="360" w:lineRule="auto"/>
        <w:jc w:val="both"/>
        <w:rPr>
          <w:rFonts w:ascii="Palatino Linotype" w:hAnsi="Palatino Linotype" w:cs="Tahoma"/>
          <w:lang w:val="es-MX"/>
        </w:rPr>
      </w:pPr>
    </w:p>
    <w:p w14:paraId="7199AF35" w14:textId="77777777" w:rsidR="00E95351" w:rsidRDefault="00E95351" w:rsidP="00796F78">
      <w:pPr>
        <w:spacing w:after="0" w:line="360" w:lineRule="auto"/>
        <w:jc w:val="both"/>
        <w:rPr>
          <w:rFonts w:ascii="Palatino Linotype" w:hAnsi="Palatino Linotype" w:cs="Tahoma"/>
          <w:lang w:val="es-MX"/>
        </w:rPr>
      </w:pPr>
    </w:p>
    <w:p w14:paraId="45F8B2B4" w14:textId="77777777" w:rsidR="00E95351" w:rsidRDefault="00E95351" w:rsidP="00796F78">
      <w:pPr>
        <w:spacing w:after="0" w:line="360" w:lineRule="auto"/>
        <w:jc w:val="both"/>
        <w:rPr>
          <w:rFonts w:ascii="Palatino Linotype" w:hAnsi="Palatino Linotype" w:cs="Tahoma"/>
          <w:lang w:val="es-MX"/>
        </w:rPr>
      </w:pPr>
    </w:p>
    <w:p w14:paraId="3A1A42CA" w14:textId="77777777" w:rsidR="00E95351" w:rsidRDefault="00E95351" w:rsidP="00796F78">
      <w:pPr>
        <w:spacing w:after="0" w:line="360" w:lineRule="auto"/>
        <w:jc w:val="both"/>
        <w:rPr>
          <w:rFonts w:ascii="Palatino Linotype" w:hAnsi="Palatino Linotype" w:cs="Tahoma"/>
          <w:lang w:val="es-MX"/>
        </w:rPr>
      </w:pPr>
    </w:p>
    <w:p w14:paraId="1ED13B78" w14:textId="77777777" w:rsidR="00E95351" w:rsidRDefault="00E95351" w:rsidP="00796F78">
      <w:pPr>
        <w:spacing w:after="0" w:line="360" w:lineRule="auto"/>
        <w:jc w:val="both"/>
        <w:rPr>
          <w:rFonts w:ascii="Palatino Linotype" w:hAnsi="Palatino Linotype" w:cs="Tahoma"/>
          <w:lang w:val="es-MX"/>
        </w:rPr>
      </w:pPr>
    </w:p>
    <w:p w14:paraId="3521D1E6" w14:textId="77777777" w:rsidR="00E95351" w:rsidRDefault="00E95351" w:rsidP="00796F78">
      <w:pPr>
        <w:spacing w:after="0" w:line="360" w:lineRule="auto"/>
        <w:jc w:val="both"/>
        <w:rPr>
          <w:rFonts w:ascii="Palatino Linotype" w:hAnsi="Palatino Linotype" w:cs="Tahoma"/>
          <w:lang w:val="es-MX"/>
        </w:rPr>
      </w:pPr>
    </w:p>
    <w:p w14:paraId="1DFBC813" w14:textId="77777777" w:rsidR="00E95351" w:rsidRDefault="00E95351" w:rsidP="00796F78">
      <w:pPr>
        <w:spacing w:after="0" w:line="360" w:lineRule="auto"/>
        <w:jc w:val="both"/>
        <w:rPr>
          <w:rFonts w:ascii="Palatino Linotype" w:hAnsi="Palatino Linotype" w:cs="Tahoma"/>
          <w:lang w:val="es-MX"/>
        </w:rPr>
      </w:pPr>
    </w:p>
    <w:p w14:paraId="66092614" w14:textId="77777777" w:rsidR="00E95351" w:rsidRDefault="00E95351" w:rsidP="00796F78">
      <w:pPr>
        <w:spacing w:after="0" w:line="360" w:lineRule="auto"/>
        <w:jc w:val="both"/>
        <w:rPr>
          <w:rFonts w:ascii="Palatino Linotype" w:hAnsi="Palatino Linotype" w:cs="Tahoma"/>
          <w:lang w:val="es-MX"/>
        </w:rPr>
      </w:pPr>
    </w:p>
    <w:p w14:paraId="045C306E" w14:textId="77777777" w:rsidR="00E95351" w:rsidRDefault="00E95351" w:rsidP="00796F78">
      <w:pPr>
        <w:spacing w:after="0" w:line="360" w:lineRule="auto"/>
        <w:jc w:val="both"/>
        <w:rPr>
          <w:rFonts w:ascii="Palatino Linotype" w:hAnsi="Palatino Linotype" w:cs="Tahoma"/>
          <w:lang w:val="es-MX"/>
        </w:rPr>
      </w:pPr>
    </w:p>
    <w:p w14:paraId="158EDCD8" w14:textId="77777777" w:rsidR="00E95351" w:rsidRDefault="00E95351" w:rsidP="00796F78">
      <w:pPr>
        <w:spacing w:after="0" w:line="360" w:lineRule="auto"/>
        <w:jc w:val="both"/>
        <w:rPr>
          <w:rFonts w:ascii="Palatino Linotype" w:hAnsi="Palatino Linotype" w:cs="Tahoma"/>
          <w:lang w:val="es-MX"/>
        </w:rPr>
      </w:pPr>
    </w:p>
    <w:p w14:paraId="37E31999" w14:textId="77777777" w:rsidR="00E95351" w:rsidRDefault="00E95351" w:rsidP="00796F78">
      <w:pPr>
        <w:spacing w:after="0" w:line="360" w:lineRule="auto"/>
        <w:jc w:val="both"/>
        <w:rPr>
          <w:rFonts w:ascii="Palatino Linotype" w:hAnsi="Palatino Linotype" w:cs="Tahoma"/>
          <w:lang w:val="es-MX"/>
        </w:rPr>
      </w:pPr>
    </w:p>
    <w:p w14:paraId="79F0DB51" w14:textId="77777777" w:rsidR="00E95351" w:rsidRDefault="00E95351" w:rsidP="00796F78">
      <w:pPr>
        <w:spacing w:after="0" w:line="360" w:lineRule="auto"/>
        <w:jc w:val="both"/>
        <w:rPr>
          <w:rFonts w:ascii="Palatino Linotype" w:hAnsi="Palatino Linotype" w:cs="Tahoma"/>
          <w:lang w:val="es-MX"/>
        </w:rPr>
      </w:pPr>
    </w:p>
    <w:p w14:paraId="1FB1855D" w14:textId="77777777" w:rsidR="00E95351" w:rsidRDefault="00E95351" w:rsidP="00796F78">
      <w:pPr>
        <w:spacing w:after="0" w:line="360" w:lineRule="auto"/>
        <w:jc w:val="both"/>
        <w:rPr>
          <w:rFonts w:ascii="Palatino Linotype" w:hAnsi="Palatino Linotype" w:cs="Tahoma"/>
          <w:lang w:val="es-MX"/>
        </w:rPr>
      </w:pPr>
    </w:p>
    <w:p w14:paraId="166E4A29" w14:textId="77777777" w:rsidR="00E95351" w:rsidRDefault="00E95351" w:rsidP="00796F78">
      <w:pPr>
        <w:spacing w:after="0" w:line="360" w:lineRule="auto"/>
        <w:jc w:val="both"/>
        <w:rPr>
          <w:rFonts w:ascii="Palatino Linotype" w:hAnsi="Palatino Linotype" w:cs="Tahoma"/>
          <w:lang w:val="es-MX"/>
        </w:rPr>
      </w:pPr>
    </w:p>
    <w:p w14:paraId="7B4C2B0B" w14:textId="77777777" w:rsidR="00E95351" w:rsidRDefault="00E95351" w:rsidP="00796F78">
      <w:pPr>
        <w:spacing w:after="0" w:line="360" w:lineRule="auto"/>
        <w:jc w:val="both"/>
        <w:rPr>
          <w:rFonts w:ascii="Palatino Linotype" w:hAnsi="Palatino Linotype" w:cs="Tahoma"/>
          <w:lang w:val="es-MX"/>
        </w:rPr>
      </w:pPr>
    </w:p>
    <w:p w14:paraId="3BA8C680" w14:textId="77777777" w:rsidR="00E95351" w:rsidRDefault="00E95351" w:rsidP="00796F78">
      <w:pPr>
        <w:spacing w:after="0" w:line="360" w:lineRule="auto"/>
        <w:jc w:val="both"/>
        <w:rPr>
          <w:rFonts w:ascii="Palatino Linotype" w:hAnsi="Palatino Linotype" w:cs="Tahoma"/>
          <w:lang w:val="es-MX"/>
        </w:rPr>
      </w:pPr>
    </w:p>
    <w:p w14:paraId="5FE3B8B4" w14:textId="77777777" w:rsidR="00E95351" w:rsidRPr="00DF675F" w:rsidRDefault="00E95351" w:rsidP="00796F78">
      <w:pPr>
        <w:spacing w:after="0" w:line="360" w:lineRule="auto"/>
        <w:jc w:val="both"/>
        <w:rPr>
          <w:rFonts w:ascii="Palatino Linotype" w:hAnsi="Palatino Linotype" w:cs="Tahoma"/>
        </w:rPr>
      </w:pPr>
    </w:p>
    <w:p w14:paraId="366BB292" w14:textId="77777777" w:rsidR="00796F78" w:rsidRDefault="00796F78" w:rsidP="00796F78">
      <w:pPr>
        <w:spacing w:after="0" w:line="360" w:lineRule="auto"/>
        <w:jc w:val="both"/>
        <w:rPr>
          <w:rFonts w:ascii="Palatino Linotype" w:hAnsi="Palatino Linotype" w:cs="Tahoma"/>
        </w:rPr>
      </w:pPr>
    </w:p>
    <w:p w14:paraId="5CAE6DCB" w14:textId="77777777" w:rsidR="00796F78" w:rsidRDefault="00796F78" w:rsidP="00796F78">
      <w:pPr>
        <w:spacing w:after="0" w:line="360" w:lineRule="auto"/>
        <w:jc w:val="both"/>
        <w:rPr>
          <w:rFonts w:ascii="Palatino Linotype" w:hAnsi="Palatino Linotype" w:cs="Tahoma"/>
        </w:rPr>
      </w:pPr>
    </w:p>
    <w:p w14:paraId="2BC18207" w14:textId="77777777" w:rsidR="00796F78" w:rsidRPr="000C73AC" w:rsidRDefault="00796F78" w:rsidP="00C169ED">
      <w:pPr>
        <w:tabs>
          <w:tab w:val="left" w:pos="1843"/>
        </w:tabs>
        <w:spacing w:after="0" w:line="360" w:lineRule="auto"/>
        <w:jc w:val="both"/>
        <w:rPr>
          <w:rFonts w:ascii="Palatino Linotype" w:hAnsi="Palatino Linotype" w:cs="Tahoma"/>
        </w:rPr>
      </w:pPr>
    </w:p>
    <w:sectPr w:rsidR="00796F78" w:rsidRPr="000C73AC" w:rsidSect="00C25D84">
      <w:headerReference w:type="default" r:id="rId8"/>
      <w:footerReference w:type="default" r:id="rId9"/>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0FE56" w14:textId="77777777" w:rsidR="00196347" w:rsidRDefault="00196347" w:rsidP="00A80C30">
      <w:pPr>
        <w:spacing w:after="0" w:line="240" w:lineRule="auto"/>
      </w:pPr>
      <w:r>
        <w:separator/>
      </w:r>
    </w:p>
  </w:endnote>
  <w:endnote w:type="continuationSeparator" w:id="0">
    <w:p w14:paraId="58ED5D0B" w14:textId="77777777" w:rsidR="00196347" w:rsidRDefault="0019634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400AB">
              <w:rPr>
                <w:b/>
                <w:bCs/>
                <w:noProof/>
              </w:rPr>
              <w:t>17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400AB">
              <w:rPr>
                <w:b/>
                <w:bCs/>
                <w:noProof/>
              </w:rPr>
              <w:t>18</w:t>
            </w:r>
            <w:r>
              <w:rPr>
                <w:b/>
                <w:bCs/>
                <w:sz w:val="24"/>
                <w:szCs w:val="24"/>
              </w:rPr>
              <w:fldChar w:fldCharType="end"/>
            </w:r>
          </w:p>
        </w:sdtContent>
      </w:sdt>
    </w:sdtContent>
  </w:sdt>
  <w:p w14:paraId="0581D3D8" w14:textId="77777777" w:rsidR="00AC333A" w:rsidRDefault="001963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D26F5" w14:textId="77777777" w:rsidR="00196347" w:rsidRDefault="00196347" w:rsidP="00A80C30">
      <w:pPr>
        <w:spacing w:after="0" w:line="240" w:lineRule="auto"/>
      </w:pPr>
      <w:r>
        <w:separator/>
      </w:r>
    </w:p>
  </w:footnote>
  <w:footnote w:type="continuationSeparator" w:id="0">
    <w:p w14:paraId="0AF810B6" w14:textId="77777777" w:rsidR="00196347" w:rsidRDefault="00196347"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77694E"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DD17548" w14:textId="5A4DA535" w:rsidR="00D84731" w:rsidRDefault="001F75E5" w:rsidP="00B95CE5">
          <w:pPr>
            <w:pStyle w:val="Encabezado"/>
            <w:ind w:left="2018" w:right="37" w:hanging="2126"/>
            <w:rPr>
              <w:rFonts w:ascii="Palatino Linotype" w:hAnsi="Palatino Linotype"/>
              <w:lang w:val="es-MX"/>
            </w:rPr>
          </w:pPr>
          <w:r w:rsidRPr="00B9745A">
            <w:rPr>
              <w:rFonts w:ascii="Palatino Linotype" w:hAnsi="Palatino Linotype" w:cs="Tahoma"/>
              <w:b/>
            </w:rPr>
            <w:t xml:space="preserve">Recurso de Revisión: </w:t>
          </w:r>
          <w:r w:rsidR="00B95CE5" w:rsidRPr="00B95CE5">
            <w:rPr>
              <w:rFonts w:ascii="Palatino Linotype" w:hAnsi="Palatino Linotype"/>
              <w:lang w:val="es-MX"/>
            </w:rPr>
            <w:t xml:space="preserve">00092/INFOEM/IP/RR/2023 y </w:t>
          </w:r>
          <w:r w:rsidR="00B95CE5">
            <w:rPr>
              <w:rFonts w:ascii="Palatino Linotype" w:hAnsi="Palatino Linotype"/>
              <w:lang w:val="es-MX"/>
            </w:rPr>
            <w:t xml:space="preserve">      </w:t>
          </w:r>
          <w:r w:rsidR="00B95CE5" w:rsidRPr="00B95CE5">
            <w:rPr>
              <w:rFonts w:ascii="Palatino Linotype" w:hAnsi="Palatino Linotype"/>
              <w:lang w:val="es-MX"/>
            </w:rPr>
            <w:t>Acumulados</w:t>
          </w:r>
        </w:p>
        <w:p w14:paraId="2336ABAD" w14:textId="45D1E41C"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B95CE5" w:rsidRPr="00B95CE5">
            <w:rPr>
              <w:rFonts w:ascii="Palatino Linotype" w:hAnsi="Palatino Linotype"/>
              <w:bCs/>
              <w:lang w:val="es-MX"/>
            </w:rPr>
            <w:t>Ayuntamiento de Zinacantepec</w:t>
          </w:r>
        </w:p>
        <w:p w14:paraId="39702EE3" w14:textId="682A4C56" w:rsidR="00285C7B" w:rsidRPr="00285C7B" w:rsidRDefault="001F75E5" w:rsidP="0005623D">
          <w:pPr>
            <w:pStyle w:val="Encabezado"/>
            <w:ind w:left="-108" w:right="-250"/>
            <w:jc w:val="both"/>
            <w:rPr>
              <w:rFonts w:ascii="Palatino Linotype" w:hAnsi="Palatino Linotype"/>
              <w:bCs/>
              <w:lang w:val="es-ES_tradnl"/>
            </w:rPr>
          </w:pPr>
          <w:r w:rsidRPr="00B9745A">
            <w:rPr>
              <w:rFonts w:ascii="Palatino Linotype" w:hAnsi="Palatino Linotype" w:cs="Tahoma"/>
              <w:b/>
            </w:rPr>
            <w:t>Comisionado Ponente:</w:t>
          </w:r>
          <w:r w:rsidR="00741121">
            <w:rPr>
              <w:rFonts w:ascii="Palatino Linotype" w:hAnsi="Palatino Linotype" w:cs="Tahoma"/>
              <w:b/>
            </w:rPr>
            <w:t xml:space="preserve"> </w:t>
          </w:r>
          <w:r w:rsidR="00D84731" w:rsidRPr="00D84731">
            <w:rPr>
              <w:rFonts w:ascii="Palatino Linotype" w:hAnsi="Palatino Linotype" w:cs="Tahoma"/>
              <w:b/>
            </w:rPr>
            <w:t>Sharon Cristina Morales Martínez</w:t>
          </w:r>
        </w:p>
      </w:tc>
    </w:tr>
  </w:tbl>
  <w:p w14:paraId="2AD8A022" w14:textId="08E498F4" w:rsidR="00D55429" w:rsidRPr="001106EA" w:rsidRDefault="0019634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4038"/>
    <w:rsid w:val="0005623D"/>
    <w:rsid w:val="00082310"/>
    <w:rsid w:val="000B2304"/>
    <w:rsid w:val="000C53FC"/>
    <w:rsid w:val="000D2D8D"/>
    <w:rsid w:val="00100065"/>
    <w:rsid w:val="00102604"/>
    <w:rsid w:val="00196347"/>
    <w:rsid w:val="001971A0"/>
    <w:rsid w:val="001D76A9"/>
    <w:rsid w:val="001F75E5"/>
    <w:rsid w:val="00265C6F"/>
    <w:rsid w:val="00283E3E"/>
    <w:rsid w:val="00285C7B"/>
    <w:rsid w:val="00292879"/>
    <w:rsid w:val="00294D8B"/>
    <w:rsid w:val="002A6749"/>
    <w:rsid w:val="002D6AB3"/>
    <w:rsid w:val="00304A0F"/>
    <w:rsid w:val="00314859"/>
    <w:rsid w:val="00333077"/>
    <w:rsid w:val="0033747D"/>
    <w:rsid w:val="0034226E"/>
    <w:rsid w:val="00375D26"/>
    <w:rsid w:val="00392841"/>
    <w:rsid w:val="003E56C5"/>
    <w:rsid w:val="003F4334"/>
    <w:rsid w:val="00412069"/>
    <w:rsid w:val="0043082D"/>
    <w:rsid w:val="004412C6"/>
    <w:rsid w:val="004504B2"/>
    <w:rsid w:val="004738C3"/>
    <w:rsid w:val="00486BD3"/>
    <w:rsid w:val="00494387"/>
    <w:rsid w:val="004A39A5"/>
    <w:rsid w:val="004A7A76"/>
    <w:rsid w:val="004B57D3"/>
    <w:rsid w:val="004C0D87"/>
    <w:rsid w:val="004C7D91"/>
    <w:rsid w:val="004D26F6"/>
    <w:rsid w:val="00506560"/>
    <w:rsid w:val="00506AB5"/>
    <w:rsid w:val="00506F7F"/>
    <w:rsid w:val="005303B4"/>
    <w:rsid w:val="00530B56"/>
    <w:rsid w:val="00533E57"/>
    <w:rsid w:val="005400AB"/>
    <w:rsid w:val="00541BAC"/>
    <w:rsid w:val="00541E89"/>
    <w:rsid w:val="00543C9A"/>
    <w:rsid w:val="00562BF3"/>
    <w:rsid w:val="005701A9"/>
    <w:rsid w:val="00597276"/>
    <w:rsid w:val="005974CA"/>
    <w:rsid w:val="005D1F14"/>
    <w:rsid w:val="005F4A99"/>
    <w:rsid w:val="005F4D1D"/>
    <w:rsid w:val="00601591"/>
    <w:rsid w:val="006108EA"/>
    <w:rsid w:val="00624038"/>
    <w:rsid w:val="006408E2"/>
    <w:rsid w:val="00644AB7"/>
    <w:rsid w:val="0064790E"/>
    <w:rsid w:val="00654DC8"/>
    <w:rsid w:val="00657B98"/>
    <w:rsid w:val="0067637D"/>
    <w:rsid w:val="00684986"/>
    <w:rsid w:val="00690441"/>
    <w:rsid w:val="006A1343"/>
    <w:rsid w:val="006C2B09"/>
    <w:rsid w:val="006C667E"/>
    <w:rsid w:val="006C6E07"/>
    <w:rsid w:val="00716333"/>
    <w:rsid w:val="00736F3A"/>
    <w:rsid w:val="00741121"/>
    <w:rsid w:val="00744957"/>
    <w:rsid w:val="00756729"/>
    <w:rsid w:val="007772D6"/>
    <w:rsid w:val="00796F78"/>
    <w:rsid w:val="007A518E"/>
    <w:rsid w:val="007B18BB"/>
    <w:rsid w:val="007C1B79"/>
    <w:rsid w:val="007F32AC"/>
    <w:rsid w:val="00821FDE"/>
    <w:rsid w:val="00823E1B"/>
    <w:rsid w:val="0083177F"/>
    <w:rsid w:val="00833C20"/>
    <w:rsid w:val="00842979"/>
    <w:rsid w:val="00845ECF"/>
    <w:rsid w:val="008504E7"/>
    <w:rsid w:val="008755DA"/>
    <w:rsid w:val="008B7F1F"/>
    <w:rsid w:val="008D717F"/>
    <w:rsid w:val="008D73ED"/>
    <w:rsid w:val="008E2746"/>
    <w:rsid w:val="008F78B8"/>
    <w:rsid w:val="00911794"/>
    <w:rsid w:val="00913F1E"/>
    <w:rsid w:val="00922026"/>
    <w:rsid w:val="00922B2C"/>
    <w:rsid w:val="00940C65"/>
    <w:rsid w:val="00940F06"/>
    <w:rsid w:val="00960C5A"/>
    <w:rsid w:val="00961702"/>
    <w:rsid w:val="00965F78"/>
    <w:rsid w:val="00993DCD"/>
    <w:rsid w:val="009B3CA8"/>
    <w:rsid w:val="009C6B45"/>
    <w:rsid w:val="009D0346"/>
    <w:rsid w:val="009F23B2"/>
    <w:rsid w:val="00A17F80"/>
    <w:rsid w:val="00A20723"/>
    <w:rsid w:val="00A21473"/>
    <w:rsid w:val="00A223B4"/>
    <w:rsid w:val="00A445FE"/>
    <w:rsid w:val="00A45CE5"/>
    <w:rsid w:val="00A54CCC"/>
    <w:rsid w:val="00A63781"/>
    <w:rsid w:val="00A80C30"/>
    <w:rsid w:val="00A9782A"/>
    <w:rsid w:val="00AF77D3"/>
    <w:rsid w:val="00B43526"/>
    <w:rsid w:val="00B55282"/>
    <w:rsid w:val="00B66738"/>
    <w:rsid w:val="00B80272"/>
    <w:rsid w:val="00B95CE5"/>
    <w:rsid w:val="00B97D65"/>
    <w:rsid w:val="00BA54EE"/>
    <w:rsid w:val="00BB6D49"/>
    <w:rsid w:val="00BF1992"/>
    <w:rsid w:val="00C00E77"/>
    <w:rsid w:val="00C078C5"/>
    <w:rsid w:val="00C169ED"/>
    <w:rsid w:val="00C25D84"/>
    <w:rsid w:val="00C60C1A"/>
    <w:rsid w:val="00C75F6B"/>
    <w:rsid w:val="00C909C3"/>
    <w:rsid w:val="00C90F81"/>
    <w:rsid w:val="00CA7C0E"/>
    <w:rsid w:val="00CB36F3"/>
    <w:rsid w:val="00CC3620"/>
    <w:rsid w:val="00CD7496"/>
    <w:rsid w:val="00CD7937"/>
    <w:rsid w:val="00CE2AE0"/>
    <w:rsid w:val="00D257CB"/>
    <w:rsid w:val="00D405FF"/>
    <w:rsid w:val="00D51BFD"/>
    <w:rsid w:val="00D52CD2"/>
    <w:rsid w:val="00D6254E"/>
    <w:rsid w:val="00D84731"/>
    <w:rsid w:val="00DB121C"/>
    <w:rsid w:val="00DC0395"/>
    <w:rsid w:val="00DC371B"/>
    <w:rsid w:val="00DD00FF"/>
    <w:rsid w:val="00DD5D61"/>
    <w:rsid w:val="00DE09ED"/>
    <w:rsid w:val="00DF6CF9"/>
    <w:rsid w:val="00E272B4"/>
    <w:rsid w:val="00E43FEA"/>
    <w:rsid w:val="00E46405"/>
    <w:rsid w:val="00E6401F"/>
    <w:rsid w:val="00E67710"/>
    <w:rsid w:val="00E678EF"/>
    <w:rsid w:val="00E7322A"/>
    <w:rsid w:val="00E878DE"/>
    <w:rsid w:val="00E95351"/>
    <w:rsid w:val="00EA3C29"/>
    <w:rsid w:val="00EB135A"/>
    <w:rsid w:val="00ED1A0E"/>
    <w:rsid w:val="00F03166"/>
    <w:rsid w:val="00F1426D"/>
    <w:rsid w:val="00F34C61"/>
    <w:rsid w:val="00F35BFB"/>
    <w:rsid w:val="00F66D37"/>
    <w:rsid w:val="00F679CC"/>
    <w:rsid w:val="00F82C0C"/>
    <w:rsid w:val="00F84B95"/>
    <w:rsid w:val="00FB560A"/>
    <w:rsid w:val="00FB6623"/>
    <w:rsid w:val="00FC3DE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404C-D88B-495C-ACB6-8F874B87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4922</Words>
  <Characters>27071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4</cp:revision>
  <cp:lastPrinted>2023-01-16T17:11:00Z</cp:lastPrinted>
  <dcterms:created xsi:type="dcterms:W3CDTF">2023-08-18T18:21:00Z</dcterms:created>
  <dcterms:modified xsi:type="dcterms:W3CDTF">2023-08-21T15:19:00Z</dcterms:modified>
</cp:coreProperties>
</file>