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6E62" w:rsidRDefault="000626A1" w:rsidP="00AA74C8">
      <w:pPr>
        <w:spacing w:before="240" w:after="240" w:line="360" w:lineRule="auto"/>
        <w:ind w:right="142"/>
        <w:contextualSpacing/>
        <w:jc w:val="both"/>
        <w:rPr>
          <w:rFonts w:ascii="Palatino Linotype" w:eastAsia="Palatino Linotype" w:hAnsi="Palatino Linotype" w:cs="Palatino Linotype"/>
          <w:b/>
          <w:sz w:val="24"/>
          <w:szCs w:val="24"/>
        </w:rPr>
      </w:pPr>
      <w:bookmarkStart w:id="0" w:name="_heading=h.gjdgxs" w:colFirst="0" w:colLast="0"/>
      <w:bookmarkEnd w:id="0"/>
      <w:r>
        <w:rPr>
          <w:rFonts w:ascii="Palatino Linotype" w:eastAsia="Palatino Linotype" w:hAnsi="Palatino Linotype" w:cs="Palatino Linotype"/>
          <w:b/>
          <w:sz w:val="24"/>
          <w:szCs w:val="24"/>
        </w:rPr>
        <w:t xml:space="preserve">VOTO PARTICULAR CONCURRENTE QUE FORMULAN LAS COMISIONADAS GUADALUPE RAMÍREZ PEÑA Y SHARON CRISTINA MORALES MARTÍNEZ, EN RELACIÓN CON LA RESOLUCIÓN DICTADA POR EL PLENO DEL INSTITUTO DE TRANSPARENCIA, ACCESO A LA INFORMACIÓN PÚBLICA Y PROTECCIÓN DE DATOS PERSONALES DEL ESTADO DE MÉXICO Y MUNICIPIOS, EN LA </w:t>
      </w:r>
      <w:r w:rsidR="00D97AB5">
        <w:rPr>
          <w:rFonts w:ascii="Palatino Linotype" w:eastAsia="Palatino Linotype" w:hAnsi="Palatino Linotype" w:cs="Palatino Linotype"/>
          <w:b/>
          <w:sz w:val="24"/>
          <w:szCs w:val="24"/>
        </w:rPr>
        <w:t>CUART</w:t>
      </w:r>
      <w:r>
        <w:rPr>
          <w:rFonts w:ascii="Palatino Linotype" w:eastAsia="Palatino Linotype" w:hAnsi="Palatino Linotype" w:cs="Palatino Linotype"/>
          <w:b/>
          <w:sz w:val="24"/>
          <w:szCs w:val="24"/>
        </w:rPr>
        <w:t xml:space="preserve">A SESIÓN ORDINARIA CELEBRADA EL </w:t>
      </w:r>
      <w:r w:rsidR="00D97AB5">
        <w:rPr>
          <w:rFonts w:ascii="Palatino Linotype" w:eastAsia="Palatino Linotype" w:hAnsi="Palatino Linotype" w:cs="Palatino Linotype"/>
          <w:b/>
          <w:sz w:val="24"/>
          <w:szCs w:val="24"/>
        </w:rPr>
        <w:t>PIMERO</w:t>
      </w:r>
      <w:r>
        <w:rPr>
          <w:rFonts w:ascii="Palatino Linotype" w:eastAsia="Palatino Linotype" w:hAnsi="Palatino Linotype" w:cs="Palatino Linotype"/>
          <w:b/>
          <w:sz w:val="24"/>
          <w:szCs w:val="24"/>
        </w:rPr>
        <w:t xml:space="preserve"> DE </w:t>
      </w:r>
      <w:r w:rsidR="00D97AB5">
        <w:rPr>
          <w:rFonts w:ascii="Palatino Linotype" w:eastAsia="Palatino Linotype" w:hAnsi="Palatino Linotype" w:cs="Palatino Linotype"/>
          <w:b/>
          <w:sz w:val="24"/>
          <w:szCs w:val="24"/>
        </w:rPr>
        <w:t>FEBRE</w:t>
      </w:r>
      <w:r>
        <w:rPr>
          <w:rFonts w:ascii="Palatino Linotype" w:eastAsia="Palatino Linotype" w:hAnsi="Palatino Linotype" w:cs="Palatino Linotype"/>
          <w:b/>
          <w:sz w:val="24"/>
          <w:szCs w:val="24"/>
        </w:rPr>
        <w:t>RO DE DOS MIL</w:t>
      </w:r>
      <w:r w:rsidR="00781259">
        <w:rPr>
          <w:rFonts w:ascii="Palatino Linotype" w:eastAsia="Palatino Linotype" w:hAnsi="Palatino Linotype" w:cs="Palatino Linotype"/>
          <w:b/>
          <w:sz w:val="24"/>
          <w:szCs w:val="24"/>
        </w:rPr>
        <w:t xml:space="preserve"> </w:t>
      </w:r>
      <w:r w:rsidR="00781259" w:rsidRPr="00781259">
        <w:rPr>
          <w:rFonts w:ascii="Palatino Linotype" w:eastAsia="Palatino Linotype" w:hAnsi="Palatino Linotype" w:cs="Palatino Linotype"/>
          <w:b/>
          <w:sz w:val="24"/>
          <w:szCs w:val="24"/>
        </w:rPr>
        <w:t>VEINTITRÉS</w:t>
      </w:r>
      <w:r w:rsidRPr="00781259">
        <w:rPr>
          <w:rFonts w:ascii="Palatino Linotype" w:eastAsia="Palatino Linotype" w:hAnsi="Palatino Linotype" w:cs="Palatino Linotype"/>
          <w:b/>
          <w:sz w:val="24"/>
          <w:szCs w:val="24"/>
        </w:rPr>
        <w:t>, EN</w:t>
      </w:r>
      <w:r>
        <w:rPr>
          <w:rFonts w:ascii="Palatino Linotype" w:eastAsia="Palatino Linotype" w:hAnsi="Palatino Linotype" w:cs="Palatino Linotype"/>
          <w:b/>
          <w:sz w:val="24"/>
          <w:szCs w:val="24"/>
        </w:rPr>
        <w:t xml:space="preserve"> EL RECURSO DE REVISIÓN 1</w:t>
      </w:r>
      <w:r w:rsidR="00D97AB5">
        <w:rPr>
          <w:rFonts w:ascii="Palatino Linotype" w:eastAsia="Palatino Linotype" w:hAnsi="Palatino Linotype" w:cs="Palatino Linotype"/>
          <w:b/>
          <w:sz w:val="24"/>
          <w:szCs w:val="24"/>
        </w:rPr>
        <w:t>0476</w:t>
      </w:r>
      <w:r>
        <w:rPr>
          <w:rFonts w:ascii="Palatino Linotype" w:eastAsia="Palatino Linotype" w:hAnsi="Palatino Linotype" w:cs="Palatino Linotype"/>
          <w:b/>
          <w:sz w:val="24"/>
          <w:szCs w:val="24"/>
        </w:rPr>
        <w:t>/INFOEM/IP/RR/2022.</w:t>
      </w:r>
    </w:p>
    <w:p w:rsidR="00AA74C8" w:rsidRDefault="00AA74C8" w:rsidP="00AA74C8">
      <w:pPr>
        <w:spacing w:before="240" w:after="240" w:line="360" w:lineRule="auto"/>
        <w:ind w:right="142"/>
        <w:contextualSpacing/>
        <w:jc w:val="both"/>
        <w:rPr>
          <w:rFonts w:ascii="Palatino Linotype" w:eastAsia="Palatino Linotype" w:hAnsi="Palatino Linotype" w:cs="Palatino Linotype"/>
          <w:b/>
          <w:sz w:val="24"/>
          <w:szCs w:val="24"/>
        </w:rPr>
      </w:pPr>
    </w:p>
    <w:p w:rsidR="008B6E62" w:rsidRDefault="000626A1" w:rsidP="00AA74C8">
      <w:pPr>
        <w:spacing w:before="240" w:after="240" w:line="360" w:lineRule="auto"/>
        <w:ind w:right="142"/>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Con fundamento en lo dispuesto por el artículo 14, fracciones X y XI, del Reglamento del Instituto de Transparencia, Acceso a la Información Pública y Protección de Datos Personales del Estado de México y Municipios, las que suscriben </w:t>
      </w:r>
      <w:r>
        <w:rPr>
          <w:rFonts w:ascii="Palatino Linotype" w:eastAsia="Palatino Linotype" w:hAnsi="Palatino Linotype" w:cs="Palatino Linotype"/>
          <w:b/>
          <w:sz w:val="24"/>
          <w:szCs w:val="24"/>
        </w:rPr>
        <w:t xml:space="preserve">GUADALUPE RAMÍREZ PEÑA </w:t>
      </w:r>
      <w:r>
        <w:rPr>
          <w:rFonts w:ascii="Palatino Linotype" w:eastAsia="Palatino Linotype" w:hAnsi="Palatino Linotype" w:cs="Palatino Linotype"/>
          <w:sz w:val="24"/>
          <w:szCs w:val="24"/>
        </w:rPr>
        <w:t>y</w:t>
      </w:r>
      <w:r>
        <w:rPr>
          <w:sz w:val="24"/>
          <w:szCs w:val="24"/>
        </w:rPr>
        <w:t xml:space="preserve"> </w:t>
      </w:r>
      <w:r>
        <w:rPr>
          <w:rFonts w:ascii="Palatino Linotype" w:eastAsia="Palatino Linotype" w:hAnsi="Palatino Linotype" w:cs="Palatino Linotype"/>
          <w:b/>
          <w:sz w:val="24"/>
          <w:szCs w:val="24"/>
        </w:rPr>
        <w:t xml:space="preserve">SHARON CRISTINA MORALES MARTÍNEZ, </w:t>
      </w:r>
      <w:r>
        <w:rPr>
          <w:rFonts w:ascii="Palatino Linotype" w:eastAsia="Palatino Linotype" w:hAnsi="Palatino Linotype" w:cs="Palatino Linotype"/>
          <w:sz w:val="24"/>
          <w:szCs w:val="24"/>
        </w:rPr>
        <w:t xml:space="preserve">emiten </w:t>
      </w:r>
      <w:r>
        <w:rPr>
          <w:rFonts w:ascii="Palatino Linotype" w:eastAsia="Palatino Linotype" w:hAnsi="Palatino Linotype" w:cs="Palatino Linotype"/>
          <w:b/>
          <w:sz w:val="24"/>
          <w:szCs w:val="24"/>
        </w:rPr>
        <w:t>VOTO PARTICULAR CONCURRENTE</w:t>
      </w:r>
      <w:r>
        <w:rPr>
          <w:sz w:val="24"/>
          <w:szCs w:val="24"/>
        </w:rPr>
        <w:t xml:space="preserve"> </w:t>
      </w:r>
      <w:r>
        <w:rPr>
          <w:rFonts w:ascii="Palatino Linotype" w:eastAsia="Palatino Linotype" w:hAnsi="Palatino Linotype" w:cs="Palatino Linotype"/>
          <w:sz w:val="24"/>
          <w:szCs w:val="24"/>
        </w:rPr>
        <w:t xml:space="preserve">respecto a la resolución dictada en el recurso de revisión </w:t>
      </w:r>
      <w:r>
        <w:rPr>
          <w:rFonts w:ascii="Palatino Linotype" w:eastAsia="Palatino Linotype" w:hAnsi="Palatino Linotype" w:cs="Palatino Linotype"/>
          <w:b/>
          <w:sz w:val="24"/>
          <w:szCs w:val="24"/>
        </w:rPr>
        <w:t>1</w:t>
      </w:r>
      <w:r w:rsidR="00D97AB5">
        <w:rPr>
          <w:rFonts w:ascii="Palatino Linotype" w:eastAsia="Palatino Linotype" w:hAnsi="Palatino Linotype" w:cs="Palatino Linotype"/>
          <w:b/>
          <w:sz w:val="24"/>
          <w:szCs w:val="24"/>
        </w:rPr>
        <w:t>0476</w:t>
      </w:r>
      <w:r>
        <w:rPr>
          <w:rFonts w:ascii="Palatino Linotype" w:eastAsia="Palatino Linotype" w:hAnsi="Palatino Linotype" w:cs="Palatino Linotype"/>
          <w:b/>
          <w:sz w:val="24"/>
          <w:szCs w:val="24"/>
        </w:rPr>
        <w:t xml:space="preserve">/INFOEM/IP/RR/2022, </w:t>
      </w:r>
      <w:r>
        <w:rPr>
          <w:rFonts w:ascii="Palatino Linotype" w:eastAsia="Palatino Linotype" w:hAnsi="Palatino Linotype" w:cs="Palatino Linotype"/>
          <w:sz w:val="24"/>
          <w:szCs w:val="24"/>
        </w:rPr>
        <w:t>pronunciada por el Pleno de este Instituto an</w:t>
      </w:r>
      <w:r w:rsidR="00393C5A">
        <w:rPr>
          <w:rFonts w:ascii="Palatino Linotype" w:eastAsia="Palatino Linotype" w:hAnsi="Palatino Linotype" w:cs="Palatino Linotype"/>
          <w:sz w:val="24"/>
          <w:szCs w:val="24"/>
        </w:rPr>
        <w:t>te el proyecto presentado por el</w:t>
      </w:r>
      <w:r>
        <w:rPr>
          <w:rFonts w:ascii="Palatino Linotype" w:eastAsia="Palatino Linotype" w:hAnsi="Palatino Linotype" w:cs="Palatino Linotype"/>
          <w:sz w:val="24"/>
          <w:szCs w:val="24"/>
        </w:rPr>
        <w:t xml:space="preserve"> </w:t>
      </w:r>
      <w:r w:rsidR="00393C5A">
        <w:rPr>
          <w:rFonts w:ascii="Palatino Linotype" w:eastAsia="Palatino Linotype" w:hAnsi="Palatino Linotype" w:cs="Palatino Linotype"/>
          <w:b/>
          <w:sz w:val="24"/>
          <w:szCs w:val="24"/>
        </w:rPr>
        <w:t>Comisionado Luis Gustavo Parra Noriega</w:t>
      </w:r>
      <w:r>
        <w:rPr>
          <w:rFonts w:ascii="Palatino Linotype" w:eastAsia="Palatino Linotype" w:hAnsi="Palatino Linotype" w:cs="Palatino Linotype"/>
          <w:sz w:val="24"/>
          <w:szCs w:val="24"/>
        </w:rPr>
        <w:t xml:space="preserve">, el cual fue engrosado conforme al criterio de la mayoría del pleno, que es del tenor siguiente: </w:t>
      </w:r>
    </w:p>
    <w:p w:rsidR="00AA74C8" w:rsidRDefault="00AA74C8" w:rsidP="00AA74C8">
      <w:pPr>
        <w:spacing w:before="240" w:after="240" w:line="360" w:lineRule="auto"/>
        <w:ind w:right="142"/>
        <w:contextualSpacing/>
        <w:jc w:val="both"/>
        <w:rPr>
          <w:rFonts w:ascii="Palatino Linotype" w:eastAsia="Palatino Linotype" w:hAnsi="Palatino Linotype" w:cs="Palatino Linotype"/>
          <w:sz w:val="24"/>
          <w:szCs w:val="24"/>
        </w:rPr>
      </w:pPr>
    </w:p>
    <w:p w:rsidR="008B6E62" w:rsidRPr="00830025" w:rsidRDefault="000626A1" w:rsidP="00AA74C8">
      <w:pPr>
        <w:numPr>
          <w:ilvl w:val="0"/>
          <w:numId w:val="2"/>
        </w:numPr>
        <w:spacing w:before="240" w:after="240" w:line="360" w:lineRule="auto"/>
        <w:ind w:right="142"/>
        <w:contextualSpacing/>
        <w:jc w:val="both"/>
        <w:rPr>
          <w:rFonts w:ascii="Palatino Linotype" w:eastAsia="Palatino Linotype" w:hAnsi="Palatino Linotype" w:cs="Palatino Linotype"/>
          <w:sz w:val="24"/>
          <w:szCs w:val="24"/>
        </w:rPr>
      </w:pPr>
      <w:r w:rsidRPr="00830025">
        <w:rPr>
          <w:rFonts w:ascii="Palatino Linotype" w:eastAsia="Palatino Linotype" w:hAnsi="Palatino Linotype" w:cs="Palatino Linotype"/>
          <w:sz w:val="24"/>
          <w:szCs w:val="24"/>
        </w:rPr>
        <w:t>Antecedentes</w:t>
      </w:r>
    </w:p>
    <w:p w:rsidR="008B6E62" w:rsidRDefault="000626A1" w:rsidP="00AA74C8">
      <w:pPr>
        <w:spacing w:before="240" w:after="240" w:line="360" w:lineRule="auto"/>
        <w:ind w:right="142"/>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Es de destacar, que las suscritas comparten esencialmente el estudio realizado en la resolución del Recurso de Revisión; empero, estiman necesario precisar algunas consideraciones de hecho y de derecho, que debieron analizarse con mayor profundidad.</w:t>
      </w:r>
    </w:p>
    <w:p w:rsidR="00AA74C8" w:rsidRDefault="00AA74C8" w:rsidP="00AA74C8">
      <w:pPr>
        <w:spacing w:before="240" w:after="240" w:line="360" w:lineRule="auto"/>
        <w:ind w:right="142"/>
        <w:contextualSpacing/>
        <w:jc w:val="both"/>
        <w:rPr>
          <w:rFonts w:ascii="Palatino Linotype" w:eastAsia="Palatino Linotype" w:hAnsi="Palatino Linotype" w:cs="Palatino Linotype"/>
          <w:sz w:val="24"/>
          <w:szCs w:val="24"/>
        </w:rPr>
      </w:pPr>
    </w:p>
    <w:p w:rsidR="008B6E62" w:rsidRDefault="000626A1" w:rsidP="00AA74C8">
      <w:pPr>
        <w:spacing w:before="240" w:after="240" w:line="360" w:lineRule="auto"/>
        <w:ind w:right="142"/>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ese sentido, tal y como quedó debidamente asentado en la resolución, materia del presente voto concurrente, el particular requirió del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la entrega de lo siguiente:</w:t>
      </w:r>
    </w:p>
    <w:p w:rsidR="00AA74C8" w:rsidRDefault="00AA74C8" w:rsidP="00AA74C8">
      <w:pPr>
        <w:spacing w:before="240" w:after="240" w:line="360" w:lineRule="auto"/>
        <w:ind w:right="142"/>
        <w:contextualSpacing/>
        <w:jc w:val="both"/>
        <w:rPr>
          <w:rFonts w:ascii="Palatino Linotype" w:eastAsia="Palatino Linotype" w:hAnsi="Palatino Linotype" w:cs="Palatino Linotype"/>
          <w:sz w:val="24"/>
          <w:szCs w:val="24"/>
        </w:rPr>
      </w:pPr>
    </w:p>
    <w:p w:rsidR="008B6E62" w:rsidRDefault="000626A1">
      <w:pPr>
        <w:spacing w:before="240"/>
        <w:ind w:left="851" w:right="902"/>
        <w:jc w:val="both"/>
        <w:rPr>
          <w:rFonts w:ascii="Palatino Linotype" w:eastAsia="Palatino Linotype" w:hAnsi="Palatino Linotype" w:cs="Palatino Linotype"/>
          <w:i/>
        </w:rPr>
      </w:pPr>
      <w:r>
        <w:rPr>
          <w:rFonts w:ascii="Palatino Linotype" w:eastAsia="Palatino Linotype" w:hAnsi="Palatino Linotype" w:cs="Palatino Linotype"/>
        </w:rPr>
        <w:t>“</w:t>
      </w:r>
      <w:r w:rsidR="00D97AB5" w:rsidRPr="00D97AB5">
        <w:rPr>
          <w:rFonts w:ascii="Palatino Linotype" w:eastAsia="Palatino Linotype" w:hAnsi="Palatino Linotype" w:cs="Palatino Linotype"/>
          <w:i/>
        </w:rPr>
        <w:t>Solicito se me entregue toda la información relativa a las áreas de donación y/o de equipamiento urbano que se encuentren en la unidad habitacional denominada Unidad Magisterial 2000, misma que se localiza en el Municipio de Ecatepec de Morelos, Estado de México. En dicha información solicito se me haga entrega del acta de entrega recepción mediante la cual el Municipio recibió dicha unidad habitacional, así como el plano de la misma, ya se a que este o no autorizado. También se me indique el número de claves catastrales que se han emitido respecto de dicha Unidad.</w:t>
      </w:r>
      <w:r>
        <w:rPr>
          <w:rFonts w:ascii="Palatino Linotype" w:eastAsia="Palatino Linotype" w:hAnsi="Palatino Linotype" w:cs="Palatino Linotype"/>
          <w:i/>
        </w:rPr>
        <w:t>” (Sic)</w:t>
      </w:r>
    </w:p>
    <w:p w:rsidR="00AA74C8" w:rsidRDefault="00AA74C8">
      <w:pPr>
        <w:spacing w:before="240"/>
        <w:ind w:left="851" w:right="902"/>
        <w:jc w:val="both"/>
        <w:rPr>
          <w:rFonts w:ascii="Palatino Linotype" w:eastAsia="Palatino Linotype" w:hAnsi="Palatino Linotype" w:cs="Palatino Linotype"/>
          <w:i/>
        </w:rPr>
      </w:pPr>
    </w:p>
    <w:p w:rsidR="00AA74C8" w:rsidRDefault="000626A1" w:rsidP="00D97AB5">
      <w:pPr>
        <w:spacing w:before="240" w:after="24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respuesta, el </w:t>
      </w:r>
      <w:r>
        <w:rPr>
          <w:rFonts w:ascii="Palatino Linotype" w:eastAsia="Palatino Linotype" w:hAnsi="Palatino Linotype" w:cs="Palatino Linotype"/>
          <w:b/>
          <w:sz w:val="24"/>
          <w:szCs w:val="24"/>
        </w:rPr>
        <w:t xml:space="preserve">SUJETO OBLIGADO, </w:t>
      </w:r>
      <w:r w:rsidR="00D97AB5">
        <w:rPr>
          <w:rFonts w:ascii="Palatino Linotype" w:eastAsia="Palatino Linotype" w:hAnsi="Palatino Linotype" w:cs="Palatino Linotype"/>
          <w:sz w:val="24"/>
          <w:szCs w:val="24"/>
        </w:rPr>
        <w:t xml:space="preserve">por conducto de </w:t>
      </w:r>
      <w:r w:rsidR="00D97AB5" w:rsidRPr="00D97AB5">
        <w:rPr>
          <w:rFonts w:ascii="Palatino Linotype" w:eastAsia="Palatino Linotype" w:hAnsi="Palatino Linotype" w:cs="Palatino Linotype"/>
          <w:sz w:val="24"/>
          <w:szCs w:val="24"/>
        </w:rPr>
        <w:t>la Encargada del Despacho de la Secretaría del Ayuntamiento en el que señalo lo siguiente:</w:t>
      </w:r>
    </w:p>
    <w:p w:rsidR="00AA74C8" w:rsidRDefault="00AA74C8" w:rsidP="00D97AB5">
      <w:pPr>
        <w:spacing w:before="240" w:after="240" w:line="360" w:lineRule="auto"/>
        <w:contextualSpacing/>
        <w:jc w:val="both"/>
        <w:rPr>
          <w:rFonts w:ascii="Palatino Linotype" w:eastAsia="Palatino Linotype" w:hAnsi="Palatino Linotype" w:cs="Palatino Linotype"/>
          <w:sz w:val="24"/>
          <w:szCs w:val="24"/>
        </w:rPr>
      </w:pPr>
    </w:p>
    <w:p w:rsidR="008B6E62" w:rsidRDefault="00D97AB5" w:rsidP="00D97AB5">
      <w:pPr>
        <w:spacing w:before="240" w:after="24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M</w:t>
      </w:r>
      <w:r w:rsidRPr="00D97AB5">
        <w:rPr>
          <w:rFonts w:ascii="Palatino Linotype" w:eastAsia="Palatino Linotype" w:hAnsi="Palatino Linotype" w:cs="Palatino Linotype"/>
          <w:sz w:val="24"/>
          <w:szCs w:val="24"/>
        </w:rPr>
        <w:t xml:space="preserve">e permito informar, que después de una búsqueda exhaustiva y minuciosa en los Archivos existentes del Departamento de Patrimonio Municipal dependiente de esta </w:t>
      </w:r>
      <w:proofErr w:type="gramStart"/>
      <w:r w:rsidRPr="00D97AB5">
        <w:rPr>
          <w:rFonts w:ascii="Palatino Linotype" w:eastAsia="Palatino Linotype" w:hAnsi="Palatino Linotype" w:cs="Palatino Linotype"/>
          <w:sz w:val="24"/>
          <w:szCs w:val="24"/>
        </w:rPr>
        <w:lastRenderedPageBreak/>
        <w:t>oficina</w:t>
      </w:r>
      <w:proofErr w:type="gramEnd"/>
      <w:r w:rsidRPr="00D97AB5">
        <w:rPr>
          <w:rFonts w:ascii="Palatino Linotype" w:eastAsia="Palatino Linotype" w:hAnsi="Palatino Linotype" w:cs="Palatino Linotype"/>
          <w:sz w:val="24"/>
          <w:szCs w:val="24"/>
        </w:rPr>
        <w:t>, le comunico que no se encontró información relativa a la Unidad Magisterial 2000</w:t>
      </w:r>
      <w:r w:rsidR="000626A1">
        <w:rPr>
          <w:rFonts w:ascii="Palatino Linotype" w:eastAsia="Palatino Linotype" w:hAnsi="Palatino Linotype" w:cs="Palatino Linotype"/>
          <w:sz w:val="24"/>
          <w:szCs w:val="24"/>
        </w:rPr>
        <w:t>.</w:t>
      </w:r>
    </w:p>
    <w:p w:rsidR="00AA74C8" w:rsidRDefault="00AA74C8" w:rsidP="00D97AB5">
      <w:pPr>
        <w:spacing w:before="240" w:after="240" w:line="360" w:lineRule="auto"/>
        <w:contextualSpacing/>
        <w:jc w:val="both"/>
        <w:rPr>
          <w:rFonts w:ascii="Palatino Linotype" w:eastAsia="Palatino Linotype" w:hAnsi="Palatino Linotype" w:cs="Palatino Linotype"/>
          <w:sz w:val="24"/>
          <w:szCs w:val="24"/>
        </w:rPr>
      </w:pPr>
    </w:p>
    <w:p w:rsidR="008B6E62" w:rsidRDefault="000626A1">
      <w:pPr>
        <w:spacing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Inconforme con la respuesta proporcionada, el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interpone el presente recurso de revisión, en lo medular por </w:t>
      </w:r>
      <w:r w:rsidR="00D97AB5">
        <w:rPr>
          <w:rFonts w:ascii="Palatino Linotype" w:eastAsia="Palatino Linotype" w:hAnsi="Palatino Linotype" w:cs="Palatino Linotype"/>
          <w:sz w:val="24"/>
          <w:szCs w:val="24"/>
        </w:rPr>
        <w:t xml:space="preserve">que menciona que </w:t>
      </w:r>
      <w:r w:rsidR="00D97AB5" w:rsidRPr="00D97AB5">
        <w:rPr>
          <w:rFonts w:ascii="Palatino Linotype" w:eastAsia="Palatino Linotype" w:hAnsi="Palatino Linotype" w:cs="Palatino Linotype"/>
          <w:sz w:val="24"/>
          <w:szCs w:val="24"/>
        </w:rPr>
        <w:t>se trata de una población que se encuentra mencionada en el bando municipal y en la cual se cobran servicios e impuestos por lo que la negativa a entregar la información no resulta creíble</w:t>
      </w:r>
      <w:r>
        <w:rPr>
          <w:rFonts w:ascii="Palatino Linotype" w:eastAsia="Palatino Linotype" w:hAnsi="Palatino Linotype" w:cs="Palatino Linotype"/>
          <w:sz w:val="24"/>
          <w:szCs w:val="24"/>
        </w:rPr>
        <w:t>.</w:t>
      </w:r>
    </w:p>
    <w:p w:rsidR="00AA74C8" w:rsidRDefault="00AA74C8">
      <w:pPr>
        <w:spacing w:line="360" w:lineRule="auto"/>
        <w:contextualSpacing/>
        <w:jc w:val="both"/>
        <w:rPr>
          <w:rFonts w:ascii="Palatino Linotype" w:eastAsia="Palatino Linotype" w:hAnsi="Palatino Linotype" w:cs="Palatino Linotype"/>
          <w:sz w:val="24"/>
          <w:szCs w:val="24"/>
        </w:rPr>
      </w:pPr>
    </w:p>
    <w:p w:rsidR="008B6E62" w:rsidRDefault="000626A1" w:rsidP="00D97AB5">
      <w:pPr>
        <w:pBdr>
          <w:top w:val="nil"/>
          <w:left w:val="nil"/>
          <w:bottom w:val="nil"/>
          <w:right w:val="nil"/>
          <w:between w:val="nil"/>
        </w:pBdr>
        <w:spacing w:before="240" w:after="240" w:line="360" w:lineRule="auto"/>
        <w:ind w:right="139"/>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Posteriormente, el </w:t>
      </w:r>
      <w:r>
        <w:rPr>
          <w:rFonts w:ascii="Palatino Linotype" w:eastAsia="Palatino Linotype" w:hAnsi="Palatino Linotype" w:cs="Palatino Linotype"/>
          <w:b/>
          <w:color w:val="000000"/>
          <w:sz w:val="24"/>
          <w:szCs w:val="24"/>
        </w:rPr>
        <w:t>Sujeto Obligado</w:t>
      </w:r>
      <w:r>
        <w:rPr>
          <w:rFonts w:ascii="Palatino Linotype" w:eastAsia="Palatino Linotype" w:hAnsi="Palatino Linotype" w:cs="Palatino Linotype"/>
          <w:color w:val="000000"/>
          <w:sz w:val="24"/>
          <w:szCs w:val="24"/>
        </w:rPr>
        <w:t xml:space="preserve">, </w:t>
      </w:r>
      <w:r w:rsidR="00D97AB5">
        <w:rPr>
          <w:rFonts w:ascii="Palatino Linotype" w:eastAsia="Palatino Linotype" w:hAnsi="Palatino Linotype" w:cs="Palatino Linotype"/>
          <w:color w:val="000000"/>
          <w:sz w:val="24"/>
          <w:szCs w:val="24"/>
        </w:rPr>
        <w:t xml:space="preserve">en </w:t>
      </w:r>
      <w:r>
        <w:rPr>
          <w:rFonts w:ascii="Palatino Linotype" w:eastAsia="Palatino Linotype" w:hAnsi="Palatino Linotype" w:cs="Palatino Linotype"/>
          <w:color w:val="000000"/>
          <w:sz w:val="24"/>
          <w:szCs w:val="24"/>
        </w:rPr>
        <w:t xml:space="preserve"> su informe justificado</w:t>
      </w:r>
      <w:r w:rsidR="00D97AB5">
        <w:rPr>
          <w:rFonts w:ascii="Palatino Linotype" w:eastAsia="Palatino Linotype" w:hAnsi="Palatino Linotype" w:cs="Palatino Linotype"/>
          <w:color w:val="000000"/>
          <w:sz w:val="24"/>
          <w:szCs w:val="24"/>
        </w:rPr>
        <w:t xml:space="preserve"> remitido por la Tesorera Municipal, menciona</w:t>
      </w:r>
      <w:r w:rsidR="00D97AB5" w:rsidRPr="00D97AB5">
        <w:rPr>
          <w:rFonts w:ascii="Palatino Linotype" w:eastAsia="Palatino Linotype" w:hAnsi="Palatino Linotype" w:cs="Palatino Linotype"/>
          <w:color w:val="000000"/>
          <w:sz w:val="24"/>
          <w:szCs w:val="24"/>
        </w:rPr>
        <w:t xml:space="preserve"> que hasta en tanto el peticionario no cumpla con los requisitos establecidos en los lineamientos del manual catastral; esta Unidad Administrativa se encuentra imposibilitada de proporcionar el número de las claves ca</w:t>
      </w:r>
      <w:r w:rsidR="00D97AB5">
        <w:rPr>
          <w:rFonts w:ascii="Palatino Linotype" w:eastAsia="Palatino Linotype" w:hAnsi="Palatino Linotype" w:cs="Palatino Linotype"/>
          <w:color w:val="000000"/>
          <w:sz w:val="24"/>
          <w:szCs w:val="24"/>
        </w:rPr>
        <w:t>tastrales que han sido emitidas.</w:t>
      </w:r>
    </w:p>
    <w:p w:rsidR="00AA74C8" w:rsidRDefault="00AA74C8" w:rsidP="00D97AB5">
      <w:pPr>
        <w:pBdr>
          <w:top w:val="nil"/>
          <w:left w:val="nil"/>
          <w:bottom w:val="nil"/>
          <w:right w:val="nil"/>
          <w:between w:val="nil"/>
        </w:pBdr>
        <w:spacing w:before="240" w:after="240" w:line="360" w:lineRule="auto"/>
        <w:ind w:right="139"/>
        <w:contextualSpacing/>
        <w:jc w:val="both"/>
        <w:rPr>
          <w:rFonts w:ascii="Palatino Linotype" w:eastAsia="Palatino Linotype" w:hAnsi="Palatino Linotype" w:cs="Palatino Linotype"/>
          <w:color w:val="000000"/>
          <w:sz w:val="24"/>
          <w:szCs w:val="24"/>
        </w:rPr>
      </w:pPr>
    </w:p>
    <w:p w:rsidR="008B6E62" w:rsidRDefault="000626A1">
      <w:pPr>
        <w:spacing w:before="120" w:after="120" w:line="360" w:lineRule="auto"/>
        <w:contextualSpacing/>
        <w:jc w:val="both"/>
        <w:rPr>
          <w:rFonts w:ascii="Palatino Linotype" w:eastAsia="Palatino Linotype" w:hAnsi="Palatino Linotype" w:cs="Palatino Linotype"/>
          <w:sz w:val="24"/>
          <w:szCs w:val="24"/>
        </w:rPr>
      </w:pPr>
      <w:r w:rsidRPr="00781259">
        <w:rPr>
          <w:rFonts w:ascii="Palatino Linotype" w:eastAsia="Palatino Linotype" w:hAnsi="Palatino Linotype" w:cs="Palatino Linotype"/>
          <w:sz w:val="24"/>
          <w:szCs w:val="24"/>
        </w:rPr>
        <w:t xml:space="preserve">Así las cosas, se </w:t>
      </w:r>
      <w:r w:rsidRPr="00781259">
        <w:rPr>
          <w:rFonts w:ascii="Palatino Linotype" w:eastAsia="Palatino Linotype" w:hAnsi="Palatino Linotype" w:cs="Palatino Linotype"/>
          <w:b/>
          <w:sz w:val="24"/>
          <w:szCs w:val="24"/>
          <w:u w:val="single"/>
        </w:rPr>
        <w:t xml:space="preserve">determinó </w:t>
      </w:r>
      <w:r w:rsidR="00781259" w:rsidRPr="00781259">
        <w:rPr>
          <w:rFonts w:ascii="Palatino Linotype" w:eastAsia="Palatino Linotype" w:hAnsi="Palatino Linotype" w:cs="Palatino Linotype"/>
          <w:b/>
          <w:sz w:val="24"/>
          <w:szCs w:val="24"/>
          <w:u w:val="single"/>
        </w:rPr>
        <w:t>revocar</w:t>
      </w:r>
      <w:r w:rsidRPr="00781259">
        <w:rPr>
          <w:rFonts w:ascii="Palatino Linotype" w:eastAsia="Palatino Linotype" w:hAnsi="Palatino Linotype" w:cs="Palatino Linotype"/>
          <w:b/>
          <w:sz w:val="24"/>
          <w:szCs w:val="24"/>
          <w:u w:val="single"/>
        </w:rPr>
        <w:t xml:space="preserve"> la respuesta del Sujeto Obligado</w:t>
      </w:r>
      <w:r w:rsidRPr="00781259">
        <w:rPr>
          <w:rFonts w:ascii="Palatino Linotype" w:eastAsia="Palatino Linotype" w:hAnsi="Palatino Linotype" w:cs="Palatino Linotype"/>
          <w:sz w:val="24"/>
          <w:szCs w:val="24"/>
        </w:rPr>
        <w:t xml:space="preserve"> y ordenar la entrega de lo siguiente: </w:t>
      </w:r>
    </w:p>
    <w:p w:rsidR="00AA74C8" w:rsidRPr="00781259" w:rsidRDefault="00AA74C8">
      <w:pPr>
        <w:spacing w:before="120" w:after="120" w:line="360" w:lineRule="auto"/>
        <w:contextualSpacing/>
        <w:jc w:val="both"/>
        <w:rPr>
          <w:rFonts w:ascii="Palatino Linotype" w:eastAsia="Palatino Linotype" w:hAnsi="Palatino Linotype" w:cs="Palatino Linotype"/>
          <w:sz w:val="24"/>
          <w:szCs w:val="24"/>
        </w:rPr>
      </w:pPr>
    </w:p>
    <w:p w:rsidR="00D97AB5" w:rsidRPr="00D97AB5" w:rsidRDefault="00781259" w:rsidP="00D97AB5">
      <w:pPr>
        <w:autoSpaceDE w:val="0"/>
        <w:autoSpaceDN w:val="0"/>
        <w:adjustRightInd w:val="0"/>
        <w:spacing w:line="360" w:lineRule="auto"/>
        <w:ind w:left="851" w:right="900"/>
        <w:contextualSpacing/>
        <w:jc w:val="both"/>
        <w:rPr>
          <w:rFonts w:ascii="Palatino Linotype" w:hAnsi="Palatino Linotype" w:cs="Tahoma"/>
          <w:bCs/>
          <w:i/>
          <w:iCs/>
        </w:rPr>
      </w:pPr>
      <w:r w:rsidRPr="00D97AB5">
        <w:rPr>
          <w:rFonts w:ascii="Palatino Linotype" w:hAnsi="Palatino Linotype" w:cs="Arial"/>
          <w:b/>
          <w:i/>
        </w:rPr>
        <w:t>“</w:t>
      </w:r>
      <w:r w:rsidR="00D97AB5" w:rsidRPr="00D97AB5">
        <w:rPr>
          <w:rFonts w:ascii="Palatino Linotype" w:hAnsi="Palatino Linotype" w:cs="Tahoma"/>
          <w:b/>
          <w:bCs/>
          <w:i/>
        </w:rPr>
        <w:t xml:space="preserve">SEGUNDO. </w:t>
      </w:r>
      <w:r w:rsidR="00D97AB5" w:rsidRPr="00D97AB5">
        <w:rPr>
          <w:rFonts w:ascii="Palatino Linotype" w:hAnsi="Palatino Linotype" w:cs="Tahoma"/>
          <w:i/>
        </w:rPr>
        <w:t xml:space="preserve">Se </w:t>
      </w:r>
      <w:r w:rsidR="00D97AB5" w:rsidRPr="00D97AB5">
        <w:rPr>
          <w:rFonts w:ascii="Palatino Linotype" w:hAnsi="Palatino Linotype" w:cs="Tahoma"/>
          <w:b/>
          <w:i/>
        </w:rPr>
        <w:t>ORDENA</w:t>
      </w:r>
      <w:r w:rsidR="00D97AB5" w:rsidRPr="00D97AB5">
        <w:rPr>
          <w:rFonts w:ascii="Palatino Linotype" w:hAnsi="Palatino Linotype" w:cs="Tahoma"/>
          <w:bCs/>
          <w:i/>
        </w:rPr>
        <w:t xml:space="preserve"> al</w:t>
      </w:r>
      <w:r w:rsidR="00D97AB5" w:rsidRPr="00D97AB5">
        <w:rPr>
          <w:rFonts w:ascii="Palatino Linotype" w:hAnsi="Palatino Linotype" w:cs="Tahoma"/>
          <w:i/>
        </w:rPr>
        <w:t xml:space="preserve"> </w:t>
      </w:r>
      <w:r w:rsidR="00D97AB5" w:rsidRPr="00D97AB5">
        <w:rPr>
          <w:rFonts w:ascii="Palatino Linotype" w:hAnsi="Palatino Linotype" w:cs="Tahoma"/>
          <w:b/>
          <w:bCs/>
          <w:i/>
        </w:rPr>
        <w:t xml:space="preserve">Ayuntamiento de Ecatepec de Morelos </w:t>
      </w:r>
      <w:r w:rsidR="00D97AB5" w:rsidRPr="00D97AB5">
        <w:rPr>
          <w:rFonts w:ascii="Palatino Linotype" w:hAnsi="Palatino Linotype" w:cs="Tahoma"/>
          <w:i/>
        </w:rPr>
        <w:t>a efecto de que, remita</w:t>
      </w:r>
      <w:r w:rsidR="00D97AB5" w:rsidRPr="00D97AB5">
        <w:rPr>
          <w:rFonts w:ascii="Palatino Linotype" w:hAnsi="Palatino Linotype" w:cs="Tahoma"/>
          <w:bCs/>
          <w:i/>
          <w:iCs/>
        </w:rPr>
        <w:t xml:space="preserve"> a través del Sistema de Acceso a la Información Mexiquense (SAIMEX), previa búsqueda exhaustiva y razonable; en su caso en versión pública, los documentos que den cuenta, respecto de </w:t>
      </w:r>
      <w:r w:rsidR="00D97AB5" w:rsidRPr="00D97AB5">
        <w:rPr>
          <w:rFonts w:ascii="Palatino Linotype" w:hAnsi="Palatino Linotype" w:cs="Tahoma"/>
          <w:bCs/>
          <w:i/>
          <w:iCs/>
          <w:lang w:val="es-ES"/>
        </w:rPr>
        <w:t>la unidad habitacional denominada Unidad Magisterial 2000</w:t>
      </w:r>
      <w:r w:rsidR="00D97AB5" w:rsidRPr="00D97AB5">
        <w:rPr>
          <w:rFonts w:ascii="Palatino Linotype" w:hAnsi="Palatino Linotype" w:cs="Tahoma"/>
          <w:bCs/>
          <w:i/>
          <w:iCs/>
        </w:rPr>
        <w:t>, lo siguiente:</w:t>
      </w:r>
    </w:p>
    <w:p w:rsidR="00D97AB5" w:rsidRPr="00D97AB5" w:rsidRDefault="00D97AB5" w:rsidP="00D97AB5">
      <w:pPr>
        <w:autoSpaceDE w:val="0"/>
        <w:autoSpaceDN w:val="0"/>
        <w:adjustRightInd w:val="0"/>
        <w:spacing w:line="360" w:lineRule="auto"/>
        <w:ind w:left="851" w:right="900"/>
        <w:contextualSpacing/>
        <w:jc w:val="both"/>
        <w:rPr>
          <w:rFonts w:ascii="Palatino Linotype" w:hAnsi="Palatino Linotype" w:cs="Tahoma"/>
          <w:bCs/>
          <w:i/>
          <w:iCs/>
        </w:rPr>
      </w:pPr>
    </w:p>
    <w:p w:rsidR="00D97AB5" w:rsidRPr="00D97AB5" w:rsidRDefault="00D97AB5" w:rsidP="00D97AB5">
      <w:pPr>
        <w:pStyle w:val="Prrafodelista"/>
        <w:numPr>
          <w:ilvl w:val="0"/>
          <w:numId w:val="5"/>
        </w:numPr>
        <w:spacing w:line="360" w:lineRule="auto"/>
        <w:ind w:left="851" w:right="900" w:firstLine="0"/>
        <w:jc w:val="both"/>
        <w:rPr>
          <w:rFonts w:ascii="Palatino Linotype" w:hAnsi="Palatino Linotype" w:cs="Tahoma"/>
          <w:bCs/>
          <w:i/>
          <w:iCs/>
          <w:szCs w:val="22"/>
        </w:rPr>
      </w:pPr>
      <w:r w:rsidRPr="00D97AB5">
        <w:rPr>
          <w:rFonts w:ascii="Palatino Linotype" w:hAnsi="Palatino Linotype" w:cs="Tahoma"/>
          <w:bCs/>
          <w:i/>
          <w:iCs/>
          <w:szCs w:val="22"/>
        </w:rPr>
        <w:t>Información relativa a las áreas de donación y/o equipamiento urbano que se encuentran en la unidad habitacional.</w:t>
      </w:r>
    </w:p>
    <w:p w:rsidR="00D97AB5" w:rsidRPr="00D97AB5" w:rsidRDefault="00D97AB5" w:rsidP="00D97AB5">
      <w:pPr>
        <w:pStyle w:val="Prrafodelista"/>
        <w:numPr>
          <w:ilvl w:val="0"/>
          <w:numId w:val="5"/>
        </w:numPr>
        <w:spacing w:line="360" w:lineRule="auto"/>
        <w:ind w:left="851" w:right="900" w:firstLine="0"/>
        <w:jc w:val="both"/>
        <w:rPr>
          <w:rFonts w:ascii="Palatino Linotype" w:hAnsi="Palatino Linotype" w:cs="Tahoma"/>
          <w:bCs/>
          <w:i/>
          <w:iCs/>
          <w:szCs w:val="22"/>
        </w:rPr>
      </w:pPr>
      <w:r w:rsidRPr="00D97AB5">
        <w:rPr>
          <w:rFonts w:ascii="Palatino Linotype" w:hAnsi="Palatino Linotype" w:cs="Tahoma"/>
          <w:bCs/>
          <w:i/>
          <w:iCs/>
          <w:szCs w:val="22"/>
        </w:rPr>
        <w:t>Acta entrega – recepción, mediante la cual se recibió la unidad habitacional.</w:t>
      </w:r>
    </w:p>
    <w:p w:rsidR="00D97AB5" w:rsidRPr="00D97AB5" w:rsidRDefault="00D97AB5" w:rsidP="00D97AB5">
      <w:pPr>
        <w:pStyle w:val="Prrafodelista"/>
        <w:numPr>
          <w:ilvl w:val="0"/>
          <w:numId w:val="5"/>
        </w:numPr>
        <w:spacing w:line="360" w:lineRule="auto"/>
        <w:ind w:left="851" w:right="900" w:firstLine="0"/>
        <w:jc w:val="both"/>
        <w:rPr>
          <w:rFonts w:ascii="Palatino Linotype" w:hAnsi="Palatino Linotype" w:cs="Tahoma"/>
          <w:bCs/>
          <w:i/>
          <w:iCs/>
          <w:szCs w:val="22"/>
        </w:rPr>
      </w:pPr>
      <w:r w:rsidRPr="00D97AB5">
        <w:rPr>
          <w:rFonts w:ascii="Palatino Linotype" w:hAnsi="Palatino Linotype" w:cs="Tahoma"/>
          <w:bCs/>
          <w:i/>
          <w:iCs/>
          <w:szCs w:val="22"/>
        </w:rPr>
        <w:t xml:space="preserve">Plano </w:t>
      </w:r>
    </w:p>
    <w:p w:rsidR="00D97AB5" w:rsidRPr="00D97AB5" w:rsidRDefault="003D3F4D" w:rsidP="00D97AB5">
      <w:pPr>
        <w:pStyle w:val="Prrafodelista"/>
        <w:numPr>
          <w:ilvl w:val="0"/>
          <w:numId w:val="5"/>
        </w:numPr>
        <w:spacing w:line="360" w:lineRule="auto"/>
        <w:ind w:left="851" w:right="900" w:firstLine="0"/>
        <w:jc w:val="both"/>
        <w:rPr>
          <w:rFonts w:ascii="Palatino Linotype" w:hAnsi="Palatino Linotype" w:cs="Tahoma"/>
          <w:bCs/>
          <w:i/>
          <w:iCs/>
          <w:szCs w:val="22"/>
        </w:rPr>
      </w:pPr>
      <w:r>
        <w:rPr>
          <w:rFonts w:ascii="Palatino Linotype" w:hAnsi="Palatino Linotype" w:cs="Tahoma"/>
          <w:bCs/>
          <w:i/>
          <w:iCs/>
          <w:szCs w:val="22"/>
        </w:rPr>
        <w:t xml:space="preserve">El </w:t>
      </w:r>
      <w:r w:rsidRPr="00D97AB5">
        <w:rPr>
          <w:rFonts w:ascii="Palatino Linotype" w:hAnsi="Palatino Linotype" w:cs="Tahoma"/>
          <w:bCs/>
          <w:i/>
          <w:iCs/>
          <w:szCs w:val="22"/>
          <w:lang w:val="x-none"/>
        </w:rPr>
        <w:t>número</w:t>
      </w:r>
      <w:r w:rsidR="00D97AB5" w:rsidRPr="00D97AB5">
        <w:rPr>
          <w:rFonts w:ascii="Palatino Linotype" w:hAnsi="Palatino Linotype" w:cs="Tahoma"/>
          <w:bCs/>
          <w:i/>
          <w:iCs/>
          <w:szCs w:val="22"/>
          <w:lang w:val="x-none"/>
        </w:rPr>
        <w:t xml:space="preserve"> total</w:t>
      </w:r>
      <w:r w:rsidR="00D97AB5" w:rsidRPr="00D97AB5">
        <w:rPr>
          <w:rFonts w:ascii="Palatino Linotype" w:hAnsi="Palatino Linotype" w:cs="Tahoma"/>
          <w:bCs/>
          <w:i/>
          <w:iCs/>
          <w:szCs w:val="22"/>
        </w:rPr>
        <w:t xml:space="preserve"> de claves catastrales que se han emitido en la unidad habitacional. </w:t>
      </w:r>
    </w:p>
    <w:p w:rsidR="00D97AB5" w:rsidRPr="00D97AB5" w:rsidRDefault="00D97AB5" w:rsidP="00D97AB5">
      <w:pPr>
        <w:autoSpaceDE w:val="0"/>
        <w:autoSpaceDN w:val="0"/>
        <w:adjustRightInd w:val="0"/>
        <w:spacing w:line="360" w:lineRule="auto"/>
        <w:ind w:left="851" w:right="900"/>
        <w:contextualSpacing/>
        <w:jc w:val="both"/>
        <w:rPr>
          <w:rFonts w:ascii="Palatino Linotype" w:hAnsi="Palatino Linotype" w:cs="Tahoma"/>
          <w:bCs/>
          <w:i/>
          <w:iCs/>
        </w:rPr>
      </w:pPr>
    </w:p>
    <w:p w:rsidR="00D97AB5" w:rsidRPr="00D97AB5" w:rsidRDefault="00D97AB5" w:rsidP="00D97AB5">
      <w:pPr>
        <w:spacing w:line="360" w:lineRule="auto"/>
        <w:ind w:left="851" w:right="900"/>
        <w:contextualSpacing/>
        <w:jc w:val="both"/>
        <w:rPr>
          <w:rFonts w:ascii="Palatino Linotype" w:hAnsi="Palatino Linotype" w:cs="Tahoma"/>
          <w:i/>
          <w:iCs/>
          <w:lang w:val="es-ES" w:eastAsia="es-ES_tradnl"/>
        </w:rPr>
      </w:pPr>
      <w:r w:rsidRPr="00D97AB5">
        <w:rPr>
          <w:rFonts w:ascii="Palatino Linotype" w:hAnsi="Palatino Linotype" w:cs="Tahoma"/>
          <w:i/>
          <w:iCs/>
          <w:lang w:val="es-ES" w:eastAsia="es-ES_tradnl"/>
        </w:rPr>
        <w:t>Para el caso de requerir la versión pública, junto con la documentación se deberá entregar el Acuerdo del Comité de Transparencia mediante el cual se funde y motive la eliminación de la información confidencial, en términos de los artículos 49, fracciones II y VII, 143, fracción I y 149, de la Ley de Transparencia y Acceso a la Información Pública del Estado de México y Municipios.</w:t>
      </w:r>
    </w:p>
    <w:p w:rsidR="00781259" w:rsidRPr="00D97AB5" w:rsidRDefault="00781259" w:rsidP="00D97AB5">
      <w:pPr>
        <w:pBdr>
          <w:top w:val="nil"/>
          <w:left w:val="nil"/>
          <w:bottom w:val="nil"/>
          <w:right w:val="nil"/>
          <w:between w:val="nil"/>
        </w:pBdr>
        <w:spacing w:before="240" w:after="240" w:line="276" w:lineRule="auto"/>
        <w:ind w:right="902"/>
        <w:jc w:val="both"/>
        <w:rPr>
          <w:rFonts w:ascii="Palatino Linotype" w:eastAsia="Palatino Linotype" w:hAnsi="Palatino Linotype" w:cs="Palatino Linotype"/>
          <w:i/>
          <w:color w:val="000000"/>
        </w:rPr>
      </w:pPr>
    </w:p>
    <w:p w:rsidR="00D97AB5" w:rsidRDefault="000626A1" w:rsidP="00D97AB5">
      <w:pPr>
        <w:spacing w:line="360" w:lineRule="auto"/>
        <w:contextualSpacing/>
        <w:jc w:val="both"/>
        <w:rPr>
          <w:rFonts w:ascii="Palatino Linotype" w:eastAsia="Palatino Linotype" w:hAnsi="Palatino Linotype" w:cs="Palatino Linotype"/>
          <w:sz w:val="24"/>
          <w:szCs w:val="24"/>
        </w:rPr>
      </w:pPr>
      <w:r w:rsidRPr="00781259">
        <w:rPr>
          <w:rFonts w:ascii="Palatino Linotype" w:eastAsia="Palatino Linotype" w:hAnsi="Palatino Linotype" w:cs="Palatino Linotype"/>
          <w:sz w:val="24"/>
          <w:szCs w:val="24"/>
        </w:rPr>
        <w:t xml:space="preserve">Lo anterior es así, en virtud de que en su estudio, </w:t>
      </w:r>
      <w:r w:rsidR="00781259">
        <w:rPr>
          <w:rFonts w:ascii="Palatino Linotype" w:eastAsia="Palatino Linotype" w:hAnsi="Palatino Linotype" w:cs="Palatino Linotype"/>
          <w:sz w:val="24"/>
          <w:szCs w:val="24"/>
        </w:rPr>
        <w:t xml:space="preserve">se </w:t>
      </w:r>
      <w:r w:rsidRPr="00781259">
        <w:rPr>
          <w:rFonts w:ascii="Palatino Linotype" w:eastAsia="Palatino Linotype" w:hAnsi="Palatino Linotype" w:cs="Palatino Linotype"/>
          <w:sz w:val="24"/>
          <w:szCs w:val="24"/>
        </w:rPr>
        <w:t xml:space="preserve">sostuvo la postura de que la </w:t>
      </w:r>
      <w:r w:rsidR="00D97AB5" w:rsidRPr="00D97AB5">
        <w:rPr>
          <w:rFonts w:ascii="Palatino Linotype" w:eastAsia="Palatino Linotype" w:hAnsi="Palatino Linotype" w:cs="Palatino Linotype"/>
          <w:sz w:val="24"/>
          <w:szCs w:val="24"/>
        </w:rPr>
        <w:t xml:space="preserve">se desprende que en la entrega de los conjuntos urbanos  se realizan actas entregas recepción entre los titulares y la Secretaría y el Municipio; asimismo, los titulares de los conjuntos urbanos tienen la obligación de ceder al Municipio la propiedad de superficies de terreno para vías públicas y áreas de donación para equipamiento urbano; por lo que se advierte que el Sujeto Obligado, si puede tener conocimiento de la información de las áreas que le fueron donadas con motivo de la entrega </w:t>
      </w:r>
      <w:r w:rsidR="00D97AB5">
        <w:rPr>
          <w:rFonts w:ascii="Palatino Linotype" w:eastAsia="Palatino Linotype" w:hAnsi="Palatino Linotype" w:cs="Palatino Linotype"/>
          <w:sz w:val="24"/>
          <w:szCs w:val="24"/>
        </w:rPr>
        <w:t xml:space="preserve">– </w:t>
      </w:r>
      <w:r w:rsidR="00D97AB5">
        <w:rPr>
          <w:rFonts w:ascii="Palatino Linotype" w:eastAsia="Palatino Linotype" w:hAnsi="Palatino Linotype" w:cs="Palatino Linotype"/>
          <w:sz w:val="24"/>
          <w:szCs w:val="24"/>
        </w:rPr>
        <w:lastRenderedPageBreak/>
        <w:t xml:space="preserve">recepción del conjunto urbano, de conformidad a </w:t>
      </w:r>
      <w:r w:rsidR="003D3F4D">
        <w:rPr>
          <w:rFonts w:ascii="Palatino Linotype" w:eastAsia="Palatino Linotype" w:hAnsi="Palatino Linotype" w:cs="Palatino Linotype"/>
          <w:sz w:val="24"/>
          <w:szCs w:val="24"/>
        </w:rPr>
        <w:t>los</w:t>
      </w:r>
      <w:r w:rsidR="00D97AB5">
        <w:rPr>
          <w:rFonts w:ascii="Palatino Linotype" w:eastAsia="Palatino Linotype" w:hAnsi="Palatino Linotype" w:cs="Palatino Linotype"/>
          <w:sz w:val="24"/>
          <w:szCs w:val="24"/>
        </w:rPr>
        <w:t xml:space="preserve"> siguientes preceptos normativos:</w:t>
      </w:r>
    </w:p>
    <w:p w:rsidR="00CC522F" w:rsidRDefault="00CC522F" w:rsidP="00D97AB5">
      <w:pPr>
        <w:spacing w:line="360" w:lineRule="auto"/>
        <w:contextualSpacing/>
        <w:jc w:val="both"/>
        <w:rPr>
          <w:rFonts w:ascii="Palatino Linotype" w:eastAsia="Palatino Linotype" w:hAnsi="Palatino Linotype" w:cs="Palatino Linotype"/>
          <w:sz w:val="24"/>
          <w:szCs w:val="24"/>
        </w:rPr>
      </w:pPr>
    </w:p>
    <w:p w:rsidR="00CC522F" w:rsidRPr="00CC522F" w:rsidRDefault="00CC522F" w:rsidP="00CC522F">
      <w:pPr>
        <w:spacing w:line="360" w:lineRule="auto"/>
        <w:ind w:left="567"/>
        <w:contextualSpacing/>
        <w:jc w:val="both"/>
        <w:rPr>
          <w:rFonts w:ascii="Palatino Linotype" w:hAnsi="Palatino Linotype" w:cs="Tahoma"/>
          <w:b/>
          <w:i/>
        </w:rPr>
      </w:pPr>
      <w:r w:rsidRPr="00CC522F">
        <w:rPr>
          <w:rFonts w:ascii="Palatino Linotype" w:hAnsi="Palatino Linotype" w:cs="Tahoma"/>
          <w:b/>
          <w:i/>
        </w:rPr>
        <w:t>CÓDIGO ADMINISTRATIVO DEL ESTADO DE MÉXICO:</w:t>
      </w:r>
    </w:p>
    <w:p w:rsidR="00CC522F" w:rsidRPr="00A8374E" w:rsidRDefault="00CC522F" w:rsidP="00CC522F">
      <w:pPr>
        <w:spacing w:line="360" w:lineRule="auto"/>
        <w:contextualSpacing/>
        <w:jc w:val="both"/>
        <w:rPr>
          <w:rFonts w:ascii="Palatino Linotype" w:hAnsi="Palatino Linotype"/>
        </w:rPr>
      </w:pPr>
    </w:p>
    <w:p w:rsidR="00CC522F" w:rsidRPr="00CC522F" w:rsidRDefault="00CC522F" w:rsidP="00CC522F">
      <w:pPr>
        <w:spacing w:line="360" w:lineRule="auto"/>
        <w:ind w:left="567" w:right="539"/>
        <w:contextualSpacing/>
        <w:jc w:val="both"/>
        <w:rPr>
          <w:rFonts w:ascii="Palatino Linotype" w:hAnsi="Palatino Linotype"/>
          <w:i/>
        </w:rPr>
      </w:pPr>
      <w:r w:rsidRPr="00CC522F">
        <w:rPr>
          <w:rFonts w:ascii="Palatino Linotype" w:hAnsi="Palatino Linotype"/>
          <w:i/>
        </w:rPr>
        <w:t xml:space="preserve">Artículo 5.38. La autorización de conjuntos urbanos se sujetará a los lineamientos siguientes: </w:t>
      </w:r>
    </w:p>
    <w:p w:rsidR="00CC522F" w:rsidRPr="00CC522F" w:rsidRDefault="00CC522F" w:rsidP="00CC522F">
      <w:pPr>
        <w:spacing w:line="360" w:lineRule="auto"/>
        <w:ind w:left="567" w:right="539"/>
        <w:contextualSpacing/>
        <w:jc w:val="both"/>
        <w:rPr>
          <w:rFonts w:ascii="Palatino Linotype" w:hAnsi="Palatino Linotype"/>
          <w:i/>
        </w:rPr>
      </w:pPr>
    </w:p>
    <w:p w:rsidR="00CC522F" w:rsidRPr="00CC522F" w:rsidRDefault="00CC522F" w:rsidP="00CC522F">
      <w:pPr>
        <w:spacing w:line="360" w:lineRule="auto"/>
        <w:ind w:left="567" w:right="539"/>
        <w:contextualSpacing/>
        <w:jc w:val="both"/>
        <w:rPr>
          <w:rFonts w:ascii="Palatino Linotype" w:hAnsi="Palatino Linotype"/>
          <w:i/>
        </w:rPr>
      </w:pPr>
      <w:r w:rsidRPr="00CC522F">
        <w:rPr>
          <w:rFonts w:ascii="Palatino Linotype" w:hAnsi="Palatino Linotype"/>
          <w:i/>
        </w:rPr>
        <w:t>I. al</w:t>
      </w:r>
    </w:p>
    <w:p w:rsidR="00CC522F" w:rsidRPr="00CC522F" w:rsidRDefault="00CC522F" w:rsidP="00CC522F">
      <w:pPr>
        <w:spacing w:line="360" w:lineRule="auto"/>
        <w:ind w:left="567" w:right="539"/>
        <w:contextualSpacing/>
        <w:jc w:val="both"/>
        <w:rPr>
          <w:rFonts w:ascii="Palatino Linotype" w:hAnsi="Palatino Linotype"/>
          <w:i/>
        </w:rPr>
      </w:pPr>
      <w:r w:rsidRPr="00CC522F">
        <w:rPr>
          <w:rFonts w:ascii="Palatino Linotype" w:hAnsi="Palatino Linotype"/>
          <w:i/>
        </w:rPr>
        <w:t xml:space="preserve"> IX… </w:t>
      </w:r>
    </w:p>
    <w:p w:rsidR="00CC522F" w:rsidRPr="00A8374E" w:rsidRDefault="00CC522F" w:rsidP="00CC522F">
      <w:pPr>
        <w:spacing w:line="360" w:lineRule="auto"/>
        <w:ind w:left="567" w:right="539"/>
        <w:contextualSpacing/>
        <w:jc w:val="both"/>
        <w:rPr>
          <w:rFonts w:ascii="Palatino Linotype" w:hAnsi="Palatino Linotype"/>
          <w:b/>
          <w:i/>
        </w:rPr>
      </w:pPr>
      <w:r w:rsidRPr="00A8374E">
        <w:rPr>
          <w:rFonts w:ascii="Palatino Linotype" w:hAnsi="Palatino Linotype"/>
          <w:b/>
          <w:i/>
        </w:rPr>
        <w:t xml:space="preserve">X. Su titular tendrá, en los términos y condiciones previstos en la reglamentación de este Libro, las obligaciones siguientes: </w:t>
      </w:r>
    </w:p>
    <w:p w:rsidR="00CC522F" w:rsidRPr="00A8374E" w:rsidRDefault="00CC522F" w:rsidP="00CC522F">
      <w:pPr>
        <w:spacing w:line="360" w:lineRule="auto"/>
        <w:ind w:left="567" w:right="539"/>
        <w:contextualSpacing/>
        <w:jc w:val="both"/>
        <w:rPr>
          <w:rFonts w:ascii="Palatino Linotype" w:hAnsi="Palatino Linotype"/>
          <w:b/>
          <w:i/>
        </w:rPr>
      </w:pPr>
      <w:r w:rsidRPr="00A8374E">
        <w:rPr>
          <w:rFonts w:ascii="Palatino Linotype" w:hAnsi="Palatino Linotype"/>
          <w:b/>
          <w:i/>
          <w:u w:val="single"/>
        </w:rPr>
        <w:t>a) Ceder a título gratuito</w:t>
      </w:r>
      <w:r w:rsidRPr="00A8374E">
        <w:rPr>
          <w:rFonts w:ascii="Palatino Linotype" w:hAnsi="Palatino Linotype"/>
          <w:b/>
          <w:i/>
        </w:rPr>
        <w:t xml:space="preserve"> </w:t>
      </w:r>
      <w:r w:rsidRPr="00A8374E">
        <w:rPr>
          <w:rFonts w:ascii="Palatino Linotype" w:hAnsi="Palatino Linotype"/>
          <w:i/>
        </w:rPr>
        <w:t>al Estado</w:t>
      </w:r>
      <w:r w:rsidRPr="00A8374E">
        <w:rPr>
          <w:rFonts w:ascii="Palatino Linotype" w:hAnsi="Palatino Linotype"/>
          <w:b/>
          <w:i/>
        </w:rPr>
        <w:t xml:space="preserve"> </w:t>
      </w:r>
      <w:r w:rsidRPr="00A8374E">
        <w:rPr>
          <w:rFonts w:ascii="Palatino Linotype" w:hAnsi="Palatino Linotype"/>
          <w:b/>
          <w:i/>
          <w:u w:val="single"/>
        </w:rPr>
        <w:t>y al municipio la propiedad de las superficies de terreno para vías públicas y áreas de donación para equipamiento urbano</w:t>
      </w:r>
      <w:r w:rsidRPr="00A8374E">
        <w:rPr>
          <w:rFonts w:ascii="Palatino Linotype" w:hAnsi="Palatino Linotype"/>
          <w:b/>
          <w:i/>
        </w:rPr>
        <w:t xml:space="preserve">, que establezcan los acuerdos de autorización. </w:t>
      </w:r>
    </w:p>
    <w:p w:rsidR="00CC522F" w:rsidRPr="00A8374E" w:rsidRDefault="00CC522F" w:rsidP="00CC522F">
      <w:pPr>
        <w:spacing w:line="360" w:lineRule="auto"/>
        <w:ind w:left="567" w:right="539"/>
        <w:contextualSpacing/>
        <w:jc w:val="both"/>
        <w:rPr>
          <w:rFonts w:ascii="Palatino Linotype" w:hAnsi="Palatino Linotype"/>
          <w:i/>
        </w:rPr>
      </w:pPr>
      <w:r w:rsidRPr="00A8374E">
        <w:rPr>
          <w:rFonts w:ascii="Palatino Linotype" w:hAnsi="Palatino Linotype"/>
          <w:i/>
        </w:rPr>
        <w:t xml:space="preserve">A excepción de las áreas de donación a favor de los municipios, tratándose de los conjuntos urbanos, las áreas de donación de terreno destinadas a equipamiento urbano a favor del Estado, podrán cumplirse previa determinación de la Secretaría, por medio del depósito del valor económico que se determine a través del Instituto de Información e Investigación Geográfica Estadística y Catastral del Estado de México, al Fideicomiso de Reserva Territorial para el Desarrollo de Equipamiento Urbano Regional, de conformidad con las disposiciones reglamentarias de éste y demás disposiciones jurídicas aplicables; </w:t>
      </w:r>
    </w:p>
    <w:p w:rsidR="00CC522F" w:rsidRPr="00A8374E" w:rsidRDefault="00CC522F" w:rsidP="00CC522F">
      <w:pPr>
        <w:spacing w:line="360" w:lineRule="auto"/>
        <w:ind w:left="567" w:right="539"/>
        <w:contextualSpacing/>
        <w:jc w:val="both"/>
        <w:rPr>
          <w:rFonts w:ascii="Palatino Linotype" w:hAnsi="Palatino Linotype"/>
          <w:b/>
          <w:i/>
        </w:rPr>
      </w:pPr>
      <w:r w:rsidRPr="00A8374E">
        <w:rPr>
          <w:rFonts w:ascii="Palatino Linotype" w:hAnsi="Palatino Linotype"/>
          <w:b/>
          <w:i/>
        </w:rPr>
        <w:lastRenderedPageBreak/>
        <w:t>b) Construir las obras de infraestructura, urbanización y equipamiento urbano, de conformidad con lo que establezca el presente Libro y su reglamentación.</w:t>
      </w:r>
    </w:p>
    <w:p w:rsidR="00CC522F" w:rsidRPr="00A8374E" w:rsidRDefault="00CC522F" w:rsidP="00CC522F">
      <w:pPr>
        <w:spacing w:line="360" w:lineRule="auto"/>
        <w:ind w:left="567" w:right="539"/>
        <w:contextualSpacing/>
        <w:jc w:val="both"/>
        <w:rPr>
          <w:rFonts w:ascii="Palatino Linotype" w:hAnsi="Palatino Linotype"/>
          <w:i/>
        </w:rPr>
      </w:pPr>
      <w:r w:rsidRPr="00A8374E">
        <w:rPr>
          <w:rFonts w:ascii="Palatino Linotype" w:hAnsi="Palatino Linotype"/>
          <w:i/>
        </w:rPr>
        <w:t>Tratándose de obras de equipamiento urbano regional, el titular de la autorización podrá cumplir con dicha obligación, mediante el depósito de su valor económico al Fideicomiso de Reserva Territorial para el Desarrollo de Equipamiento Urbano Regional o para la ejecución de obra pública dentro del Municipio correspondiente, de conformidad con lo que establezcan las disposiciones reglamentarias de este Libro.</w:t>
      </w:r>
    </w:p>
    <w:p w:rsidR="00CC522F" w:rsidRPr="00A8374E" w:rsidRDefault="00CC522F" w:rsidP="00CC522F">
      <w:pPr>
        <w:spacing w:line="360" w:lineRule="auto"/>
        <w:ind w:left="567" w:right="539"/>
        <w:contextualSpacing/>
        <w:jc w:val="both"/>
        <w:rPr>
          <w:rFonts w:ascii="Palatino Linotype" w:hAnsi="Palatino Linotype"/>
          <w:i/>
        </w:rPr>
      </w:pPr>
      <w:r w:rsidRPr="00A8374E">
        <w:rPr>
          <w:rFonts w:ascii="Palatino Linotype" w:hAnsi="Palatino Linotype"/>
          <w:i/>
        </w:rPr>
        <w:t>La realización de estas obras se hará del conocimiento público de conformidad con lo que establezca los proyectos ejecutivos, las memorias de cálculo y lo que corresponda de acuerdo con la normatividad aplicable;</w:t>
      </w:r>
    </w:p>
    <w:p w:rsidR="00CC522F" w:rsidRPr="00A8374E" w:rsidRDefault="00CC522F" w:rsidP="00CC522F">
      <w:pPr>
        <w:spacing w:line="360" w:lineRule="auto"/>
        <w:ind w:left="567" w:right="539"/>
        <w:contextualSpacing/>
        <w:jc w:val="both"/>
        <w:rPr>
          <w:rFonts w:ascii="Palatino Linotype" w:hAnsi="Palatino Linotype"/>
          <w:i/>
        </w:rPr>
      </w:pPr>
      <w:r w:rsidRPr="00A8374E">
        <w:rPr>
          <w:rFonts w:ascii="Palatino Linotype" w:hAnsi="Palatino Linotype"/>
          <w:i/>
        </w:rPr>
        <w:t>d) al g)…</w:t>
      </w:r>
    </w:p>
    <w:p w:rsidR="00CC522F" w:rsidRPr="00A8374E" w:rsidRDefault="00CC522F" w:rsidP="00CC522F">
      <w:pPr>
        <w:spacing w:line="360" w:lineRule="auto"/>
        <w:ind w:left="567" w:right="539"/>
        <w:contextualSpacing/>
        <w:jc w:val="both"/>
        <w:rPr>
          <w:rFonts w:ascii="Palatino Linotype" w:hAnsi="Palatino Linotype"/>
          <w:i/>
        </w:rPr>
      </w:pPr>
      <w:r w:rsidRPr="00A8374E">
        <w:rPr>
          <w:rFonts w:ascii="Palatino Linotype" w:hAnsi="Palatino Linotype"/>
          <w:i/>
        </w:rPr>
        <w:t xml:space="preserve">h) Garantizar los defectos y vicios ocultos de las obras de infraestructura, urbanización y equipamiento urbano, mediante fianza o hipoteca; garantías que deberá constituir a favor del Gobierno del Estado o del municipio según corresponda la recepción de las mismas, por un monto equivalente al veinte por ciento del valor de las obras al </w:t>
      </w:r>
      <w:r w:rsidRPr="00A8374E">
        <w:rPr>
          <w:rFonts w:ascii="Palatino Linotype" w:hAnsi="Palatino Linotype"/>
          <w:b/>
          <w:i/>
        </w:rPr>
        <w:t>momento de su entrega recepción</w:t>
      </w:r>
      <w:r w:rsidRPr="00A8374E">
        <w:rPr>
          <w:rFonts w:ascii="Palatino Linotype" w:hAnsi="Palatino Linotype"/>
          <w:i/>
        </w:rPr>
        <w:t>.</w:t>
      </w:r>
    </w:p>
    <w:p w:rsidR="00CC522F" w:rsidRPr="00A8374E" w:rsidRDefault="00CC522F" w:rsidP="00CC522F">
      <w:pPr>
        <w:spacing w:line="360" w:lineRule="auto"/>
        <w:ind w:left="567" w:right="539"/>
        <w:contextualSpacing/>
        <w:jc w:val="both"/>
        <w:rPr>
          <w:rFonts w:ascii="Palatino Linotype" w:hAnsi="Palatino Linotype"/>
          <w:i/>
        </w:rPr>
      </w:pPr>
      <w:r w:rsidRPr="00A8374E">
        <w:rPr>
          <w:rFonts w:ascii="Palatino Linotype" w:hAnsi="Palatino Linotype"/>
          <w:i/>
        </w:rPr>
        <w:t>i) al p)…</w:t>
      </w:r>
    </w:p>
    <w:p w:rsidR="00CC522F" w:rsidRPr="00A8374E" w:rsidRDefault="00CC522F" w:rsidP="00CC522F">
      <w:pPr>
        <w:spacing w:line="360" w:lineRule="auto"/>
        <w:ind w:left="567" w:right="539"/>
        <w:contextualSpacing/>
        <w:jc w:val="both"/>
        <w:rPr>
          <w:rFonts w:ascii="Palatino Linotype" w:hAnsi="Palatino Linotype"/>
          <w:i/>
        </w:rPr>
      </w:pPr>
      <w:r w:rsidRPr="00A8374E">
        <w:rPr>
          <w:rFonts w:ascii="Palatino Linotype" w:hAnsi="Palatino Linotype"/>
          <w:i/>
        </w:rPr>
        <w:t xml:space="preserve">XI. al XVI… </w:t>
      </w:r>
    </w:p>
    <w:p w:rsidR="00CC522F" w:rsidRPr="00A8374E" w:rsidRDefault="00CC522F" w:rsidP="00CC522F">
      <w:pPr>
        <w:spacing w:line="360" w:lineRule="auto"/>
        <w:ind w:left="567" w:right="539"/>
        <w:contextualSpacing/>
        <w:jc w:val="both"/>
        <w:rPr>
          <w:rFonts w:ascii="Palatino Linotype" w:hAnsi="Palatino Linotype"/>
          <w:i/>
        </w:rPr>
      </w:pPr>
      <w:r w:rsidRPr="00A8374E">
        <w:rPr>
          <w:rFonts w:ascii="Palatino Linotype" w:hAnsi="Palatino Linotype"/>
        </w:rPr>
        <w:t>(Énfasis añadido)</w:t>
      </w:r>
    </w:p>
    <w:p w:rsidR="00D97AB5" w:rsidRDefault="00D97AB5" w:rsidP="00D97AB5">
      <w:pPr>
        <w:spacing w:line="360" w:lineRule="auto"/>
        <w:jc w:val="both"/>
        <w:rPr>
          <w:rFonts w:ascii="Palatino Linotype" w:eastAsia="Palatino Linotype" w:hAnsi="Palatino Linotype" w:cs="Palatino Linotype"/>
          <w:sz w:val="24"/>
          <w:szCs w:val="24"/>
        </w:rPr>
      </w:pPr>
    </w:p>
    <w:p w:rsidR="00CC522F" w:rsidRDefault="00CC522F" w:rsidP="00CC522F">
      <w:pPr>
        <w:spacing w:line="360" w:lineRule="auto"/>
        <w:contextualSpacing/>
        <w:jc w:val="both"/>
        <w:rPr>
          <w:rFonts w:ascii="Palatino Linotype" w:hAnsi="Palatino Linotype"/>
        </w:rPr>
      </w:pPr>
      <w:r>
        <w:rPr>
          <w:rFonts w:ascii="Palatino Linotype" w:eastAsia="Palatino Linotype" w:hAnsi="Palatino Linotype" w:cs="Palatino Linotype"/>
          <w:sz w:val="24"/>
          <w:szCs w:val="24"/>
        </w:rPr>
        <w:t>Además, menciona que</w:t>
      </w:r>
      <w:r w:rsidRPr="00A8374E">
        <w:rPr>
          <w:rFonts w:ascii="Palatino Linotype" w:hAnsi="Palatino Linotype"/>
        </w:rPr>
        <w:t xml:space="preserve"> </w:t>
      </w:r>
      <w:r w:rsidRPr="00CC522F">
        <w:rPr>
          <w:rFonts w:ascii="Palatino Linotype" w:hAnsi="Palatino Linotype"/>
          <w:b/>
        </w:rPr>
        <w:t>EL SUJETO OBLIGADO</w:t>
      </w:r>
      <w:r w:rsidRPr="00A8374E">
        <w:rPr>
          <w:rFonts w:ascii="Palatino Linotype" w:hAnsi="Palatino Linotype"/>
        </w:rPr>
        <w:t xml:space="preserve"> al ser el ente municipal en el que se encuentra ubicado el fraccionamiento, pudo recibir el conjunto urbano de forma parcial o total; por tanto, contar con el acta entrega recepción; asimismo, en la entrega se determina </w:t>
      </w:r>
      <w:r w:rsidRPr="00A8374E">
        <w:rPr>
          <w:rFonts w:ascii="Palatino Linotype" w:hAnsi="Palatino Linotype"/>
        </w:rPr>
        <w:lastRenderedPageBreak/>
        <w:t>lo conducente a las áreas de donación y equipamiento urbano; en consecuencia, puede tener conocimien</w:t>
      </w:r>
      <w:r>
        <w:rPr>
          <w:rFonts w:ascii="Palatino Linotype" w:hAnsi="Palatino Linotype"/>
        </w:rPr>
        <w:t>to de la información solicitada, de conformidad a lo siguiente:</w:t>
      </w:r>
    </w:p>
    <w:p w:rsidR="00CC522F" w:rsidRDefault="00CC522F" w:rsidP="00CC522F">
      <w:pPr>
        <w:spacing w:line="360" w:lineRule="auto"/>
        <w:contextualSpacing/>
        <w:jc w:val="both"/>
        <w:rPr>
          <w:rFonts w:ascii="Palatino Linotype" w:hAnsi="Palatino Linotype"/>
        </w:rPr>
      </w:pPr>
    </w:p>
    <w:p w:rsidR="00CC522F" w:rsidRPr="00CC522F" w:rsidRDefault="00CC522F" w:rsidP="00CC522F">
      <w:pPr>
        <w:spacing w:line="360" w:lineRule="auto"/>
        <w:ind w:left="567" w:right="1041"/>
        <w:contextualSpacing/>
        <w:jc w:val="both"/>
        <w:rPr>
          <w:rFonts w:ascii="Palatino Linotype" w:hAnsi="Palatino Linotype"/>
          <w:b/>
          <w:i/>
        </w:rPr>
      </w:pPr>
      <w:r w:rsidRPr="00CC522F">
        <w:rPr>
          <w:rFonts w:ascii="Palatino Linotype" w:hAnsi="Palatino Linotype"/>
          <w:b/>
          <w:i/>
        </w:rPr>
        <w:t xml:space="preserve">REGLAMENTO DEL LIBRO QUINTO DEL CÓDIGO ADMINISTRATIVO DEL ESTADO DE MÉXICO; </w:t>
      </w:r>
    </w:p>
    <w:p w:rsidR="00CC522F" w:rsidRPr="00A8374E" w:rsidRDefault="00CC522F" w:rsidP="00CC522F">
      <w:pPr>
        <w:spacing w:line="360" w:lineRule="auto"/>
        <w:ind w:left="567" w:right="539"/>
        <w:contextualSpacing/>
        <w:jc w:val="both"/>
        <w:rPr>
          <w:rFonts w:ascii="Palatino Linotype" w:hAnsi="Palatino Linotype"/>
          <w:b/>
          <w:i/>
        </w:rPr>
      </w:pPr>
      <w:r w:rsidRPr="00A8374E">
        <w:rPr>
          <w:rFonts w:ascii="Palatino Linotype" w:hAnsi="Palatino Linotype"/>
          <w:b/>
          <w:i/>
        </w:rPr>
        <w:t xml:space="preserve">DE LAS ÁREAS DE DONACIÓN AL MUNICIPIO </w:t>
      </w:r>
    </w:p>
    <w:p w:rsidR="00CC522F" w:rsidRPr="00A8374E" w:rsidRDefault="00CC522F" w:rsidP="00CC522F">
      <w:pPr>
        <w:spacing w:line="360" w:lineRule="auto"/>
        <w:ind w:left="567" w:right="539"/>
        <w:contextualSpacing/>
        <w:jc w:val="both"/>
        <w:rPr>
          <w:rFonts w:ascii="Palatino Linotype" w:hAnsi="Palatino Linotype"/>
          <w:i/>
        </w:rPr>
      </w:pPr>
      <w:r w:rsidRPr="00A8374E">
        <w:rPr>
          <w:rFonts w:ascii="Palatino Linotype" w:hAnsi="Palatino Linotype"/>
          <w:b/>
          <w:i/>
        </w:rPr>
        <w:t>Artículo 58. Las áreas de donación a favor del municipio podrán ubicarse fuera del conjunto urbano,</w:t>
      </w:r>
      <w:r w:rsidRPr="00A8374E">
        <w:rPr>
          <w:rFonts w:ascii="Palatino Linotype" w:hAnsi="Palatino Linotype"/>
          <w:i/>
        </w:rPr>
        <w:t xml:space="preserve"> pero dentro del territorio municipal en áreas urbanas o urbanizables y con valor equivalente al establecido en el acuerdo de autorización conforme al estudio de valores unitarios del suelo emitido por el Instituto de Información e Investigación, Geográfica, Estadística y Catastral del Estado de México. </w:t>
      </w:r>
    </w:p>
    <w:p w:rsidR="00CC522F" w:rsidRPr="00A8374E" w:rsidRDefault="00CC522F" w:rsidP="00CC522F">
      <w:pPr>
        <w:spacing w:line="360" w:lineRule="auto"/>
        <w:ind w:left="567" w:right="539"/>
        <w:contextualSpacing/>
        <w:jc w:val="both"/>
        <w:rPr>
          <w:rFonts w:ascii="Palatino Linotype" w:hAnsi="Palatino Linotype"/>
          <w:i/>
        </w:rPr>
      </w:pPr>
      <w:r w:rsidRPr="00A8374E">
        <w:rPr>
          <w:rFonts w:ascii="Palatino Linotype" w:hAnsi="Palatino Linotype"/>
          <w:i/>
        </w:rPr>
        <w:t xml:space="preserve">Para efectos del párrafo anterior, respecto de las áreas de donación que correspondan al municipio, se deberá contar con la opinión favorable de la persona titular de la Dirección de Desarrollo Urbano o su equivalente. </w:t>
      </w:r>
    </w:p>
    <w:p w:rsidR="00CC522F" w:rsidRPr="003F6F37" w:rsidRDefault="00CC522F" w:rsidP="00CC522F">
      <w:pPr>
        <w:spacing w:line="360" w:lineRule="auto"/>
        <w:ind w:left="567" w:right="539"/>
        <w:contextualSpacing/>
        <w:jc w:val="both"/>
        <w:rPr>
          <w:rFonts w:ascii="Palatino Linotype" w:hAnsi="Palatino Linotype"/>
          <w:b/>
          <w:i/>
        </w:rPr>
      </w:pPr>
      <w:r w:rsidRPr="00A8374E">
        <w:rPr>
          <w:rFonts w:ascii="Palatino Linotype" w:hAnsi="Palatino Linotype"/>
          <w:b/>
          <w:i/>
        </w:rPr>
        <w:t>La superficie de las áreas de donación a favor del municipio será determinada por la Secretaría en la autorización del conjunto urbano, conforme a este Reglamento</w:t>
      </w:r>
      <w:r w:rsidRPr="00A8374E">
        <w:rPr>
          <w:rFonts w:ascii="Palatino Linotype" w:hAnsi="Palatino Linotype"/>
          <w:i/>
        </w:rPr>
        <w:t xml:space="preserve">. </w:t>
      </w:r>
      <w:r w:rsidRPr="003F6F37">
        <w:rPr>
          <w:rFonts w:ascii="Palatino Linotype" w:hAnsi="Palatino Linotype"/>
          <w:b/>
          <w:i/>
        </w:rPr>
        <w:t xml:space="preserve">La ubicación y destino de las áreas de donación podrá ser determinada con posterioridad al acuerdo de autorización, en función de las necesidades del municipio, mismas que deberán contar con frente a vía pública. </w:t>
      </w:r>
    </w:p>
    <w:p w:rsidR="00CC522F" w:rsidRPr="00A8374E" w:rsidRDefault="00CC522F" w:rsidP="00CC522F">
      <w:pPr>
        <w:spacing w:line="360" w:lineRule="auto"/>
        <w:ind w:left="567" w:right="539"/>
        <w:contextualSpacing/>
        <w:jc w:val="both"/>
        <w:rPr>
          <w:rFonts w:ascii="Palatino Linotype" w:hAnsi="Palatino Linotype"/>
          <w:i/>
        </w:rPr>
      </w:pPr>
      <w:r w:rsidRPr="00A8374E">
        <w:rPr>
          <w:rFonts w:ascii="Palatino Linotype" w:hAnsi="Palatino Linotype"/>
          <w:i/>
        </w:rPr>
        <w:t xml:space="preserve">La Secretaría, a solicitud expresa realizada por la persona titular de la Dirección de Desarrollo Urbano o su equivalente en el municipio, dentro de los treinta días posteriores a que surta efectos la autorización del conjunto urbano, podrá autorizar que su titular cumpla la obligación de ceder áreas de donación, a través de la aportación en numerario o de la realización de obra pública al municipio. </w:t>
      </w:r>
    </w:p>
    <w:p w:rsidR="00CC522F" w:rsidRPr="00A8374E" w:rsidRDefault="00CC522F" w:rsidP="00CC522F">
      <w:pPr>
        <w:spacing w:line="360" w:lineRule="auto"/>
        <w:ind w:left="567" w:right="539"/>
        <w:contextualSpacing/>
        <w:jc w:val="both"/>
        <w:rPr>
          <w:rFonts w:ascii="Palatino Linotype" w:hAnsi="Palatino Linotype"/>
          <w:i/>
        </w:rPr>
      </w:pPr>
      <w:r w:rsidRPr="00A8374E">
        <w:rPr>
          <w:rFonts w:ascii="Palatino Linotype" w:hAnsi="Palatino Linotype"/>
          <w:i/>
        </w:rPr>
        <w:lastRenderedPageBreak/>
        <w:t>El Titular o Representante Legal, no incurren en incumplimiento a la obligación fijada en el acuerdo de autorización, cuando la definición y ubicación del área de donación a realizarse fuera del conjunto urbano, se defina por el municipio después del plazo fijado en el presente Reglamento para tal efecto. El Titular o Representante Legal, para garantizar el cumplimiento del área de donación y continuar con los trámites, obras y acciones que correspondan, podrá presentar ante la Secretaría Fianza a favor del municipio, cuyo monto se fijará conforme al valor que sea determinado por el Instituto de Información e Investigación Geográfica, Estadística y Catastral del Estado de México.</w:t>
      </w:r>
    </w:p>
    <w:p w:rsidR="00CC522F" w:rsidRPr="00A8374E" w:rsidRDefault="00CC522F" w:rsidP="00CC522F">
      <w:pPr>
        <w:spacing w:line="360" w:lineRule="auto"/>
        <w:ind w:left="567" w:right="539"/>
        <w:contextualSpacing/>
        <w:jc w:val="both"/>
        <w:rPr>
          <w:rFonts w:ascii="Palatino Linotype" w:hAnsi="Palatino Linotype"/>
          <w:b/>
          <w:i/>
        </w:rPr>
      </w:pPr>
      <w:r w:rsidRPr="00A8374E">
        <w:rPr>
          <w:rFonts w:ascii="Palatino Linotype" w:hAnsi="Palatino Linotype"/>
          <w:b/>
          <w:i/>
        </w:rPr>
        <w:t xml:space="preserve">DE LA ENTREGA Y RECEPCIÓN DE OBRAS </w:t>
      </w:r>
    </w:p>
    <w:p w:rsidR="00CC522F" w:rsidRPr="00A8374E" w:rsidRDefault="00CC522F" w:rsidP="00CC522F">
      <w:pPr>
        <w:spacing w:line="360" w:lineRule="auto"/>
        <w:ind w:left="567" w:right="539"/>
        <w:contextualSpacing/>
        <w:jc w:val="both"/>
        <w:rPr>
          <w:rFonts w:ascii="Palatino Linotype" w:hAnsi="Palatino Linotype"/>
          <w:b/>
          <w:i/>
        </w:rPr>
      </w:pPr>
      <w:r w:rsidRPr="00A8374E">
        <w:rPr>
          <w:rFonts w:ascii="Palatino Linotype" w:hAnsi="Palatino Linotype"/>
          <w:b/>
          <w:i/>
        </w:rPr>
        <w:t xml:space="preserve">Artículo 133. La entrega y recepción de las obras de urbanización, equipamiento urbano y en su caso de Infraestructura Primaria de fraccionamientos, conjuntos urbanos y en su caso subdivisiones y condominios, podrá ser de forma total o parcial. </w:t>
      </w:r>
    </w:p>
    <w:p w:rsidR="00CC522F" w:rsidRPr="00A8374E" w:rsidRDefault="00CC522F" w:rsidP="00CC522F">
      <w:pPr>
        <w:spacing w:line="360" w:lineRule="auto"/>
        <w:ind w:left="567" w:right="539"/>
        <w:contextualSpacing/>
        <w:jc w:val="both"/>
        <w:rPr>
          <w:rFonts w:ascii="Palatino Linotype" w:hAnsi="Palatino Linotype"/>
          <w:i/>
        </w:rPr>
      </w:pPr>
      <w:r w:rsidRPr="00A8374E">
        <w:rPr>
          <w:rFonts w:ascii="Palatino Linotype" w:hAnsi="Palatino Linotype"/>
          <w:i/>
        </w:rPr>
        <w:t xml:space="preserve">Para el caso de la entrega total, el interesado una vez cerrada la bitácora de supervisión solicitará a la Secretaría la elaboración del acta de entrega recepción de las obras de urbanización, equipamiento urbano y en su caso de Infraestructura Primaria, en un plazo de treinta días contados a partir del día siguiente al cierre de la bitácora, conforme al procedimiento previsto en el artículo siguiente. </w:t>
      </w:r>
    </w:p>
    <w:p w:rsidR="00CC522F" w:rsidRPr="00A8374E" w:rsidRDefault="00CC522F" w:rsidP="00CC522F">
      <w:pPr>
        <w:spacing w:line="360" w:lineRule="auto"/>
        <w:ind w:left="567" w:right="539"/>
        <w:contextualSpacing/>
        <w:jc w:val="both"/>
        <w:rPr>
          <w:rFonts w:ascii="Palatino Linotype" w:hAnsi="Palatino Linotype"/>
          <w:i/>
        </w:rPr>
      </w:pPr>
      <w:r w:rsidRPr="00A8374E">
        <w:rPr>
          <w:rFonts w:ascii="Palatino Linotype" w:hAnsi="Palatino Linotype"/>
          <w:i/>
        </w:rPr>
        <w:t xml:space="preserve">Tratándose de la entrega y recepción parcial de las obras de urbanización, equipamiento y en su caso de Infraestructura Primaria, el Titular de la autorización solicitará a la Secretaría, la elaboración del acta de entrega en un plazo de treinta días contados a partir de la fecha en que se haya constatado el cien por ciento del avance físico de las obras a entregar. </w:t>
      </w:r>
    </w:p>
    <w:p w:rsidR="00CC522F" w:rsidRPr="00A8374E" w:rsidRDefault="00CC522F" w:rsidP="00CC522F">
      <w:pPr>
        <w:spacing w:line="360" w:lineRule="auto"/>
        <w:ind w:left="567" w:right="539"/>
        <w:contextualSpacing/>
        <w:jc w:val="both"/>
        <w:rPr>
          <w:rFonts w:ascii="Palatino Linotype" w:hAnsi="Palatino Linotype"/>
          <w:i/>
        </w:rPr>
      </w:pPr>
      <w:r w:rsidRPr="00A8374E">
        <w:rPr>
          <w:rFonts w:ascii="Palatino Linotype" w:hAnsi="Palatino Linotype"/>
          <w:i/>
        </w:rPr>
        <w:lastRenderedPageBreak/>
        <w:t xml:space="preserve">En el caso de las obras de Infraestructura Primaria, el Titular de la autorización entregará directamente las obras correspondientes a la autoridad que dictaminó y aprobó su ejecución, por medio de acta entrega recepción, debiendo informar por oficio a la Secretaría. Para el caso de que la fuente de abastecimiento de agua del conjunto urbano o condominio tenga como origen una concesión para la explotación, uso o aprovechamiento de aguas nacionales otorgada por la Comisión Nacional del Agua cuyos derechos pertenezcan al titular de la autorización, los mismos deberán ser cedidos a la autoridad municipal en el momento de la entrega-recepción de la infraestructura primaria para la prestación del servicio de agua, y en su caso, de alcantarillado sanitario, drenaje pluvial y saneamiento, para que el municipio tome a su cargo los servicios que le son inherentes para su operación y mantenimiento. </w:t>
      </w:r>
    </w:p>
    <w:p w:rsidR="00CC522F" w:rsidRPr="00A8374E" w:rsidRDefault="00CC522F" w:rsidP="00CC522F">
      <w:pPr>
        <w:spacing w:line="360" w:lineRule="auto"/>
        <w:ind w:left="567" w:right="539"/>
        <w:contextualSpacing/>
        <w:jc w:val="both"/>
        <w:rPr>
          <w:rFonts w:ascii="Palatino Linotype" w:hAnsi="Palatino Linotype"/>
          <w:i/>
        </w:rPr>
      </w:pPr>
      <w:r w:rsidRPr="00A8374E">
        <w:rPr>
          <w:rFonts w:ascii="Palatino Linotype" w:hAnsi="Palatino Linotype"/>
          <w:i/>
        </w:rPr>
        <w:t xml:space="preserve">Previamente a la entrega y recepción de las obras, el Titular de la autorización deberá haber celebrado el contrato de donación de las áreas en donde se hayan construido las obras de equipamiento urbano que se entregan. </w:t>
      </w:r>
    </w:p>
    <w:p w:rsidR="00CC522F" w:rsidRPr="00A8374E" w:rsidRDefault="00CC522F" w:rsidP="00CC522F">
      <w:pPr>
        <w:spacing w:line="360" w:lineRule="auto"/>
        <w:ind w:left="567" w:right="539"/>
        <w:contextualSpacing/>
        <w:jc w:val="both"/>
        <w:rPr>
          <w:rFonts w:ascii="Palatino Linotype" w:hAnsi="Palatino Linotype"/>
          <w:i/>
        </w:rPr>
      </w:pPr>
      <w:r w:rsidRPr="00A8374E">
        <w:rPr>
          <w:rFonts w:ascii="Palatino Linotype" w:hAnsi="Palatino Linotype"/>
          <w:i/>
        </w:rPr>
        <w:t xml:space="preserve">Los Titulares de la autorización del desarrollo deberán, previo a la entrega al municipio, retirar todas aquellas obras provisionales que obstruyan las vías públicas del desarrollo y áreas de donación, que no formen parte de la autorización. </w:t>
      </w:r>
    </w:p>
    <w:p w:rsidR="00CC522F" w:rsidRPr="00A8374E" w:rsidRDefault="00CC522F" w:rsidP="00CC522F">
      <w:pPr>
        <w:spacing w:line="360" w:lineRule="auto"/>
        <w:ind w:left="567" w:right="539"/>
        <w:contextualSpacing/>
        <w:jc w:val="both"/>
        <w:rPr>
          <w:rFonts w:ascii="Palatino Linotype" w:hAnsi="Palatino Linotype"/>
          <w:i/>
        </w:rPr>
      </w:pPr>
      <w:r w:rsidRPr="00A8374E">
        <w:rPr>
          <w:rFonts w:ascii="Palatino Linotype" w:hAnsi="Palatino Linotype"/>
          <w:i/>
        </w:rPr>
        <w:t xml:space="preserve">Las obras de equipamiento urbano regional serán entregadas a la Secretaría de Finanzas. </w:t>
      </w:r>
    </w:p>
    <w:p w:rsidR="00CC522F" w:rsidRPr="00A8374E" w:rsidRDefault="00CC522F" w:rsidP="00CC522F">
      <w:pPr>
        <w:spacing w:line="360" w:lineRule="auto"/>
        <w:ind w:right="539"/>
        <w:contextualSpacing/>
        <w:jc w:val="both"/>
        <w:rPr>
          <w:rFonts w:ascii="Palatino Linotype" w:hAnsi="Palatino Linotype"/>
        </w:rPr>
      </w:pPr>
    </w:p>
    <w:p w:rsidR="00CC522F" w:rsidRPr="00A8374E" w:rsidRDefault="00CC522F" w:rsidP="00CC522F">
      <w:pPr>
        <w:spacing w:line="360" w:lineRule="auto"/>
        <w:ind w:left="567" w:right="539"/>
        <w:contextualSpacing/>
        <w:jc w:val="both"/>
        <w:rPr>
          <w:rFonts w:ascii="Palatino Linotype" w:hAnsi="Palatino Linotype"/>
          <w:b/>
          <w:i/>
        </w:rPr>
      </w:pPr>
      <w:r w:rsidRPr="00A8374E">
        <w:rPr>
          <w:rFonts w:ascii="Palatino Linotype" w:hAnsi="Palatino Linotype"/>
          <w:b/>
          <w:i/>
        </w:rPr>
        <w:t xml:space="preserve">DEL PROCEDIMIENTO DE ENTREGA Y RECEPCIÓN DE OBRAS </w:t>
      </w:r>
    </w:p>
    <w:p w:rsidR="00CC522F" w:rsidRPr="00A8374E" w:rsidRDefault="00CC522F" w:rsidP="00CC522F">
      <w:pPr>
        <w:spacing w:line="360" w:lineRule="auto"/>
        <w:ind w:left="567" w:right="539"/>
        <w:contextualSpacing/>
        <w:jc w:val="both"/>
        <w:rPr>
          <w:rFonts w:ascii="Palatino Linotype" w:hAnsi="Palatino Linotype"/>
          <w:b/>
          <w:i/>
        </w:rPr>
      </w:pPr>
      <w:r w:rsidRPr="00A8374E">
        <w:rPr>
          <w:rFonts w:ascii="Palatino Linotype" w:hAnsi="Palatino Linotype"/>
          <w:b/>
          <w:i/>
        </w:rPr>
        <w:t>Artículo 134</w:t>
      </w:r>
      <w:r w:rsidRPr="00A8374E">
        <w:rPr>
          <w:rFonts w:ascii="Palatino Linotype" w:hAnsi="Palatino Linotype"/>
          <w:i/>
        </w:rPr>
        <w:t xml:space="preserve">. </w:t>
      </w:r>
      <w:r w:rsidRPr="00A8374E">
        <w:rPr>
          <w:rFonts w:ascii="Palatino Linotype" w:hAnsi="Palatino Linotype"/>
          <w:b/>
          <w:i/>
        </w:rPr>
        <w:t>La entrega recepción total o parcial de las obras de urbanización, equipamiento urbano y en su caso de Infraestructura Primaria, con independencia de lo establecido las disposiciones jurídicas aplicables, se sujetará al procedimiento siguiente:</w:t>
      </w:r>
    </w:p>
    <w:p w:rsidR="00CC522F" w:rsidRPr="00A8374E" w:rsidRDefault="00CC522F" w:rsidP="00CC522F">
      <w:pPr>
        <w:spacing w:line="360" w:lineRule="auto"/>
        <w:ind w:left="567" w:right="539"/>
        <w:contextualSpacing/>
        <w:jc w:val="both"/>
        <w:rPr>
          <w:rFonts w:ascii="Palatino Linotype" w:hAnsi="Palatino Linotype"/>
          <w:i/>
        </w:rPr>
      </w:pPr>
      <w:r w:rsidRPr="00A8374E">
        <w:rPr>
          <w:rFonts w:ascii="Palatino Linotype" w:hAnsi="Palatino Linotype"/>
          <w:i/>
        </w:rPr>
        <w:lastRenderedPageBreak/>
        <w:t>I…</w:t>
      </w:r>
    </w:p>
    <w:p w:rsidR="00CC522F" w:rsidRPr="00A8374E" w:rsidRDefault="00CC522F" w:rsidP="00CC522F">
      <w:pPr>
        <w:spacing w:line="360" w:lineRule="auto"/>
        <w:ind w:left="567" w:right="539"/>
        <w:contextualSpacing/>
        <w:jc w:val="both"/>
        <w:rPr>
          <w:rFonts w:ascii="Palatino Linotype" w:hAnsi="Palatino Linotype"/>
          <w:i/>
        </w:rPr>
      </w:pPr>
      <w:r w:rsidRPr="00A8374E">
        <w:rPr>
          <w:rFonts w:ascii="Palatino Linotype" w:hAnsi="Palatino Linotype"/>
          <w:i/>
        </w:rPr>
        <w:t xml:space="preserve">II. Dentro de los cinco días siguientes a la recepción de la solicitud y de la totalidad de la documentación requerida, la Secretaría o instancia correspondiente elaborará el acta y comunicará al Titular de la autorización, el monto, condiciones y características de la garantía que deberá constituir para responder por defectos o vicios ocultos de las obras. Dicho monto será determinado por la Secretaría conforme a lo dispuesto por el Código y sus disposiciones reglamentarias. </w:t>
      </w:r>
    </w:p>
    <w:p w:rsidR="00CC522F" w:rsidRPr="00A8374E" w:rsidRDefault="00CC522F" w:rsidP="00CC522F">
      <w:pPr>
        <w:spacing w:line="360" w:lineRule="auto"/>
        <w:ind w:left="567" w:right="539"/>
        <w:contextualSpacing/>
        <w:jc w:val="both"/>
        <w:rPr>
          <w:rFonts w:ascii="Palatino Linotype" w:hAnsi="Palatino Linotype"/>
          <w:i/>
        </w:rPr>
      </w:pPr>
      <w:r w:rsidRPr="00A8374E">
        <w:rPr>
          <w:rFonts w:ascii="Palatino Linotype" w:hAnsi="Palatino Linotype"/>
          <w:i/>
        </w:rPr>
        <w:t xml:space="preserve">El Titular de la autorización deberá presentar la Fianza contra vicios ocultos en un plazo de diez días, a la Secretaría o instancia correspondiente. </w:t>
      </w:r>
    </w:p>
    <w:p w:rsidR="00CC522F" w:rsidRPr="00A8374E" w:rsidRDefault="00CC522F" w:rsidP="00CC522F">
      <w:pPr>
        <w:spacing w:line="360" w:lineRule="auto"/>
        <w:ind w:left="567" w:right="539"/>
        <w:contextualSpacing/>
        <w:jc w:val="both"/>
        <w:rPr>
          <w:rFonts w:ascii="Palatino Linotype" w:hAnsi="Palatino Linotype"/>
          <w:i/>
        </w:rPr>
      </w:pPr>
      <w:r w:rsidRPr="00A8374E">
        <w:rPr>
          <w:rFonts w:ascii="Palatino Linotype" w:hAnsi="Palatino Linotype"/>
          <w:b/>
          <w:i/>
        </w:rPr>
        <w:t>III.</w:t>
      </w:r>
      <w:r w:rsidRPr="00A8374E">
        <w:rPr>
          <w:rFonts w:ascii="Palatino Linotype" w:hAnsi="Palatino Linotype"/>
          <w:i/>
        </w:rPr>
        <w:t xml:space="preserve"> Presentadas las garantías a que se refiere la fracción anterior</w:t>
      </w:r>
      <w:r w:rsidRPr="00A8374E">
        <w:rPr>
          <w:rFonts w:ascii="Palatino Linotype" w:hAnsi="Palatino Linotype"/>
          <w:b/>
          <w:i/>
        </w:rPr>
        <w:t>, la Secretaría y/o instancia correspondiente, elaborará y remitirá el acta al interesado y a la autoridad municipal para que en un plazo de veinte días se lleve a cabo su suscripción.</w:t>
      </w:r>
      <w:r w:rsidRPr="00A8374E">
        <w:rPr>
          <w:rFonts w:ascii="Palatino Linotype" w:hAnsi="Palatino Linotype"/>
          <w:i/>
        </w:rPr>
        <w:t xml:space="preserve"> Una vez suscrita se remitirá a la Secretaría dentro de los cinco días siguientes. En caso que la autoridad municipal no suscriba el acta, la Secretaría levantará el acta circunstanciada correspondiente en la que se asentará dicha situación, procediendo ésta a mandar publicar dicha acta circunstanciada en el Periódico Oficial “Gaceta del Gobierno” en un plazo de treinta días, </w:t>
      </w:r>
      <w:proofErr w:type="spellStart"/>
      <w:r w:rsidRPr="00A8374E">
        <w:rPr>
          <w:rFonts w:ascii="Palatino Linotype" w:hAnsi="Palatino Linotype"/>
          <w:i/>
        </w:rPr>
        <w:t>dejándose</w:t>
      </w:r>
      <w:proofErr w:type="spellEnd"/>
      <w:r w:rsidRPr="00A8374E">
        <w:rPr>
          <w:rFonts w:ascii="Palatino Linotype" w:hAnsi="Palatino Linotype"/>
          <w:i/>
        </w:rPr>
        <w:t xml:space="preserve"> a salvo los derechos del Titular de la autorización y de los adquirientes de lotes o viviendas para ejercitar las acciones correspondientes; </w:t>
      </w:r>
    </w:p>
    <w:p w:rsidR="00CC522F" w:rsidRPr="00A8374E" w:rsidRDefault="00CC522F" w:rsidP="00CC522F">
      <w:pPr>
        <w:spacing w:line="360" w:lineRule="auto"/>
        <w:ind w:left="567" w:right="539"/>
        <w:contextualSpacing/>
        <w:jc w:val="both"/>
        <w:rPr>
          <w:rFonts w:ascii="Palatino Linotype" w:hAnsi="Palatino Linotype"/>
          <w:b/>
          <w:i/>
        </w:rPr>
      </w:pPr>
      <w:r w:rsidRPr="00A8374E">
        <w:rPr>
          <w:rFonts w:ascii="Palatino Linotype" w:hAnsi="Palatino Linotype"/>
          <w:b/>
          <w:i/>
        </w:rPr>
        <w:t xml:space="preserve">IV. Una vez publicada el acta circunstanciada, los servicios públicos que requiera el desarrollo serán prestados por la autoridad municipal; </w:t>
      </w:r>
    </w:p>
    <w:p w:rsidR="00CC522F" w:rsidRPr="00A8374E" w:rsidRDefault="00CC522F" w:rsidP="00CC522F">
      <w:pPr>
        <w:spacing w:line="360" w:lineRule="auto"/>
        <w:ind w:left="567" w:right="539"/>
        <w:contextualSpacing/>
        <w:jc w:val="both"/>
        <w:rPr>
          <w:rFonts w:ascii="Palatino Linotype" w:hAnsi="Palatino Linotype"/>
          <w:i/>
        </w:rPr>
      </w:pPr>
      <w:r w:rsidRPr="00A8374E">
        <w:rPr>
          <w:rFonts w:ascii="Palatino Linotype" w:hAnsi="Palatino Linotype"/>
          <w:i/>
        </w:rPr>
        <w:t xml:space="preserve">V. En caso que en el período de vigencia de garantía por vicios ocultos resultaran daños en las obras realizadas, el municipio hará efectiva dicha garantía, y </w:t>
      </w:r>
    </w:p>
    <w:p w:rsidR="00CC522F" w:rsidRPr="00A8374E" w:rsidRDefault="00CC522F" w:rsidP="00CC522F">
      <w:pPr>
        <w:spacing w:line="360" w:lineRule="auto"/>
        <w:ind w:left="567" w:right="539"/>
        <w:contextualSpacing/>
        <w:jc w:val="both"/>
        <w:rPr>
          <w:rFonts w:ascii="Palatino Linotype" w:hAnsi="Palatino Linotype"/>
          <w:i/>
        </w:rPr>
      </w:pPr>
      <w:r w:rsidRPr="00A8374E">
        <w:rPr>
          <w:rFonts w:ascii="Palatino Linotype" w:hAnsi="Palatino Linotype"/>
          <w:b/>
          <w:i/>
        </w:rPr>
        <w:lastRenderedPageBreak/>
        <w:t>VI. La Secretaría, remitirá al municipio, el original de la Fianza contra vicios ocultos, asimismo, entregará al desarrollador y al municipio, original del acta de entrega recepción de las obras, en un plazo de veinte días contados a partir de la fecha de su suscripción</w:t>
      </w:r>
      <w:r w:rsidRPr="00A8374E">
        <w:rPr>
          <w:rFonts w:ascii="Palatino Linotype" w:hAnsi="Palatino Linotype"/>
          <w:i/>
        </w:rPr>
        <w:t xml:space="preserve">. </w:t>
      </w:r>
    </w:p>
    <w:p w:rsidR="00CC522F" w:rsidRPr="00A8374E" w:rsidRDefault="00CC522F" w:rsidP="00CC522F">
      <w:pPr>
        <w:spacing w:line="360" w:lineRule="auto"/>
        <w:ind w:left="567" w:right="539"/>
        <w:contextualSpacing/>
        <w:jc w:val="both"/>
        <w:rPr>
          <w:rFonts w:ascii="Palatino Linotype" w:hAnsi="Palatino Linotype"/>
          <w:i/>
        </w:rPr>
      </w:pPr>
      <w:r w:rsidRPr="00A8374E">
        <w:rPr>
          <w:rFonts w:ascii="Palatino Linotype" w:hAnsi="Palatino Linotype"/>
          <w:i/>
        </w:rPr>
        <w:t xml:space="preserve">A partir de la fecha de la entrega y recepción de las obras o de la publicación en el Periódico Oficial “Gaceta del Gobierno” del acta circunstanciada, el municipio, se encargará de su mantenimiento y la prestación de los servicios públicos respectivos. </w:t>
      </w:r>
    </w:p>
    <w:p w:rsidR="00CC522F" w:rsidRPr="00A8374E" w:rsidRDefault="00CC522F" w:rsidP="00CC522F">
      <w:pPr>
        <w:spacing w:line="360" w:lineRule="auto"/>
        <w:ind w:left="567" w:right="539"/>
        <w:contextualSpacing/>
        <w:jc w:val="both"/>
        <w:rPr>
          <w:rFonts w:ascii="Palatino Linotype" w:hAnsi="Palatino Linotype"/>
          <w:i/>
        </w:rPr>
      </w:pPr>
      <w:r w:rsidRPr="00A8374E">
        <w:rPr>
          <w:rFonts w:ascii="Palatino Linotype" w:hAnsi="Palatino Linotype"/>
          <w:i/>
        </w:rPr>
        <w:t>Con relación a la entrega recepción de las obras de Infraestructura Primaria, estas deberán ser tramitadas ante las instancias que habrán de operarlas, con la participación de las dependencias normativas que avalaron o emitieron el dictamen respectivo.</w:t>
      </w:r>
    </w:p>
    <w:p w:rsidR="00CC522F" w:rsidRPr="00A8374E" w:rsidRDefault="00CC522F" w:rsidP="00CC522F">
      <w:pPr>
        <w:spacing w:line="360" w:lineRule="auto"/>
        <w:ind w:left="567" w:right="539"/>
        <w:contextualSpacing/>
        <w:jc w:val="both"/>
        <w:rPr>
          <w:rFonts w:ascii="Palatino Linotype" w:hAnsi="Palatino Linotype"/>
        </w:rPr>
      </w:pPr>
      <w:r w:rsidRPr="00A8374E">
        <w:rPr>
          <w:rFonts w:ascii="Palatino Linotype" w:hAnsi="Palatino Linotype"/>
        </w:rPr>
        <w:t>(Énfasis añadido)</w:t>
      </w:r>
    </w:p>
    <w:p w:rsidR="00CC522F" w:rsidRDefault="00CC522F" w:rsidP="00D97AB5">
      <w:pPr>
        <w:spacing w:line="360" w:lineRule="auto"/>
        <w:jc w:val="both"/>
        <w:rPr>
          <w:rFonts w:ascii="Palatino Linotype" w:eastAsia="Palatino Linotype" w:hAnsi="Palatino Linotype" w:cs="Palatino Linotype"/>
          <w:sz w:val="24"/>
          <w:szCs w:val="24"/>
        </w:rPr>
      </w:pPr>
    </w:p>
    <w:p w:rsidR="008B6E62" w:rsidRDefault="00781259" w:rsidP="00AA74C8">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Razones del Voto particular</w:t>
      </w:r>
      <w:r w:rsidR="000626A1">
        <w:rPr>
          <w:rFonts w:ascii="Palatino Linotype" w:eastAsia="Palatino Linotype" w:hAnsi="Palatino Linotype" w:cs="Palatino Linotype"/>
          <w:b/>
          <w:sz w:val="24"/>
          <w:szCs w:val="24"/>
        </w:rPr>
        <w:t xml:space="preserve">. </w:t>
      </w:r>
    </w:p>
    <w:p w:rsidR="003F6F37" w:rsidRDefault="000626A1" w:rsidP="00AA74C8">
      <w:pPr>
        <w:spacing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Ahora bien, si bien se comparte </w:t>
      </w:r>
      <w:r w:rsidR="003F6F37">
        <w:rPr>
          <w:rFonts w:ascii="Palatino Linotype" w:eastAsia="Palatino Linotype" w:hAnsi="Palatino Linotype" w:cs="Palatino Linotype"/>
          <w:color w:val="000000"/>
          <w:sz w:val="24"/>
          <w:szCs w:val="24"/>
        </w:rPr>
        <w:t>de forma parcial el estudio realizado,</w:t>
      </w:r>
      <w:r w:rsidR="003F6F37" w:rsidRPr="003F6F37">
        <w:rPr>
          <w:rFonts w:ascii="Palatino Linotype" w:eastAsia="Palatino Linotype" w:hAnsi="Palatino Linotype" w:cs="Palatino Linotype"/>
          <w:color w:val="000000"/>
          <w:sz w:val="24"/>
          <w:szCs w:val="24"/>
        </w:rPr>
        <w:t xml:space="preserve"> ya que si bien existe fuente obligacional para que </w:t>
      </w:r>
      <w:r w:rsidR="003F6F37" w:rsidRPr="003F6F37">
        <w:rPr>
          <w:rFonts w:ascii="Palatino Linotype" w:eastAsia="Palatino Linotype" w:hAnsi="Palatino Linotype" w:cs="Palatino Linotype"/>
          <w:b/>
          <w:color w:val="000000"/>
          <w:sz w:val="24"/>
          <w:szCs w:val="24"/>
        </w:rPr>
        <w:t>EL SUJETO OBLIGADO</w:t>
      </w:r>
      <w:r w:rsidR="003F6F37" w:rsidRPr="003F6F37">
        <w:rPr>
          <w:rFonts w:ascii="Palatino Linotype" w:eastAsia="Palatino Linotype" w:hAnsi="Palatino Linotype" w:cs="Palatino Linotype"/>
          <w:color w:val="000000"/>
          <w:sz w:val="24"/>
          <w:szCs w:val="24"/>
        </w:rPr>
        <w:t xml:space="preserve"> genere, posea o administre la información relativa a las áreas de donación y acta entrega recepción de un conjunto habitacional, no se tiene la certeza de que dicho supuesto ya se haya actualizado a la fecha de la solicitud de información,</w:t>
      </w:r>
      <w:r w:rsidR="003F6F37" w:rsidRPr="003F6F37">
        <w:t xml:space="preserve"> </w:t>
      </w:r>
      <w:r w:rsidR="003F6F37" w:rsidRPr="003F6F37">
        <w:rPr>
          <w:rFonts w:ascii="Palatino Linotype" w:eastAsia="Palatino Linotype" w:hAnsi="Palatino Linotype" w:cs="Palatino Linotype"/>
          <w:color w:val="000000"/>
          <w:sz w:val="24"/>
          <w:szCs w:val="24"/>
        </w:rPr>
        <w:t>ya que de acuerdo al artículo 58 del Reglamento del Libro Quinto del Código Administrativo del Estado de México (miso que citan en su estudio) la ubicación y destino de las áreas de donación podrá ser determinada con posterioridad al acuerdo de autorización.</w:t>
      </w:r>
      <w:r w:rsidR="003F6F37">
        <w:rPr>
          <w:rFonts w:ascii="Palatino Linotype" w:eastAsia="Palatino Linotype" w:hAnsi="Palatino Linotype" w:cs="Palatino Linotype"/>
          <w:color w:val="000000"/>
          <w:sz w:val="24"/>
          <w:szCs w:val="24"/>
        </w:rPr>
        <w:t xml:space="preserve"> </w:t>
      </w:r>
    </w:p>
    <w:p w:rsidR="00AA74C8" w:rsidRDefault="00AA74C8" w:rsidP="00AA74C8">
      <w:pPr>
        <w:spacing w:line="360" w:lineRule="auto"/>
        <w:jc w:val="both"/>
        <w:rPr>
          <w:rFonts w:ascii="Palatino Linotype" w:eastAsia="Palatino Linotype" w:hAnsi="Palatino Linotype" w:cs="Palatino Linotype"/>
          <w:color w:val="000000"/>
          <w:sz w:val="24"/>
          <w:szCs w:val="24"/>
        </w:rPr>
      </w:pPr>
    </w:p>
    <w:p w:rsidR="003F6F37" w:rsidRDefault="003F6F37" w:rsidP="003F6F37">
      <w:pPr>
        <w:spacing w:line="360" w:lineRule="auto"/>
        <w:ind w:left="567" w:right="539"/>
        <w:contextualSpacing/>
        <w:jc w:val="both"/>
        <w:rPr>
          <w:rFonts w:ascii="Palatino Linotype" w:hAnsi="Palatino Linotype"/>
          <w:i/>
        </w:rPr>
      </w:pPr>
      <w:r w:rsidRPr="00A8374E">
        <w:rPr>
          <w:rFonts w:ascii="Palatino Linotype" w:hAnsi="Palatino Linotype"/>
          <w:b/>
          <w:i/>
        </w:rPr>
        <w:lastRenderedPageBreak/>
        <w:t>Artículo 58. Las áreas de donación a favor del municipio podrán ubicarse fuera del conjunto urbano,</w:t>
      </w:r>
      <w:r w:rsidRPr="00A8374E">
        <w:rPr>
          <w:rFonts w:ascii="Palatino Linotype" w:hAnsi="Palatino Linotype"/>
          <w:i/>
        </w:rPr>
        <w:t xml:space="preserve"> pero dentro del territorio municipal en áreas urbanas o urbanizables y con valor equivalente al establecido en el acuerdo de autorización conforme al estudio de valores unitarios del suelo emitido por el Instituto de Información e Investigación, Geográfica, Estadística y Catastral del Estado de México. </w:t>
      </w:r>
    </w:p>
    <w:p w:rsidR="003F6F37" w:rsidRDefault="003F6F37" w:rsidP="003F6F37">
      <w:pPr>
        <w:spacing w:line="360" w:lineRule="auto"/>
        <w:ind w:left="567" w:right="539"/>
        <w:contextualSpacing/>
        <w:jc w:val="both"/>
        <w:rPr>
          <w:rFonts w:ascii="Palatino Linotype" w:hAnsi="Palatino Linotype"/>
          <w:i/>
        </w:rPr>
      </w:pPr>
      <w:r>
        <w:rPr>
          <w:rFonts w:ascii="Palatino Linotype" w:eastAsia="Palatino Linotype" w:hAnsi="Palatino Linotype" w:cs="Palatino Linotype"/>
          <w:color w:val="000000"/>
          <w:sz w:val="24"/>
          <w:szCs w:val="24"/>
        </w:rPr>
        <w:t>(…)</w:t>
      </w:r>
    </w:p>
    <w:p w:rsidR="003F6F37" w:rsidRPr="003F6F37" w:rsidRDefault="003F6F37" w:rsidP="003F6F37">
      <w:pPr>
        <w:spacing w:line="360" w:lineRule="auto"/>
        <w:ind w:left="567" w:right="539"/>
        <w:contextualSpacing/>
        <w:jc w:val="both"/>
        <w:rPr>
          <w:rFonts w:ascii="Palatino Linotype" w:hAnsi="Palatino Linotype"/>
          <w:i/>
          <w:sz w:val="20"/>
        </w:rPr>
      </w:pPr>
      <w:r w:rsidRPr="003F6F37">
        <w:rPr>
          <w:rFonts w:ascii="Palatino Linotype" w:eastAsia="Palatino Linotype" w:hAnsi="Palatino Linotype" w:cs="Palatino Linotype"/>
          <w:i/>
          <w:color w:val="000000"/>
          <w:szCs w:val="24"/>
        </w:rPr>
        <w:t>La ubicación y destino de las áreas de donación podrá ser determinada con posterioridad al acuerdo de autorización, en función de las necesidades del municipio, mismas que deberán contar con frente a vía pública.</w:t>
      </w:r>
    </w:p>
    <w:p w:rsidR="003F6F37" w:rsidRDefault="003F6F37" w:rsidP="003F6F37">
      <w:pPr>
        <w:jc w:val="both"/>
        <w:rPr>
          <w:rFonts w:ascii="Palatino Linotype" w:eastAsia="Palatino Linotype" w:hAnsi="Palatino Linotype" w:cs="Palatino Linotype"/>
          <w:color w:val="000000"/>
          <w:sz w:val="24"/>
          <w:szCs w:val="24"/>
        </w:rPr>
      </w:pPr>
    </w:p>
    <w:p w:rsidR="003F6F37" w:rsidRDefault="003F6F37" w:rsidP="00AA74C8">
      <w:pPr>
        <w:spacing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P</w:t>
      </w:r>
      <w:r w:rsidRPr="003F6F37">
        <w:rPr>
          <w:rFonts w:ascii="Palatino Linotype" w:eastAsia="Palatino Linotype" w:hAnsi="Palatino Linotype" w:cs="Palatino Linotype"/>
          <w:color w:val="000000"/>
          <w:sz w:val="24"/>
          <w:szCs w:val="24"/>
        </w:rPr>
        <w:t xml:space="preserve">or ello se estima </w:t>
      </w:r>
      <w:r>
        <w:rPr>
          <w:rFonts w:ascii="Palatino Linotype" w:eastAsia="Palatino Linotype" w:hAnsi="Palatino Linotype" w:cs="Palatino Linotype"/>
          <w:color w:val="000000"/>
          <w:sz w:val="24"/>
          <w:szCs w:val="24"/>
        </w:rPr>
        <w:t xml:space="preserve">que en caso de que </w:t>
      </w:r>
      <w:r w:rsidRPr="003F6F37">
        <w:rPr>
          <w:rFonts w:ascii="Palatino Linotype" w:eastAsia="Palatino Linotype" w:hAnsi="Palatino Linotype" w:cs="Palatino Linotype"/>
          <w:color w:val="000000"/>
          <w:sz w:val="24"/>
          <w:szCs w:val="24"/>
        </w:rPr>
        <w:t>no</w:t>
      </w:r>
      <w:r>
        <w:rPr>
          <w:rFonts w:ascii="Palatino Linotype" w:eastAsia="Palatino Linotype" w:hAnsi="Palatino Linotype" w:cs="Palatino Linotype"/>
          <w:color w:val="000000"/>
          <w:sz w:val="24"/>
          <w:szCs w:val="24"/>
        </w:rPr>
        <w:t xml:space="preserve"> se</w:t>
      </w:r>
      <w:r w:rsidRPr="003F6F37">
        <w:rPr>
          <w:rFonts w:ascii="Palatino Linotype" w:eastAsia="Palatino Linotype" w:hAnsi="Palatino Linotype" w:cs="Palatino Linotype"/>
          <w:color w:val="000000"/>
          <w:sz w:val="24"/>
          <w:szCs w:val="24"/>
        </w:rPr>
        <w:t xml:space="preserve"> llegará a localizar informac</w:t>
      </w:r>
      <w:r>
        <w:rPr>
          <w:rFonts w:ascii="Palatino Linotype" w:eastAsia="Palatino Linotype" w:hAnsi="Palatino Linotype" w:cs="Palatino Linotype"/>
          <w:color w:val="000000"/>
          <w:sz w:val="24"/>
          <w:szCs w:val="24"/>
        </w:rPr>
        <w:t xml:space="preserve">ión por no haberse generado, </w:t>
      </w:r>
      <w:r w:rsidR="00AA74C8" w:rsidRPr="003F6F37">
        <w:rPr>
          <w:rFonts w:ascii="Palatino Linotype" w:eastAsia="Palatino Linotype" w:hAnsi="Palatino Linotype" w:cs="Palatino Linotype"/>
          <w:color w:val="000000"/>
          <w:sz w:val="24"/>
          <w:szCs w:val="24"/>
        </w:rPr>
        <w:t xml:space="preserve">se debió considerar incorporar una salvedad simple </w:t>
      </w:r>
      <w:r w:rsidR="00AA74C8">
        <w:rPr>
          <w:rFonts w:ascii="Palatino Linotype" w:eastAsia="Palatino Linotype" w:hAnsi="Palatino Linotype" w:cs="Palatino Linotype"/>
          <w:color w:val="000000"/>
          <w:sz w:val="24"/>
          <w:szCs w:val="24"/>
        </w:rPr>
        <w:t>en donde se hiciera</w:t>
      </w:r>
      <w:r w:rsidRPr="003F6F37">
        <w:rPr>
          <w:rFonts w:ascii="Palatino Linotype" w:eastAsia="Palatino Linotype" w:hAnsi="Palatino Linotype" w:cs="Palatino Linotype"/>
          <w:color w:val="000000"/>
          <w:sz w:val="24"/>
          <w:szCs w:val="24"/>
        </w:rPr>
        <w:t xml:space="preserve"> del conocimiento de la persona solic</w:t>
      </w:r>
      <w:r>
        <w:rPr>
          <w:rFonts w:ascii="Palatino Linotype" w:eastAsia="Palatino Linotype" w:hAnsi="Palatino Linotype" w:cs="Palatino Linotype"/>
          <w:color w:val="000000"/>
          <w:sz w:val="24"/>
          <w:szCs w:val="24"/>
        </w:rPr>
        <w:t xml:space="preserve">itante en términos del artículo </w:t>
      </w:r>
      <w:r w:rsidRPr="003F6F37">
        <w:rPr>
          <w:rFonts w:ascii="Palatino Linotype" w:eastAsia="Palatino Linotype" w:hAnsi="Palatino Linotype" w:cs="Palatino Linotype"/>
          <w:color w:val="000000"/>
          <w:sz w:val="24"/>
          <w:szCs w:val="24"/>
        </w:rPr>
        <w:t xml:space="preserve">19, párrafo segundo de la Ley de Transparencia y </w:t>
      </w:r>
      <w:r>
        <w:rPr>
          <w:rFonts w:ascii="Palatino Linotype" w:eastAsia="Palatino Linotype" w:hAnsi="Palatino Linotype" w:cs="Palatino Linotype"/>
          <w:color w:val="000000"/>
          <w:sz w:val="24"/>
          <w:szCs w:val="24"/>
        </w:rPr>
        <w:t xml:space="preserve">Acceso a la información Pública </w:t>
      </w:r>
      <w:r w:rsidRPr="003F6F37">
        <w:rPr>
          <w:rFonts w:ascii="Palatino Linotype" w:eastAsia="Palatino Linotype" w:hAnsi="Palatino Linotype" w:cs="Palatino Linotype"/>
          <w:color w:val="000000"/>
          <w:sz w:val="24"/>
          <w:szCs w:val="24"/>
        </w:rPr>
        <w:t>del Estado de México y Municipios.</w:t>
      </w:r>
    </w:p>
    <w:p w:rsidR="00AA74C8" w:rsidRDefault="00AA74C8">
      <w:pPr>
        <w:spacing w:line="360" w:lineRule="auto"/>
        <w:ind w:right="84"/>
        <w:contextualSpacing/>
        <w:jc w:val="both"/>
        <w:rPr>
          <w:rFonts w:ascii="Palatino Linotype" w:eastAsia="Palatino Linotype" w:hAnsi="Palatino Linotype" w:cs="Palatino Linotype"/>
          <w:color w:val="000000"/>
          <w:sz w:val="24"/>
          <w:szCs w:val="24"/>
        </w:rPr>
      </w:pPr>
      <w:bookmarkStart w:id="1" w:name="_heading=h.30j0zll" w:colFirst="0" w:colLast="0"/>
      <w:bookmarkEnd w:id="1"/>
    </w:p>
    <w:p w:rsidR="008B6E62" w:rsidRDefault="000626A1">
      <w:pPr>
        <w:spacing w:line="360" w:lineRule="auto"/>
        <w:ind w:right="84"/>
        <w:contextualSpacing/>
        <w:jc w:val="both"/>
        <w:rPr>
          <w:rFonts w:ascii="Palatino Linotype" w:eastAsia="Palatino Linotype" w:hAnsi="Palatino Linotype" w:cs="Palatino Linotype"/>
          <w:color w:val="000000"/>
          <w:sz w:val="23"/>
          <w:szCs w:val="23"/>
        </w:rPr>
        <w:sectPr w:rsidR="008B6E62">
          <w:headerReference w:type="default" r:id="rId8"/>
          <w:footerReference w:type="default" r:id="rId9"/>
          <w:pgSz w:w="12240" w:h="15840"/>
          <w:pgMar w:top="2438" w:right="1701" w:bottom="2778" w:left="1701" w:header="1134" w:footer="1134" w:gutter="0"/>
          <w:pgNumType w:start="1"/>
          <w:cols w:space="720"/>
        </w:sectPr>
      </w:pPr>
      <w:r>
        <w:rPr>
          <w:rFonts w:ascii="Palatino Linotype" w:eastAsia="Palatino Linotype" w:hAnsi="Palatino Linotype" w:cs="Palatino Linotype"/>
          <w:sz w:val="24"/>
          <w:szCs w:val="24"/>
        </w:rPr>
        <w:t xml:space="preserve">Es por todo lo vertido en líneas argumentativas anteriores que las suscritas no comparten  de forma parcial el sentido de la resolución que fue adoptado por el criterio mayoritario del  Pleno de este Instituto, y por ende, se formula el  </w:t>
      </w:r>
      <w:r w:rsidR="00AA74C8">
        <w:rPr>
          <w:rFonts w:ascii="Palatino Linotype" w:eastAsia="Palatino Linotype" w:hAnsi="Palatino Linotype" w:cs="Palatino Linotype"/>
          <w:sz w:val="24"/>
          <w:szCs w:val="24"/>
        </w:rPr>
        <w:t>presente voto  par</w:t>
      </w:r>
      <w:r w:rsidR="003D3F4D">
        <w:rPr>
          <w:rFonts w:ascii="Palatino Linotype" w:eastAsia="Palatino Linotype" w:hAnsi="Palatino Linotype" w:cs="Palatino Linotype"/>
          <w:sz w:val="24"/>
          <w:szCs w:val="24"/>
        </w:rPr>
        <w:t>ticular.</w:t>
      </w:r>
      <w:bookmarkStart w:id="2" w:name="_GoBack"/>
      <w:bookmarkEnd w:id="2"/>
    </w:p>
    <w:p w:rsidR="008B6E62" w:rsidRDefault="008B6E62">
      <w:pPr>
        <w:spacing w:before="240" w:after="240" w:line="360" w:lineRule="auto"/>
        <w:ind w:right="139"/>
        <w:jc w:val="both"/>
        <w:rPr>
          <w:rFonts w:ascii="Palatino Linotype" w:eastAsia="Palatino Linotype" w:hAnsi="Palatino Linotype" w:cs="Palatino Linotype"/>
          <w:sz w:val="24"/>
          <w:szCs w:val="24"/>
        </w:rPr>
      </w:pPr>
    </w:p>
    <w:sectPr w:rsidR="008B6E62">
      <w:headerReference w:type="default" r:id="rId10"/>
      <w:pgSz w:w="12240" w:h="15840"/>
      <w:pgMar w:top="2438" w:right="1701" w:bottom="2778" w:left="1701" w:header="1134" w:footer="113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543F" w:rsidRDefault="00AE543F">
      <w:pPr>
        <w:spacing w:after="0" w:line="240" w:lineRule="auto"/>
      </w:pPr>
      <w:r>
        <w:separator/>
      </w:r>
    </w:p>
  </w:endnote>
  <w:endnote w:type="continuationSeparator" w:id="0">
    <w:p w:rsidR="00AE543F" w:rsidRDefault="00AE54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E62" w:rsidRDefault="000626A1">
    <w:pPr>
      <w:pBdr>
        <w:top w:val="nil"/>
        <w:left w:val="nil"/>
        <w:bottom w:val="nil"/>
        <w:right w:val="nil"/>
        <w:between w:val="nil"/>
      </w:pBdr>
      <w:tabs>
        <w:tab w:val="center" w:pos="4419"/>
        <w:tab w:val="right" w:pos="8838"/>
      </w:tabs>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Página </w:t>
    </w:r>
    <w:r>
      <w:rPr>
        <w:rFonts w:ascii="Times New Roman" w:eastAsia="Times New Roman" w:hAnsi="Times New Roman" w:cs="Times New Roman"/>
        <w:b/>
        <w:color w:val="000000"/>
        <w:sz w:val="20"/>
        <w:szCs w:val="20"/>
      </w:rPr>
      <w:fldChar w:fldCharType="begin"/>
    </w:r>
    <w:r>
      <w:rPr>
        <w:rFonts w:ascii="Times New Roman" w:eastAsia="Times New Roman" w:hAnsi="Times New Roman" w:cs="Times New Roman"/>
        <w:b/>
        <w:color w:val="000000"/>
        <w:sz w:val="20"/>
        <w:szCs w:val="20"/>
      </w:rPr>
      <w:instrText>PAGE</w:instrText>
    </w:r>
    <w:r>
      <w:rPr>
        <w:rFonts w:ascii="Times New Roman" w:eastAsia="Times New Roman" w:hAnsi="Times New Roman" w:cs="Times New Roman"/>
        <w:b/>
        <w:color w:val="000000"/>
        <w:sz w:val="20"/>
        <w:szCs w:val="20"/>
      </w:rPr>
      <w:fldChar w:fldCharType="separate"/>
    </w:r>
    <w:r w:rsidR="003D3F4D">
      <w:rPr>
        <w:rFonts w:ascii="Times New Roman" w:eastAsia="Times New Roman" w:hAnsi="Times New Roman" w:cs="Times New Roman"/>
        <w:b/>
        <w:noProof/>
        <w:color w:val="000000"/>
        <w:sz w:val="20"/>
        <w:szCs w:val="20"/>
      </w:rPr>
      <w:t>10</w:t>
    </w:r>
    <w:r>
      <w:rPr>
        <w:rFonts w:ascii="Times New Roman" w:eastAsia="Times New Roman" w:hAnsi="Times New Roman" w:cs="Times New Roman"/>
        <w:b/>
        <w:color w:val="000000"/>
        <w:sz w:val="20"/>
        <w:szCs w:val="20"/>
      </w:rPr>
      <w:fldChar w:fldCharType="end"/>
    </w:r>
    <w:r>
      <w:rPr>
        <w:rFonts w:ascii="Times New Roman" w:eastAsia="Times New Roman" w:hAnsi="Times New Roman" w:cs="Times New Roman"/>
        <w:color w:val="000000"/>
        <w:sz w:val="20"/>
        <w:szCs w:val="20"/>
      </w:rPr>
      <w:t xml:space="preserve"> de </w:t>
    </w:r>
    <w:r>
      <w:rPr>
        <w:rFonts w:ascii="Times New Roman" w:eastAsia="Times New Roman" w:hAnsi="Times New Roman" w:cs="Times New Roman"/>
        <w:b/>
        <w:color w:val="000000"/>
        <w:sz w:val="20"/>
        <w:szCs w:val="20"/>
      </w:rPr>
      <w:fldChar w:fldCharType="begin"/>
    </w:r>
    <w:r>
      <w:rPr>
        <w:rFonts w:ascii="Times New Roman" w:eastAsia="Times New Roman" w:hAnsi="Times New Roman" w:cs="Times New Roman"/>
        <w:b/>
        <w:color w:val="000000"/>
        <w:sz w:val="20"/>
        <w:szCs w:val="20"/>
      </w:rPr>
      <w:instrText>NUMPAGES</w:instrText>
    </w:r>
    <w:r>
      <w:rPr>
        <w:rFonts w:ascii="Times New Roman" w:eastAsia="Times New Roman" w:hAnsi="Times New Roman" w:cs="Times New Roman"/>
        <w:b/>
        <w:color w:val="000000"/>
        <w:sz w:val="20"/>
        <w:szCs w:val="20"/>
      </w:rPr>
      <w:fldChar w:fldCharType="separate"/>
    </w:r>
    <w:r w:rsidR="003D3F4D">
      <w:rPr>
        <w:rFonts w:ascii="Times New Roman" w:eastAsia="Times New Roman" w:hAnsi="Times New Roman" w:cs="Times New Roman"/>
        <w:b/>
        <w:noProof/>
        <w:color w:val="000000"/>
        <w:sz w:val="20"/>
        <w:szCs w:val="20"/>
      </w:rPr>
      <w:t>13</w:t>
    </w:r>
    <w:r>
      <w:rPr>
        <w:rFonts w:ascii="Times New Roman" w:eastAsia="Times New Roman" w:hAnsi="Times New Roman" w:cs="Times New Roman"/>
        <w:b/>
        <w:color w:val="000000"/>
        <w:sz w:val="20"/>
        <w:szCs w:val="20"/>
      </w:rPr>
      <w:fldChar w:fldCharType="end"/>
    </w:r>
  </w:p>
  <w:p w:rsidR="008B6E62" w:rsidRDefault="008B6E62">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543F" w:rsidRDefault="00AE543F">
      <w:pPr>
        <w:spacing w:after="0" w:line="240" w:lineRule="auto"/>
      </w:pPr>
      <w:r>
        <w:separator/>
      </w:r>
    </w:p>
  </w:footnote>
  <w:footnote w:type="continuationSeparator" w:id="0">
    <w:p w:rsidR="00AE543F" w:rsidRDefault="00AE54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E62" w:rsidRDefault="000626A1">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VOTO PARTICULAR CONCURRENTE</w:t>
    </w:r>
    <w:r>
      <w:rPr>
        <w:noProof/>
      </w:rPr>
      <w:drawing>
        <wp:anchor distT="0" distB="0" distL="0" distR="0" simplePos="0" relativeHeight="251658240" behindDoc="1" locked="0" layoutInCell="1" hidden="0" allowOverlap="1">
          <wp:simplePos x="0" y="0"/>
          <wp:positionH relativeFrom="column">
            <wp:posOffset>0</wp:posOffset>
          </wp:positionH>
          <wp:positionV relativeFrom="paragraph">
            <wp:posOffset>-823971</wp:posOffset>
          </wp:positionV>
          <wp:extent cx="7510628" cy="9883775"/>
          <wp:effectExtent l="0" t="0" r="0" b="0"/>
          <wp:wrapNone/>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510628" cy="9883775"/>
                  </a:xfrm>
                  <a:prstGeom prst="rect">
                    <a:avLst/>
                  </a:prstGeom>
                  <a:ln/>
                </pic:spPr>
              </pic:pic>
            </a:graphicData>
          </a:graphic>
        </wp:anchor>
      </w:drawing>
    </w:r>
  </w:p>
  <w:p w:rsidR="008B6E62" w:rsidRDefault="000626A1">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r>
      <w:rPr>
        <w:rFonts w:ascii="Palatino Linotype" w:eastAsia="Palatino Linotype" w:hAnsi="Palatino Linotype" w:cs="Palatino Linotype"/>
        <w:b/>
        <w:color w:val="000000"/>
        <w:sz w:val="20"/>
        <w:szCs w:val="20"/>
      </w:rPr>
      <w:t>RECURSO DE REVISIÓN 1</w:t>
    </w:r>
    <w:r w:rsidR="00AA74C8">
      <w:rPr>
        <w:rFonts w:ascii="Palatino Linotype" w:eastAsia="Palatino Linotype" w:hAnsi="Palatino Linotype" w:cs="Palatino Linotype"/>
        <w:b/>
        <w:color w:val="000000"/>
        <w:sz w:val="20"/>
        <w:szCs w:val="20"/>
      </w:rPr>
      <w:t>0476</w:t>
    </w:r>
    <w:r>
      <w:rPr>
        <w:rFonts w:ascii="Palatino Linotype" w:eastAsia="Palatino Linotype" w:hAnsi="Palatino Linotype" w:cs="Palatino Linotype"/>
        <w:b/>
        <w:color w:val="000000"/>
        <w:sz w:val="20"/>
        <w:szCs w:val="20"/>
      </w:rPr>
      <w:t>/INFOEM/IP/RR/2022</w:t>
    </w:r>
  </w:p>
  <w:p w:rsidR="008B6E62" w:rsidRDefault="000626A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color w:val="000000"/>
        <w:sz w:val="20"/>
        <w:szCs w:val="20"/>
      </w:rPr>
    </w:pPr>
    <w:r>
      <w:rPr>
        <w:noProof/>
      </w:rPr>
      <mc:AlternateContent>
        <mc:Choice Requires="wps">
          <w:drawing>
            <wp:anchor distT="0" distB="0" distL="0" distR="0" simplePos="0" relativeHeight="251659264" behindDoc="1" locked="0" layoutInCell="1" hidden="0" allowOverlap="1">
              <wp:simplePos x="0" y="0"/>
              <wp:positionH relativeFrom="column">
                <wp:posOffset>-1066799</wp:posOffset>
              </wp:positionH>
              <wp:positionV relativeFrom="paragraph">
                <wp:posOffset>-406399</wp:posOffset>
              </wp:positionV>
              <wp:extent cx="7686533" cy="7679414"/>
              <wp:effectExtent l="0" t="0" r="0" b="0"/>
              <wp:wrapNone/>
              <wp:docPr id="24" name="Rectángulo 24"/>
              <wp:cNvGraphicFramePr/>
              <a:graphic xmlns:a="http://schemas.openxmlformats.org/drawingml/2006/main">
                <a:graphicData uri="http://schemas.microsoft.com/office/word/2010/wordprocessingShape">
                  <wps:wsp>
                    <wps:cNvSpPr/>
                    <wps:spPr>
                      <a:xfrm rot="-2761922">
                        <a:off x="1971017" y="3326833"/>
                        <a:ext cx="6749966" cy="906334"/>
                      </a:xfrm>
                      <a:prstGeom prst="rect">
                        <a:avLst/>
                      </a:prstGeom>
                      <a:noFill/>
                      <a:ln>
                        <a:noFill/>
                      </a:ln>
                    </wps:spPr>
                    <wps:txbx>
                      <w:txbxContent>
                        <w:p w:rsidR="008B6E62" w:rsidRDefault="000626A1">
                          <w:pPr>
                            <w:spacing w:before="240" w:after="240" w:line="360" w:lineRule="auto"/>
                            <w:jc w:val="center"/>
                            <w:textDirection w:val="btLr"/>
                          </w:pPr>
                          <w:r>
                            <w:rPr>
                              <w:rFonts w:ascii="Palatino Linotype" w:eastAsia="Palatino Linotype" w:hAnsi="Palatino Linotype" w:cs="Palatino Linotype"/>
                              <w:color w:val="AEAAAA"/>
                              <w:sz w:val="56"/>
                            </w:rPr>
                            <w:t>VOTO PARTICULAR CONCURRENTE</w:t>
                          </w:r>
                        </w:p>
                      </w:txbxContent>
                    </wps:txbx>
                    <wps:bodyPr spcFirstLastPara="1" wrap="square" lIns="91425" tIns="45700" rIns="91425" bIns="45700" anchor="ctr" anchorCtr="0">
                      <a:noAutofit/>
                    </wps:bodyPr>
                  </wps:wsp>
                </a:graphicData>
              </a:graphic>
            </wp:anchor>
          </w:drawing>
        </mc:Choice>
        <mc:Fallback>
          <w:pict>
            <v:rect id="Rectángulo 24" o:spid="_x0000_s1026" style="position:absolute;margin-left:-84pt;margin-top:-32pt;width:605.25pt;height:604.7pt;rotation:-3016755fd;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" filled="f" stroked="f">
              <v:textbox inset="2.53958mm,1.2694mm,2.53958mm,1.2694mm">
                <w:txbxContent>
                  <w:p w:rsidR="008B6E62" w:rsidRDefault="000626A1">
                    <w:pPr>
                      <w:spacing w:before="240" w:after="240" w:line="360" w:lineRule="auto"/>
                      <w:jc w:val="center"/>
                      <w:textDirection w:val="btLr"/>
                    </w:pPr>
                    <w:r>
                      <w:rPr>
                        <w:rFonts w:ascii="Palatino Linotype" w:eastAsia="Palatino Linotype" w:hAnsi="Palatino Linotype" w:cs="Palatino Linotype"/>
                        <w:color w:val="AEAAAA"/>
                        <w:sz w:val="56"/>
                      </w:rPr>
                      <w:t>VOTO PARTICULAR CONCURRENTE</w:t>
                    </w:r>
                  </w:p>
                </w:txbxContent>
              </v:textbox>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E62" w:rsidRDefault="008B6E62">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231AB0"/>
    <w:multiLevelType w:val="multilevel"/>
    <w:tmpl w:val="0032C2CE"/>
    <w:lvl w:ilvl="0">
      <w:start w:val="1"/>
      <w:numFmt w:val="upperRoman"/>
      <w:pStyle w:val="Ttulo1"/>
      <w:lvlText w:val="%1."/>
      <w:lvlJc w:val="left"/>
      <w:pPr>
        <w:ind w:left="1424" w:hanging="720"/>
      </w:pPr>
    </w:lvl>
    <w:lvl w:ilvl="1">
      <w:start w:val="1"/>
      <w:numFmt w:val="lowerLetter"/>
      <w:pStyle w:val="Ttulo2"/>
      <w:lvlText w:val="%2."/>
      <w:lvlJc w:val="left"/>
      <w:pPr>
        <w:ind w:left="1784" w:hanging="360"/>
      </w:pPr>
    </w:lvl>
    <w:lvl w:ilvl="2">
      <w:start w:val="1"/>
      <w:numFmt w:val="lowerRoman"/>
      <w:pStyle w:val="Ttulo3"/>
      <w:lvlText w:val="%3."/>
      <w:lvlJc w:val="right"/>
      <w:pPr>
        <w:ind w:left="2504" w:hanging="180"/>
      </w:pPr>
    </w:lvl>
    <w:lvl w:ilvl="3">
      <w:start w:val="1"/>
      <w:numFmt w:val="decimal"/>
      <w:pStyle w:val="Ttulo4"/>
      <w:lvlText w:val="%4."/>
      <w:lvlJc w:val="left"/>
      <w:pPr>
        <w:ind w:left="3224" w:hanging="360"/>
      </w:pPr>
    </w:lvl>
    <w:lvl w:ilvl="4">
      <w:start w:val="1"/>
      <w:numFmt w:val="lowerLetter"/>
      <w:pStyle w:val="Ttulo5"/>
      <w:lvlText w:val="%5."/>
      <w:lvlJc w:val="left"/>
      <w:pPr>
        <w:ind w:left="3944" w:hanging="360"/>
      </w:pPr>
    </w:lvl>
    <w:lvl w:ilvl="5">
      <w:start w:val="1"/>
      <w:numFmt w:val="lowerRoman"/>
      <w:pStyle w:val="Ttulo6"/>
      <w:lvlText w:val="%6."/>
      <w:lvlJc w:val="right"/>
      <w:pPr>
        <w:ind w:left="4664" w:hanging="180"/>
      </w:pPr>
    </w:lvl>
    <w:lvl w:ilvl="6">
      <w:start w:val="1"/>
      <w:numFmt w:val="decimal"/>
      <w:pStyle w:val="Ttulo7"/>
      <w:lvlText w:val="%7."/>
      <w:lvlJc w:val="left"/>
      <w:pPr>
        <w:ind w:left="5384" w:hanging="360"/>
      </w:pPr>
    </w:lvl>
    <w:lvl w:ilvl="7">
      <w:start w:val="1"/>
      <w:numFmt w:val="lowerLetter"/>
      <w:pStyle w:val="Ttulo8"/>
      <w:lvlText w:val="%8."/>
      <w:lvlJc w:val="left"/>
      <w:pPr>
        <w:ind w:left="6104" w:hanging="360"/>
      </w:pPr>
    </w:lvl>
    <w:lvl w:ilvl="8">
      <w:start w:val="1"/>
      <w:numFmt w:val="lowerRoman"/>
      <w:pStyle w:val="Ttulo9"/>
      <w:lvlText w:val="%9."/>
      <w:lvlJc w:val="right"/>
      <w:pPr>
        <w:ind w:left="6824" w:hanging="180"/>
      </w:pPr>
    </w:lvl>
  </w:abstractNum>
  <w:abstractNum w:abstractNumId="1" w15:restartNumberingAfterBreak="0">
    <w:nsid w:val="210F6F26"/>
    <w:multiLevelType w:val="hybridMultilevel"/>
    <w:tmpl w:val="502C40B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0E045BA"/>
    <w:multiLevelType w:val="hybridMultilevel"/>
    <w:tmpl w:val="20166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7655CC"/>
    <w:multiLevelType w:val="multilevel"/>
    <w:tmpl w:val="8CA2C4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CC87E88"/>
    <w:multiLevelType w:val="multilevel"/>
    <w:tmpl w:val="D5B0678E"/>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E62"/>
    <w:rsid w:val="000626A1"/>
    <w:rsid w:val="00393C5A"/>
    <w:rsid w:val="003D3F4D"/>
    <w:rsid w:val="003F6F37"/>
    <w:rsid w:val="00445055"/>
    <w:rsid w:val="00623267"/>
    <w:rsid w:val="00781259"/>
    <w:rsid w:val="00830025"/>
    <w:rsid w:val="008B6E62"/>
    <w:rsid w:val="00AA74C8"/>
    <w:rsid w:val="00AE543F"/>
    <w:rsid w:val="00CC522F"/>
    <w:rsid w:val="00D975EE"/>
    <w:rsid w:val="00D97A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0F1168-5FEF-4FD8-8B2F-82D196E6D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7BA"/>
  </w:style>
  <w:style w:type="paragraph" w:styleId="Ttulo1">
    <w:name w:val="heading 1"/>
    <w:basedOn w:val="Normal"/>
    <w:next w:val="Normal"/>
    <w:link w:val="Ttulo1Car"/>
    <w:uiPriority w:val="9"/>
    <w:qFormat/>
    <w:rsid w:val="00640056"/>
    <w:pPr>
      <w:keepNext/>
      <w:numPr>
        <w:numId w:val="3"/>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640056"/>
    <w:pPr>
      <w:keepNext/>
      <w:numPr>
        <w:ilvl w:val="1"/>
        <w:numId w:val="3"/>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640056"/>
    <w:pPr>
      <w:keepNext/>
      <w:numPr>
        <w:ilvl w:val="2"/>
        <w:numId w:val="3"/>
      </w:numPr>
      <w:spacing w:before="240" w:after="60" w:line="240" w:lineRule="auto"/>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640056"/>
    <w:pPr>
      <w:keepNext/>
      <w:numPr>
        <w:ilvl w:val="3"/>
        <w:numId w:val="3"/>
      </w:numPr>
      <w:spacing w:before="240" w:after="60" w:line="240" w:lineRule="auto"/>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640056"/>
    <w:pPr>
      <w:numPr>
        <w:ilvl w:val="4"/>
        <w:numId w:val="3"/>
      </w:numPr>
      <w:spacing w:before="240" w:after="60" w:line="240" w:lineRule="auto"/>
      <w:outlineLvl w:val="4"/>
    </w:pPr>
    <w:rPr>
      <w:rFonts w:eastAsiaTheme="minorEastAsia"/>
      <w:b/>
      <w:bCs/>
      <w:i/>
      <w:iCs/>
      <w:sz w:val="26"/>
      <w:szCs w:val="26"/>
      <w:lang w:val="en-US"/>
    </w:rPr>
  </w:style>
  <w:style w:type="paragraph" w:styleId="Ttulo6">
    <w:name w:val="heading 6"/>
    <w:basedOn w:val="Normal"/>
    <w:next w:val="Normal"/>
    <w:link w:val="Ttulo6Car"/>
    <w:qFormat/>
    <w:rsid w:val="00640056"/>
    <w:pPr>
      <w:numPr>
        <w:ilvl w:val="5"/>
        <w:numId w:val="3"/>
      </w:numPr>
      <w:spacing w:before="240" w:after="60" w:line="240" w:lineRule="auto"/>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640056"/>
    <w:pPr>
      <w:numPr>
        <w:ilvl w:val="6"/>
        <w:numId w:val="3"/>
      </w:numPr>
      <w:spacing w:before="240" w:after="60" w:line="240" w:lineRule="auto"/>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640056"/>
    <w:pPr>
      <w:numPr>
        <w:ilvl w:val="7"/>
        <w:numId w:val="3"/>
      </w:numPr>
      <w:spacing w:before="240" w:after="60" w:line="240" w:lineRule="auto"/>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640056"/>
    <w:pPr>
      <w:numPr>
        <w:ilvl w:val="8"/>
        <w:numId w:val="3"/>
      </w:numPr>
      <w:spacing w:before="240" w:after="60" w:line="240" w:lineRule="auto"/>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607B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607BA"/>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607B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607BA"/>
    <w:pPr>
      <w:spacing w:after="0" w:line="240" w:lineRule="auto"/>
      <w:ind w:left="720"/>
      <w:contextualSpacing/>
    </w:pPr>
    <w:rPr>
      <w:rFonts w:ascii="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607BA"/>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4564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467"/>
    <w:rPr>
      <w:rFonts w:ascii="Segoe UI" w:hAnsi="Segoe UI" w:cs="Segoe UI"/>
      <w:sz w:val="18"/>
      <w:szCs w:val="18"/>
    </w:rPr>
  </w:style>
  <w:style w:type="character" w:customStyle="1" w:styleId="apple-converted-space">
    <w:name w:val="apple-converted-space"/>
    <w:basedOn w:val="Fuentedeprrafopredeter"/>
    <w:rsid w:val="002618A9"/>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2161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21613"/>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921613"/>
    <w:rPr>
      <w:vertAlign w:val="superscript"/>
    </w:rPr>
  </w:style>
  <w:style w:type="character" w:styleId="Hipervnculo">
    <w:name w:val="Hyperlink"/>
    <w:basedOn w:val="Fuentedeprrafopredeter"/>
    <w:uiPriority w:val="99"/>
    <w:semiHidden/>
    <w:unhideWhenUsed/>
    <w:rsid w:val="00696A57"/>
    <w:rPr>
      <w:color w:val="0000FF"/>
      <w:u w:val="single"/>
    </w:rPr>
  </w:style>
  <w:style w:type="paragraph" w:styleId="Sinespaciado">
    <w:name w:val="No Spacing"/>
    <w:aliases w:val="Francesa,INAI"/>
    <w:link w:val="SinespaciadoCar"/>
    <w:uiPriority w:val="1"/>
    <w:qFormat/>
    <w:rsid w:val="00F33522"/>
    <w:pPr>
      <w:spacing w:after="0" w:line="240" w:lineRule="auto"/>
    </w:pPr>
  </w:style>
  <w:style w:type="character" w:customStyle="1" w:styleId="SinespaciadoCar">
    <w:name w:val="Sin espaciado Car"/>
    <w:aliases w:val="Francesa Car,INAI Car"/>
    <w:link w:val="Sinespaciado"/>
    <w:uiPriority w:val="1"/>
    <w:locked/>
    <w:rsid w:val="00F33522"/>
  </w:style>
  <w:style w:type="table" w:customStyle="1" w:styleId="TableNormal1">
    <w:name w:val="Table Normal"/>
    <w:uiPriority w:val="2"/>
    <w:semiHidden/>
    <w:unhideWhenUsed/>
    <w:qFormat/>
    <w:rsid w:val="00B21C09"/>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21C09"/>
    <w:pPr>
      <w:widowControl w:val="0"/>
      <w:spacing w:after="0" w:line="240" w:lineRule="auto"/>
    </w:pPr>
    <w:rPr>
      <w:lang w:val="en-US"/>
    </w:rPr>
  </w:style>
  <w:style w:type="table" w:styleId="Tablaconcuadrcula">
    <w:name w:val="Table Grid"/>
    <w:basedOn w:val="Tablanormal"/>
    <w:uiPriority w:val="39"/>
    <w:rsid w:val="00B21C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640056"/>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640056"/>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640056"/>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640056"/>
    <w:rPr>
      <w:rFonts w:eastAsiaTheme="minorEastAsia"/>
      <w:b/>
      <w:bCs/>
      <w:sz w:val="28"/>
      <w:szCs w:val="28"/>
      <w:lang w:val="en-US"/>
    </w:rPr>
  </w:style>
  <w:style w:type="character" w:customStyle="1" w:styleId="Ttulo5Car">
    <w:name w:val="Título 5 Car"/>
    <w:basedOn w:val="Fuentedeprrafopredeter"/>
    <w:link w:val="Ttulo5"/>
    <w:uiPriority w:val="9"/>
    <w:semiHidden/>
    <w:rsid w:val="00640056"/>
    <w:rPr>
      <w:rFonts w:eastAsiaTheme="minorEastAsia"/>
      <w:b/>
      <w:bCs/>
      <w:i/>
      <w:iCs/>
      <w:sz w:val="26"/>
      <w:szCs w:val="26"/>
      <w:lang w:val="en-US"/>
    </w:rPr>
  </w:style>
  <w:style w:type="character" w:customStyle="1" w:styleId="Ttulo6Car">
    <w:name w:val="Título 6 Car"/>
    <w:basedOn w:val="Fuentedeprrafopredeter"/>
    <w:link w:val="Ttulo6"/>
    <w:rsid w:val="00640056"/>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640056"/>
    <w:rPr>
      <w:rFonts w:eastAsiaTheme="minorEastAsia"/>
      <w:sz w:val="24"/>
      <w:szCs w:val="24"/>
      <w:lang w:val="en-US"/>
    </w:rPr>
  </w:style>
  <w:style w:type="character" w:customStyle="1" w:styleId="Ttulo8Car">
    <w:name w:val="Título 8 Car"/>
    <w:basedOn w:val="Fuentedeprrafopredeter"/>
    <w:link w:val="Ttulo8"/>
    <w:uiPriority w:val="9"/>
    <w:semiHidden/>
    <w:rsid w:val="00640056"/>
    <w:rPr>
      <w:rFonts w:eastAsiaTheme="minorEastAsia"/>
      <w:i/>
      <w:iCs/>
      <w:sz w:val="24"/>
      <w:szCs w:val="24"/>
      <w:lang w:val="en-US"/>
    </w:rPr>
  </w:style>
  <w:style w:type="character" w:customStyle="1" w:styleId="Ttulo9Car">
    <w:name w:val="Título 9 Car"/>
    <w:basedOn w:val="Fuentedeprrafopredeter"/>
    <w:link w:val="Ttulo9"/>
    <w:uiPriority w:val="9"/>
    <w:semiHidden/>
    <w:rsid w:val="00640056"/>
    <w:rPr>
      <w:rFonts w:asciiTheme="majorHAnsi" w:eastAsiaTheme="majorEastAsia" w:hAnsiTheme="majorHAnsi" w:cstheme="majorBidi"/>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4BSe+n2Uava+Pww6wzDnxMSGyrA==">AMUW2mXiNGLXWesNGZpI7ir++BOIr7pLLxhYqVgsfSxm1Ow/iLo8Bn58PHRRxN+kDB8tR0xnfT/udH+i9aPpWjpcV5EJU5pFV4aQXEa91w43tX/xs75hj+4O910RVYKHXAuCzosKqu8U0xLCqgnwIfi8lmVjB16kBA==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2640</Words>
  <Characters>14523</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17129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INFOEM415</cp:lastModifiedBy>
  <cp:revision>4</cp:revision>
  <cp:lastPrinted>2023-01-16T15:25:00Z</cp:lastPrinted>
  <dcterms:created xsi:type="dcterms:W3CDTF">2023-02-03T20:25:00Z</dcterms:created>
  <dcterms:modified xsi:type="dcterms:W3CDTF">2025-02-10T20:33:00Z</dcterms:modified>
</cp:coreProperties>
</file>