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25FFA" w:rsidRDefault="00B25FFA" w:rsidP="00A240C8">
      <w:pPr>
        <w:widowControl w:val="0"/>
        <w:pBdr>
          <w:top w:val="nil"/>
          <w:left w:val="nil"/>
          <w:bottom w:val="nil"/>
          <w:right w:val="nil"/>
          <w:between w:val="nil"/>
        </w:pBdr>
        <w:spacing w:after="0" w:line="360" w:lineRule="auto"/>
        <w:jc w:val="both"/>
      </w:pPr>
      <w:r>
        <w:rPr>
          <w:noProof/>
          <w:lang w:val="es-MX"/>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8A04F2" id="_x0000_t202" coordsize="21600,21600" o:spt="202" path="m,l,21600r21600,l21600,xe">
                <v:stroke joinstyle="miter"/>
                <v:path gradientshapeok="t" o:connecttype="rect"/>
              </v:shapetype>
              <v:shape id="Cuadro de texto 2"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Pr>
          <w:noProof/>
          <w:lang w:val="es-MX"/>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8D2056" id="Cuadro de texto 1"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bookmarkStart w:id="1" w:name="_heading=h.2et92p0" w:colFirst="0" w:colLast="0"/>
      <w:bookmarkEnd w:id="1"/>
      <w:r>
        <w:rPr>
          <w:rFonts w:ascii="Palatino Linotype" w:eastAsia="Palatino Linotype" w:hAnsi="Palatino Linotype" w:cs="Palatino Linotype"/>
          <w:b/>
          <w:sz w:val="24"/>
          <w:szCs w:val="24"/>
        </w:rPr>
        <w:t>VOTO PARTICULAR QUE F</w:t>
      </w:r>
      <w:r>
        <w:rPr>
          <w:rFonts w:ascii="Palatino Linotype" w:eastAsia="Palatino Linotype" w:hAnsi="Palatino Linotype" w:cs="Palatino Linotype"/>
          <w:b/>
          <w:color w:val="000000"/>
          <w:sz w:val="24"/>
          <w:szCs w:val="24"/>
        </w:rPr>
        <w:t>ORMULA</w:t>
      </w:r>
      <w:r>
        <w:rPr>
          <w:rFonts w:ascii="Palatino Linotype" w:eastAsia="Palatino Linotype" w:hAnsi="Palatino Linotype" w:cs="Palatino Linotype"/>
          <w:b/>
          <w:sz w:val="24"/>
          <w:szCs w:val="24"/>
        </w:rPr>
        <w:t xml:space="preserve"> LA COMISIONADA GUADALUPE RAMÍREZ PEÑA, EN RELACIÓN CON LA RESOLUCIÓN DICTADA POR EL PLENO DEL INSTITUTO DE TRANSPARENCIA, ACCESO A LA INFORMACIÓN PÚBLICA Y PROTECCIÓN DE DATOS PERSONALES DEL ESTADO DE MÉXICO Y MUNICIPIOS, EN LA TRIGÉSIMA SEXTA SESIÓN ORDINARIA DEL TRES DE OCTUBRE DE DOS MIL VEINTITRÉS, EN EL RECURSO DE REVISIÓN 01694/INFOEM/IP/RR/2023.</w:t>
      </w:r>
    </w:p>
    <w:p w:rsidR="00B25FFA" w:rsidRDefault="00B25FFA" w:rsidP="00B25FFA">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FF0000"/>
          <w:sz w:val="24"/>
          <w:szCs w:val="24"/>
        </w:rPr>
      </w:pPr>
    </w:p>
    <w:p w:rsidR="00B25FFA" w:rsidRDefault="00B25FFA" w:rsidP="00B25FFA">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fundamento en lo dispuesto por el artículo 14, fracciones X y XI, del Reglamento del Instituto de Transparencia, Acceso a la Información Pública y Protección de Datos Personales del Estado de México y Municipios, la que suscribe emite VOTO PARTICULAR respecto a la resolución dictada en el recurso de revisión 01694/INFOEM/IP/RR/2023, pronunciada por el Pleno de este Instituto ante el proyecto presentado por la suscrita, el cual fue resuelto conforme al criterio mayoritario que es del tenor siguiente:</w:t>
      </w:r>
    </w:p>
    <w:p w:rsidR="00B25FFA" w:rsidRDefault="00B25FFA" w:rsidP="00B25FFA">
      <w:pPr>
        <w:spacing w:after="0" w:line="360" w:lineRule="auto"/>
        <w:jc w:val="both"/>
        <w:rPr>
          <w:rFonts w:ascii="Palatino Linotype" w:eastAsia="Palatino Linotype" w:hAnsi="Palatino Linotype" w:cs="Palatino Linotype"/>
          <w:color w:val="000000"/>
          <w:sz w:val="24"/>
          <w:szCs w:val="24"/>
        </w:rPr>
      </w:pPr>
    </w:p>
    <w:p w:rsidR="00B25FFA" w:rsidRDefault="00B25FFA" w:rsidP="00B25FFA">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I. Antecedentes.</w:t>
      </w:r>
    </w:p>
    <w:p w:rsidR="00B25FFA" w:rsidRDefault="00B25FFA" w:rsidP="00B25FFA">
      <w:pPr>
        <w:spacing w:after="0" w:line="360" w:lineRule="auto"/>
        <w:jc w:val="both"/>
        <w:rPr>
          <w:rFonts w:ascii="Palatino Linotype" w:eastAsia="Palatino Linotype" w:hAnsi="Palatino Linotype" w:cs="Palatino Linotype"/>
          <w:color w:val="FF0000"/>
          <w:sz w:val="24"/>
          <w:szCs w:val="24"/>
        </w:rPr>
      </w:pPr>
    </w:p>
    <w:p w:rsidR="00B25FFA" w:rsidRDefault="00B25FFA" w:rsidP="00B25FF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fecha </w:t>
      </w:r>
      <w:r w:rsidRPr="00B25FFA">
        <w:rPr>
          <w:rFonts w:ascii="Palatino Linotype" w:eastAsia="Palatino Linotype" w:hAnsi="Palatino Linotype" w:cs="Palatino Linotype"/>
          <w:sz w:val="24"/>
          <w:szCs w:val="24"/>
        </w:rPr>
        <w:t>veintisiete de febrero de dos mil veintitrés</w:t>
      </w:r>
      <w:r w:rsidRPr="00795B67">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 xml:space="preserve"> como se desprende de la Resolución que nos ocupa, la persona solicitante requirió al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lo siguiente:</w:t>
      </w:r>
    </w:p>
    <w:p w:rsidR="00B25FFA" w:rsidRDefault="00B25FFA" w:rsidP="00B25FFA">
      <w:pPr>
        <w:spacing w:after="0" w:line="360" w:lineRule="auto"/>
        <w:jc w:val="both"/>
        <w:rPr>
          <w:rFonts w:ascii="Palatino Linotype" w:eastAsia="Palatino Linotype" w:hAnsi="Palatino Linotype" w:cs="Palatino Linotype"/>
          <w:sz w:val="24"/>
          <w:szCs w:val="24"/>
        </w:rPr>
      </w:pPr>
    </w:p>
    <w:p w:rsidR="00B25FFA" w:rsidRDefault="00B25FFA" w:rsidP="00B25FFA">
      <w:pPr>
        <w:tabs>
          <w:tab w:val="left" w:pos="5647"/>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sidRPr="00B25FFA">
        <w:rPr>
          <w:rFonts w:ascii="Palatino Linotype" w:eastAsia="Palatino Linotype" w:hAnsi="Palatino Linotype" w:cs="Palatino Linotype"/>
          <w:i/>
        </w:rPr>
        <w:t>solicito los gafetes de todo el personal del sujeto obligado desde el año 2021 al ejercicio actual 2023</w:t>
      </w:r>
      <w:r>
        <w:rPr>
          <w:rFonts w:ascii="Palatino Linotype" w:eastAsia="Palatino Linotype" w:hAnsi="Palatino Linotype" w:cs="Palatino Linotype"/>
          <w:i/>
        </w:rPr>
        <w:t>”</w:t>
      </w:r>
    </w:p>
    <w:p w:rsidR="00B25FFA" w:rsidRDefault="00B25FFA" w:rsidP="00B25FFA">
      <w:pPr>
        <w:spacing w:after="0" w:line="360" w:lineRule="auto"/>
        <w:ind w:right="-28"/>
        <w:jc w:val="both"/>
        <w:rPr>
          <w:rFonts w:ascii="Palatino Linotype" w:eastAsia="Palatino Linotype" w:hAnsi="Palatino Linotype" w:cs="Palatino Linotype"/>
          <w:sz w:val="24"/>
          <w:szCs w:val="24"/>
        </w:rPr>
      </w:pPr>
    </w:p>
    <w:p w:rsidR="00B25FFA" w:rsidRDefault="00B25FFA" w:rsidP="00B25FFA">
      <w:pPr>
        <w:spacing w:after="0" w:line="360" w:lineRule="auto"/>
        <w:ind w:right="-28"/>
        <w:jc w:val="both"/>
        <w:rPr>
          <w:rFonts w:ascii="Palatino Linotype" w:eastAsia="Palatino Linotype" w:hAnsi="Palatino Linotype" w:cs="Palatino Linotype"/>
          <w:color w:val="FF0000"/>
          <w:sz w:val="24"/>
          <w:szCs w:val="24"/>
        </w:rPr>
      </w:pPr>
      <w:r>
        <w:rPr>
          <w:rFonts w:ascii="Palatino Linotype" w:eastAsia="Palatino Linotype" w:hAnsi="Palatino Linotype" w:cs="Palatino Linotype"/>
          <w:sz w:val="24"/>
          <w:szCs w:val="24"/>
        </w:rPr>
        <w:lastRenderedPageBreak/>
        <w:t xml:space="preserve">Mediante respuesta, </w:t>
      </w:r>
      <w:r>
        <w:rPr>
          <w:rFonts w:ascii="Palatino Linotype" w:eastAsia="Palatino Linotype" w:hAnsi="Palatino Linotype" w:cs="Palatino Linotype"/>
          <w:b/>
          <w:sz w:val="24"/>
          <w:szCs w:val="24"/>
        </w:rPr>
        <w:t>EL SUJETO OBLIGADO</w:t>
      </w:r>
      <w:r w:rsidRPr="00795B67">
        <w:rPr>
          <w:rFonts w:ascii="Palatino Linotype" w:eastAsia="Palatino Linotype" w:hAnsi="Palatino Linotype" w:cs="Palatino Linotype"/>
          <w:color w:val="000000" w:themeColor="text1"/>
          <w:sz w:val="24"/>
          <w:szCs w:val="24"/>
        </w:rPr>
        <w:t xml:space="preserve">, a través del Sistema de Acceso a la Información Mexiquense (SAIMEX), hace entrega de lo siguiente: </w:t>
      </w:r>
    </w:p>
    <w:p w:rsidR="00B25FFA" w:rsidRDefault="00B25FFA" w:rsidP="00B25FFA">
      <w:pPr>
        <w:spacing w:after="0" w:line="360" w:lineRule="auto"/>
        <w:ind w:right="-28"/>
        <w:jc w:val="both"/>
        <w:rPr>
          <w:rFonts w:ascii="Palatino Linotype" w:eastAsia="Palatino Linotype" w:hAnsi="Palatino Linotype" w:cs="Palatino Linotype"/>
          <w:sz w:val="24"/>
          <w:szCs w:val="24"/>
        </w:rPr>
      </w:pPr>
    </w:p>
    <w:p w:rsidR="00B25FFA" w:rsidRDefault="00B25FFA" w:rsidP="00B25FFA">
      <w:pPr>
        <w:spacing w:after="0" w:line="360" w:lineRule="auto"/>
        <w:jc w:val="both"/>
        <w:rPr>
          <w:rFonts w:ascii="Palatino Linotype" w:eastAsia="Palatino Linotype" w:hAnsi="Palatino Linotype" w:cs="Palatino Linotype"/>
          <w:i/>
          <w:sz w:val="24"/>
          <w:szCs w:val="24"/>
        </w:rPr>
      </w:pPr>
      <w:bookmarkStart w:id="2" w:name="_heading=h.gjdgxs" w:colFirst="0" w:colLast="0"/>
      <w:bookmarkEnd w:id="2"/>
      <w:r>
        <w:rPr>
          <w:rFonts w:ascii="Palatino Linotype" w:eastAsia="Palatino Linotype" w:hAnsi="Palatino Linotype" w:cs="Palatino Linotype"/>
          <w:sz w:val="24"/>
          <w:szCs w:val="24"/>
        </w:rPr>
        <w:t>“</w:t>
      </w:r>
      <w:r>
        <w:rPr>
          <w:rFonts w:ascii="Palatino Linotype" w:eastAsia="Palatino Linotype" w:hAnsi="Palatino Linotype" w:cs="Palatino Linotype"/>
          <w:b/>
          <w:i/>
          <w:sz w:val="24"/>
          <w:szCs w:val="24"/>
          <w:u w:val="single"/>
        </w:rPr>
        <w:t>RESPUESTA 00059-2023.pdf</w:t>
      </w:r>
      <w:r>
        <w:rPr>
          <w:rFonts w:ascii="Palatino Linotype" w:eastAsia="Palatino Linotype" w:hAnsi="Palatino Linotype" w:cs="Palatino Linotype"/>
          <w:sz w:val="24"/>
          <w:szCs w:val="24"/>
        </w:rPr>
        <w:t>”: Escrito enviado por el Titular de la Unidad de Transparencia, en el que menciona que: “…</w:t>
      </w:r>
      <w:r>
        <w:rPr>
          <w:rFonts w:ascii="Palatino Linotype" w:eastAsia="Palatino Linotype" w:hAnsi="Palatino Linotype" w:cs="Palatino Linotype"/>
          <w:i/>
          <w:sz w:val="24"/>
          <w:szCs w:val="24"/>
        </w:rPr>
        <w:t xml:space="preserve">en archivo no obra dicha información relativa a generación de gafetes del año 2021, en lo que respecta a los años 2022 y 2023, le informo que el procesa se está llevando a cabo.” </w:t>
      </w:r>
    </w:p>
    <w:p w:rsidR="00B25FFA" w:rsidRDefault="00B25FFA" w:rsidP="00B25FFA">
      <w:pPr>
        <w:spacing w:after="0" w:line="360" w:lineRule="auto"/>
        <w:jc w:val="both"/>
        <w:rPr>
          <w:rFonts w:ascii="Palatino Linotype" w:eastAsia="Palatino Linotype" w:hAnsi="Palatino Linotype" w:cs="Palatino Linotype"/>
          <w:sz w:val="24"/>
          <w:szCs w:val="24"/>
        </w:rPr>
      </w:pPr>
    </w:p>
    <w:p w:rsidR="00B25FFA" w:rsidRDefault="00B25FFA" w:rsidP="00B25FF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Sujeto Obligado,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expresando lo siguiente:</w:t>
      </w:r>
    </w:p>
    <w:p w:rsidR="00B25FFA" w:rsidRDefault="00B25FFA" w:rsidP="00B25FFA">
      <w:pPr>
        <w:spacing w:after="0" w:line="360" w:lineRule="auto"/>
        <w:jc w:val="both"/>
        <w:rPr>
          <w:rFonts w:ascii="Palatino Linotype" w:eastAsia="Palatino Linotype" w:hAnsi="Palatino Linotype" w:cs="Palatino Linotype"/>
          <w:sz w:val="24"/>
          <w:szCs w:val="24"/>
        </w:rPr>
      </w:pPr>
    </w:p>
    <w:p w:rsidR="00B25FFA" w:rsidRDefault="00B25FFA" w:rsidP="00B25FFA">
      <w:pPr>
        <w:pBdr>
          <w:top w:val="nil"/>
          <w:left w:val="nil"/>
          <w:bottom w:val="nil"/>
          <w:right w:val="nil"/>
          <w:between w:val="nil"/>
        </w:pBdr>
        <w:spacing w:after="240" w:line="360" w:lineRule="auto"/>
        <w:ind w:left="720"/>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rsidR="00B25FFA" w:rsidRDefault="00B25FFA" w:rsidP="00B25FFA">
      <w:pPr>
        <w:tabs>
          <w:tab w:val="left" w:pos="8222"/>
        </w:tabs>
        <w:spacing w:before="240" w:after="24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“No entrega la información solicitada y no genera acuerdo de inexistencia.” [sic]</w:t>
      </w:r>
    </w:p>
    <w:p w:rsidR="00B25FFA" w:rsidRDefault="00B25FFA" w:rsidP="00B25FFA">
      <w:pPr>
        <w:pBdr>
          <w:top w:val="nil"/>
          <w:left w:val="nil"/>
          <w:bottom w:val="nil"/>
          <w:right w:val="nil"/>
          <w:between w:val="nil"/>
        </w:pBdr>
        <w:spacing w:before="240" w:after="240" w:line="360" w:lineRule="auto"/>
        <w:ind w:left="720"/>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rsidR="00B25FFA" w:rsidRDefault="00B25FFA" w:rsidP="00B25FFA">
      <w:pPr>
        <w:spacing w:before="240" w:after="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rPr>
        <w:t>No entrega la información solicitada y no genera acuerdo de inexistencia” [sic]</w:t>
      </w:r>
    </w:p>
    <w:p w:rsidR="00B25FFA" w:rsidRDefault="00B25FFA" w:rsidP="00B25FFA">
      <w:pPr>
        <w:spacing w:after="0" w:line="360" w:lineRule="auto"/>
        <w:ind w:right="-28"/>
        <w:jc w:val="both"/>
        <w:rPr>
          <w:rFonts w:ascii="Palatino Linotype" w:eastAsia="Palatino Linotype" w:hAnsi="Palatino Linotype" w:cs="Palatino Linotype"/>
          <w:i/>
          <w:sz w:val="24"/>
          <w:szCs w:val="24"/>
        </w:rPr>
      </w:pPr>
    </w:p>
    <w:p w:rsidR="00B25FFA" w:rsidRDefault="00B25FFA" w:rsidP="00B25FFA">
      <w:pPr>
        <w:tabs>
          <w:tab w:val="center" w:pos="4252"/>
          <w:tab w:val="right" w:pos="850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resaltar que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resultó </w:t>
      </w:r>
      <w:r>
        <w:rPr>
          <w:rFonts w:ascii="Palatino Linotype" w:eastAsia="Palatino Linotype" w:hAnsi="Palatino Linotype" w:cs="Palatino Linotype"/>
          <w:color w:val="000000"/>
          <w:sz w:val="24"/>
          <w:szCs w:val="24"/>
        </w:rPr>
        <w:t xml:space="preserve">omisa </w:t>
      </w:r>
      <w:r>
        <w:rPr>
          <w:rFonts w:ascii="Palatino Linotype" w:eastAsia="Palatino Linotype" w:hAnsi="Palatino Linotype" w:cs="Palatino Linotype"/>
          <w:sz w:val="24"/>
          <w:szCs w:val="24"/>
        </w:rPr>
        <w:t xml:space="preserve">de emitir sus manifestaciones conforme a derecho le corresponde, por su parte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rindió su informe justificado de la siguiente forma:</w:t>
      </w:r>
    </w:p>
    <w:p w:rsidR="00B25FFA" w:rsidRDefault="00B25FFA" w:rsidP="00B25FFA">
      <w:pPr>
        <w:tabs>
          <w:tab w:val="center" w:pos="4252"/>
          <w:tab w:val="right" w:pos="8504"/>
        </w:tabs>
        <w:spacing w:after="0" w:line="360" w:lineRule="auto"/>
        <w:jc w:val="both"/>
        <w:rPr>
          <w:rFonts w:ascii="Palatino Linotype" w:eastAsia="Palatino Linotype" w:hAnsi="Palatino Linotype" w:cs="Palatino Linotype"/>
          <w:sz w:val="24"/>
          <w:szCs w:val="24"/>
        </w:rPr>
      </w:pPr>
    </w:p>
    <w:p w:rsidR="00B25FFA" w:rsidRDefault="00B25FFA" w:rsidP="00B25FFA">
      <w:pPr>
        <w:spacing w:after="0" w:line="360" w:lineRule="auto"/>
        <w:jc w:val="both"/>
        <w:rPr>
          <w:rFonts w:ascii="Palatino Linotype" w:eastAsia="Palatino Linotype" w:hAnsi="Palatino Linotype" w:cs="Palatino Linotype"/>
          <w:sz w:val="24"/>
          <w:szCs w:val="24"/>
        </w:rPr>
      </w:pPr>
    </w:p>
    <w:p w:rsidR="00B25FFA" w:rsidRDefault="00B25FFA" w:rsidP="00B25FF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b/>
          <w:i/>
          <w:sz w:val="24"/>
          <w:szCs w:val="24"/>
          <w:u w:val="single"/>
        </w:rPr>
        <w:t>Zinacantepec 333.pdf</w:t>
      </w:r>
      <w:r>
        <w:rPr>
          <w:rFonts w:ascii="Palatino Linotype" w:eastAsia="Palatino Linotype" w:hAnsi="Palatino Linotype" w:cs="Palatino Linotype"/>
          <w:sz w:val="24"/>
          <w:szCs w:val="24"/>
        </w:rPr>
        <w:t xml:space="preserve">”: Oficio de fecha veintiocho de marzo de dos mil veintitrés, signado por el Titular de la Unidad de Transparencia, mediante el cual solicita </w:t>
      </w:r>
      <w:r>
        <w:rPr>
          <w:rFonts w:ascii="Palatino Linotype" w:eastAsia="Palatino Linotype" w:hAnsi="Palatino Linotype" w:cs="Palatino Linotype"/>
          <w:sz w:val="24"/>
          <w:szCs w:val="24"/>
        </w:rPr>
        <w:lastRenderedPageBreak/>
        <w:t>aprobar la solicitud de ampliación de plazo para la atención de solicitudes hasta por 30 días hábiles.</w:t>
      </w:r>
    </w:p>
    <w:p w:rsidR="00B25FFA" w:rsidRDefault="00B25FFA" w:rsidP="00B25FFA">
      <w:pPr>
        <w:spacing w:after="0" w:line="360" w:lineRule="auto"/>
        <w:jc w:val="both"/>
        <w:rPr>
          <w:rFonts w:ascii="Palatino Linotype" w:eastAsia="Palatino Linotype" w:hAnsi="Palatino Linotype" w:cs="Palatino Linotype"/>
          <w:sz w:val="24"/>
          <w:szCs w:val="24"/>
        </w:rPr>
      </w:pPr>
    </w:p>
    <w:p w:rsidR="00B25FFA" w:rsidRDefault="00E46A46" w:rsidP="00B25FF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val="es-MX"/>
        </w:rPr>
        <mc:AlternateContent>
          <mc:Choice Requires="wps">
            <w:drawing>
              <wp:anchor distT="0" distB="0" distL="114300" distR="114300" simplePos="0" relativeHeight="251664384" behindDoc="0" locked="0" layoutInCell="1" allowOverlap="1">
                <wp:simplePos x="0" y="0"/>
                <wp:positionH relativeFrom="column">
                  <wp:posOffset>234315</wp:posOffset>
                </wp:positionH>
                <wp:positionV relativeFrom="paragraph">
                  <wp:posOffset>741679</wp:posOffset>
                </wp:positionV>
                <wp:extent cx="5353050" cy="5705475"/>
                <wp:effectExtent l="19050" t="19050" r="38100" b="47625"/>
                <wp:wrapNone/>
                <wp:docPr id="5" name="Conector recto 5"/>
                <wp:cNvGraphicFramePr/>
                <a:graphic xmlns:a="http://schemas.openxmlformats.org/drawingml/2006/main">
                  <a:graphicData uri="http://schemas.microsoft.com/office/word/2010/wordprocessingShape">
                    <wps:wsp>
                      <wps:cNvCnPr/>
                      <wps:spPr>
                        <a:xfrm>
                          <a:off x="0" y="0"/>
                          <a:ext cx="5353050" cy="5705475"/>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B95C46"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45pt,58.4pt" to="439.95pt,5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iI3QEAABAEAAAOAAAAZHJzL2Uyb0RvYy54bWysU02P0zAQvSPxHyzfadJdwqKo6R66KhcE&#10;FSw/wHXGrSV/aWya9t8zdtLsChASq83B8djz3sx7tlf3Z2vYCTBq7zq+XNScgZO+1+7Q8R+P23cf&#10;OYtJuF4Y76DjF4j8fv32zWoILdz4ozc9ICMSF9shdPyYUmirKsojWBEXPoCjTeXRikQhHqoexUDs&#10;1lQ3df2hGjz2Ab2EGGn1Ydzk68KvFMj0VakIiZmOU2+pjFjGfR6r9Uq0BxThqOXUhnhBF1ZoR0Vn&#10;qgeRBPuJ+g8qqyX66FVaSG8rr5SWUDSQmmX9m5rvRxGgaCFzYphtiq9HK7+cdsh03/GGMycsHdGG&#10;DkomjwzzjzXZoyHEllI3bodTFMMOs+CzQpv/JIWdi6+X2Vc4JyZpsbltbuuG7Je019zVzfu7wlo9&#10;wQPG9Am8ZXnScaNdFi5acfocE5Wk1GtKXjaODZlqSaw5jt7ofquNKQEe9huD7CTo0Lfbmr6sgSie&#10;pVFkHC1mZaOWMksXA2OBb6DIF+p+OVbINxJmWiEluLSceI2j7AxT1MIMnFr7F3DKz1Aot/V/wDOi&#10;VPYuzWCrnce/tZ3O15bVmH91YNSdLdj7/lJOuVhD1644Nz2RfK+fxwX+9JDXvwAAAP//AwBQSwME&#10;FAAGAAgAAAAhAJlr7XzhAAAACwEAAA8AAABkcnMvZG93bnJldi54bWxMj8FOwzAQRO9I/IO1SFwQ&#10;ddKK0IQ4FSAhIRAH0oqzEy+J1XgdxW4b+HqWExx3djTzptzMbhBHnIL1pCBdJCCQWm8sdQp226fr&#10;NYgQNRk9eEIFXxhgU52flbow/kTveKxjJziEQqEV9DGOhZSh7dHpsPAjEv8+/eR05HPqpJn0icPd&#10;IJdJkkmnLXFDr0d87LHd1wenoPt4znb+7co+5C/fr7XdO9Nsl0pdXsz3dyAizvHPDL/4jA4VMzX+&#10;QCaIQcEqy9nJeprxBDasb3NWGlaS9GYFsirl/w3VDwAAAP//AwBQSwECLQAUAAYACAAAACEAtoM4&#10;kv4AAADhAQAAEwAAAAAAAAAAAAAAAAAAAAAAW0NvbnRlbnRfVHlwZXNdLnhtbFBLAQItABQABgAI&#10;AAAAIQA4/SH/1gAAAJQBAAALAAAAAAAAAAAAAAAAAC8BAABfcmVscy8ucmVsc1BLAQItABQABgAI&#10;AAAAIQCsIfiI3QEAABAEAAAOAAAAAAAAAAAAAAAAAC4CAABkcnMvZTJvRG9jLnhtbFBLAQItABQA&#10;BgAIAAAAIQCZa+184QAAAAsBAAAPAAAAAAAAAAAAAAAAADcEAABkcnMvZG93bnJldi54bWxQSwUG&#10;AAAAAAQABADzAAAARQUAAAAA&#10;" strokecolor="red" strokeweight="4.5pt">
                <v:stroke joinstyle="miter"/>
              </v:line>
            </w:pict>
          </mc:Fallback>
        </mc:AlternateContent>
      </w:r>
      <w:r w:rsidR="00B25FFA">
        <w:rPr>
          <w:rFonts w:ascii="Palatino Linotype" w:eastAsia="Palatino Linotype" w:hAnsi="Palatino Linotype" w:cs="Palatino Linotype"/>
          <w:sz w:val="24"/>
          <w:szCs w:val="24"/>
        </w:rPr>
        <w:t>“</w:t>
      </w:r>
      <w:r w:rsidR="00B25FFA">
        <w:rPr>
          <w:rFonts w:ascii="Palatino Linotype" w:eastAsia="Palatino Linotype" w:hAnsi="Palatino Linotype" w:cs="Palatino Linotype"/>
          <w:b/>
          <w:i/>
          <w:sz w:val="24"/>
          <w:szCs w:val="24"/>
          <w:u w:val="single"/>
        </w:rPr>
        <w:t>20230502143359367.pdf</w:t>
      </w:r>
      <w:r w:rsidR="00B25FFA">
        <w:rPr>
          <w:rFonts w:ascii="Palatino Linotype" w:eastAsia="Palatino Linotype" w:hAnsi="Palatino Linotype" w:cs="Palatino Linotype"/>
          <w:sz w:val="24"/>
          <w:szCs w:val="24"/>
        </w:rPr>
        <w:t xml:space="preserve">”: Oficio signado por el Titular de la Unidad de Transparencia, mediante el cual menciona que: </w:t>
      </w:r>
    </w:p>
    <w:p w:rsidR="00B25FFA" w:rsidRDefault="00B25FFA" w:rsidP="00B25FFA">
      <w:pPr>
        <w:spacing w:after="0" w:line="360" w:lineRule="auto"/>
        <w:ind w:left="720" w:hanging="720"/>
        <w:jc w:val="center"/>
        <w:rPr>
          <w:rFonts w:ascii="Palatino Linotype" w:eastAsia="Palatino Linotype" w:hAnsi="Palatino Linotype" w:cs="Palatino Linotype"/>
          <w:sz w:val="24"/>
          <w:szCs w:val="24"/>
        </w:rPr>
      </w:pPr>
      <w:r>
        <w:rPr>
          <w:noProof/>
          <w:lang w:val="es-MX"/>
        </w:rPr>
        <w:lastRenderedPageBreak/>
        <w:drawing>
          <wp:inline distT="0" distB="0" distL="0" distR="0" wp14:anchorId="08E33939" wp14:editId="101702D9">
            <wp:extent cx="4524375" cy="65151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24375" cy="6515100"/>
                    </a:xfrm>
                    <a:prstGeom prst="rect">
                      <a:avLst/>
                    </a:prstGeom>
                  </pic:spPr>
                </pic:pic>
              </a:graphicData>
            </a:graphic>
          </wp:inline>
        </w:drawing>
      </w:r>
    </w:p>
    <w:p w:rsidR="00B25FFA" w:rsidRDefault="00B25FFA" w:rsidP="00B25FFA">
      <w:pPr>
        <w:spacing w:after="0" w:line="360" w:lineRule="auto"/>
        <w:jc w:val="both"/>
        <w:rPr>
          <w:rFonts w:ascii="Palatino Linotype" w:eastAsia="Palatino Linotype" w:hAnsi="Palatino Linotype" w:cs="Palatino Linotype"/>
          <w:sz w:val="24"/>
          <w:szCs w:val="24"/>
        </w:rPr>
      </w:pPr>
    </w:p>
    <w:p w:rsidR="00B25FFA" w:rsidRDefault="00B25FFA" w:rsidP="00B25FF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b/>
          <w:i/>
          <w:sz w:val="24"/>
          <w:szCs w:val="24"/>
          <w:u w:val="single"/>
        </w:rPr>
        <w:t>20230502143501353.pdf</w:t>
      </w:r>
      <w:r>
        <w:rPr>
          <w:rFonts w:ascii="Palatino Linotype" w:eastAsia="Palatino Linotype" w:hAnsi="Palatino Linotype" w:cs="Palatino Linotype"/>
          <w:sz w:val="24"/>
          <w:szCs w:val="24"/>
        </w:rPr>
        <w:t>”: Oficio de fecha tres de marzo de dos mil veintitrés, signado por la Directora de Administración, mediante el cual menciona que:</w:t>
      </w:r>
    </w:p>
    <w:p w:rsidR="00B25FFA" w:rsidRDefault="00B25FFA" w:rsidP="00B25FFA">
      <w:pPr>
        <w:spacing w:after="0" w:line="360" w:lineRule="auto"/>
        <w:jc w:val="center"/>
        <w:rPr>
          <w:rFonts w:ascii="Palatino Linotype" w:eastAsia="Palatino Linotype" w:hAnsi="Palatino Linotype" w:cs="Palatino Linotype"/>
          <w:sz w:val="24"/>
          <w:szCs w:val="24"/>
        </w:rPr>
      </w:pPr>
      <w:r>
        <w:rPr>
          <w:noProof/>
          <w:lang w:val="es-MX"/>
        </w:rPr>
        <w:lastRenderedPageBreak/>
        <w:drawing>
          <wp:inline distT="0" distB="0" distL="0" distR="0" wp14:anchorId="5DD4E8B7" wp14:editId="4BF0A2ED">
            <wp:extent cx="4238625" cy="2009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38625" cy="2009775"/>
                    </a:xfrm>
                    <a:prstGeom prst="rect">
                      <a:avLst/>
                    </a:prstGeom>
                  </pic:spPr>
                </pic:pic>
              </a:graphicData>
            </a:graphic>
          </wp:inline>
        </w:drawing>
      </w:r>
    </w:p>
    <w:p w:rsidR="00B25FFA" w:rsidRDefault="00B25FFA" w:rsidP="00B25FFA">
      <w:pPr>
        <w:widowControl w:val="0"/>
        <w:spacing w:after="0" w:line="360" w:lineRule="auto"/>
        <w:jc w:val="both"/>
        <w:rPr>
          <w:rFonts w:ascii="Palatino Linotype" w:eastAsia="Palatino Linotype" w:hAnsi="Palatino Linotype" w:cs="Palatino Linotype"/>
          <w:b/>
          <w:sz w:val="24"/>
          <w:szCs w:val="24"/>
        </w:rPr>
      </w:pPr>
    </w:p>
    <w:p w:rsidR="00B25FFA" w:rsidRDefault="00B25FFA" w:rsidP="00B25FFA">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las cosas</w:t>
      </w:r>
      <w:r w:rsidRPr="00795B67">
        <w:rPr>
          <w:rFonts w:ascii="Palatino Linotype" w:eastAsia="Palatino Linotype" w:hAnsi="Palatino Linotype" w:cs="Palatino Linotype"/>
          <w:color w:val="000000" w:themeColor="text1"/>
          <w:sz w:val="24"/>
          <w:szCs w:val="24"/>
        </w:rPr>
        <w:t xml:space="preserve">, la Comisionada Ponente consideró </w:t>
      </w:r>
      <w:r>
        <w:rPr>
          <w:rFonts w:ascii="Palatino Linotype" w:eastAsia="Palatino Linotype" w:hAnsi="Palatino Linotype" w:cs="Palatino Linotype"/>
          <w:sz w:val="24"/>
          <w:szCs w:val="24"/>
        </w:rPr>
        <w:t xml:space="preserve">que los motivos de inconformidad aducidos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eran fundados, y determinó MODIFICAR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B25FFA" w:rsidRDefault="00B25FFA" w:rsidP="00B25FFA">
      <w:pPr>
        <w:spacing w:line="276" w:lineRule="auto"/>
        <w:ind w:right="900"/>
        <w:jc w:val="both"/>
        <w:rPr>
          <w:rFonts w:ascii="Palatino Linotype" w:eastAsia="Palatino Linotype" w:hAnsi="Palatino Linotype" w:cs="Palatino Linotype"/>
          <w:i/>
        </w:rPr>
      </w:pPr>
    </w:p>
    <w:p w:rsidR="00B25FFA" w:rsidRPr="00B25FFA" w:rsidRDefault="00B25FFA" w:rsidP="00B25FFA">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w:t>
      </w:r>
      <w:r w:rsidRPr="00B25FFA">
        <w:rPr>
          <w:rFonts w:ascii="Palatino Linotype" w:eastAsia="Palatino Linotype" w:hAnsi="Palatino Linotype" w:cs="Palatino Linotype"/>
          <w:i/>
        </w:rPr>
        <w:t>SEGUNDO. Se ORDENA al SUJETO OBLIGADO en términos del Considerando Cuarto y Quinto de esta resolución, haga entrega, vía SAIMEX,  del documento en donde conste, lo siguiente:</w:t>
      </w:r>
    </w:p>
    <w:p w:rsidR="00B25FFA" w:rsidRPr="00B25FFA" w:rsidRDefault="00B25FFA" w:rsidP="00B25FFA">
      <w:pPr>
        <w:tabs>
          <w:tab w:val="left" w:pos="4962"/>
        </w:tabs>
        <w:spacing w:after="0" w:line="276" w:lineRule="auto"/>
        <w:ind w:left="851" w:right="758"/>
        <w:jc w:val="both"/>
        <w:rPr>
          <w:rFonts w:ascii="Palatino Linotype" w:eastAsia="Palatino Linotype" w:hAnsi="Palatino Linotype" w:cs="Palatino Linotype"/>
          <w:i/>
        </w:rPr>
      </w:pPr>
    </w:p>
    <w:p w:rsidR="00B25FFA" w:rsidRPr="00B25FFA" w:rsidRDefault="00B25FFA" w:rsidP="00B25FFA">
      <w:pPr>
        <w:pStyle w:val="Prrafodelista"/>
        <w:numPr>
          <w:ilvl w:val="0"/>
          <w:numId w:val="4"/>
        </w:numPr>
        <w:tabs>
          <w:tab w:val="left" w:pos="4962"/>
        </w:tabs>
        <w:spacing w:after="0" w:line="276" w:lineRule="auto"/>
        <w:ind w:right="758"/>
        <w:jc w:val="both"/>
        <w:rPr>
          <w:rFonts w:ascii="Palatino Linotype" w:eastAsia="Palatino Linotype" w:hAnsi="Palatino Linotype" w:cs="Palatino Linotype"/>
          <w:i/>
        </w:rPr>
      </w:pPr>
      <w:r w:rsidRPr="00B25FFA">
        <w:rPr>
          <w:rFonts w:ascii="Palatino Linotype" w:eastAsia="Palatino Linotype" w:hAnsi="Palatino Linotype" w:cs="Palatino Linotype"/>
          <w:i/>
        </w:rPr>
        <w:t>Acuerdo de Inexistencia de los gafetes de los servidores públicos que se encontraban adscritos al sujeto obligado en el año dos mil veintiuno, en términos de los artículos 49, fracciones II y XIII, 169 y 170 de la Ley de Transparencia y Acceso a la Información Pública del Estado de México y Municipios.</w:t>
      </w:r>
    </w:p>
    <w:p w:rsidR="00B25FFA" w:rsidRPr="00B25FFA" w:rsidRDefault="00B25FFA" w:rsidP="00B25FFA">
      <w:pPr>
        <w:tabs>
          <w:tab w:val="left" w:pos="4962"/>
        </w:tabs>
        <w:spacing w:after="0" w:line="276" w:lineRule="auto"/>
        <w:ind w:left="851" w:right="758"/>
        <w:jc w:val="both"/>
        <w:rPr>
          <w:rFonts w:ascii="Palatino Linotype" w:eastAsia="Palatino Linotype" w:hAnsi="Palatino Linotype" w:cs="Palatino Linotype"/>
          <w:i/>
        </w:rPr>
      </w:pPr>
    </w:p>
    <w:p w:rsidR="00B25FFA" w:rsidRDefault="00B25FFA" w:rsidP="00B25FFA">
      <w:pPr>
        <w:pStyle w:val="Prrafodelista"/>
        <w:numPr>
          <w:ilvl w:val="0"/>
          <w:numId w:val="4"/>
        </w:numPr>
        <w:tabs>
          <w:tab w:val="left" w:pos="4962"/>
        </w:tabs>
        <w:spacing w:after="0" w:line="276" w:lineRule="auto"/>
        <w:ind w:right="758"/>
        <w:jc w:val="both"/>
        <w:rPr>
          <w:rFonts w:ascii="Palatino Linotype" w:eastAsia="Palatino Linotype" w:hAnsi="Palatino Linotype" w:cs="Palatino Linotype"/>
          <w:i/>
        </w:rPr>
      </w:pPr>
      <w:r w:rsidRPr="00B25FFA">
        <w:rPr>
          <w:rFonts w:ascii="Palatino Linotype" w:eastAsia="Palatino Linotype" w:hAnsi="Palatino Linotype" w:cs="Palatino Linotype"/>
          <w:i/>
        </w:rPr>
        <w:t xml:space="preserve">Versión pública de los gafetes faltantes de los servidores públicos que se encontraban adscritos al Ayuntamiento de Zinacantepec del primero de enero de  dos mil veintidós al veintisiete de febrero del año dos mil veintitrés. </w:t>
      </w:r>
    </w:p>
    <w:p w:rsidR="00B25FFA" w:rsidRPr="00B25FFA" w:rsidRDefault="00B25FFA" w:rsidP="00B25FFA">
      <w:pPr>
        <w:pStyle w:val="Prrafodelista"/>
        <w:rPr>
          <w:rFonts w:ascii="Palatino Linotype" w:eastAsia="Palatino Linotype" w:hAnsi="Palatino Linotype" w:cs="Palatino Linotype"/>
          <w:i/>
        </w:rPr>
      </w:pPr>
    </w:p>
    <w:p w:rsidR="00B25FFA" w:rsidRDefault="00B25FFA" w:rsidP="00B25FFA">
      <w:pPr>
        <w:pStyle w:val="Prrafodelista"/>
        <w:tabs>
          <w:tab w:val="left" w:pos="4962"/>
        </w:tabs>
        <w:spacing w:after="0" w:line="276" w:lineRule="auto"/>
        <w:ind w:left="1211" w:right="758"/>
        <w:jc w:val="both"/>
        <w:rPr>
          <w:rFonts w:ascii="Palatino Linotype" w:eastAsia="Palatino Linotype" w:hAnsi="Palatino Linotype" w:cs="Palatino Linotype"/>
          <w:i/>
        </w:rPr>
      </w:pPr>
      <w:r w:rsidRPr="00B25FFA">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w:t>
      </w:r>
      <w:r w:rsidRPr="00B25FFA">
        <w:rPr>
          <w:rFonts w:ascii="Palatino Linotype" w:eastAsia="Palatino Linotype" w:hAnsi="Palatino Linotype" w:cs="Palatino Linotype"/>
          <w:i/>
        </w:rPr>
        <w:lastRenderedPageBreak/>
        <w:t>motive las razones sobre los datos que se supriman o eliminen, y se ponga a disposición de la parte RECURRENTE.</w:t>
      </w:r>
    </w:p>
    <w:p w:rsidR="00B25FFA" w:rsidRDefault="00B25FFA" w:rsidP="00B25FFA">
      <w:pPr>
        <w:pStyle w:val="Prrafodelista"/>
        <w:tabs>
          <w:tab w:val="left" w:pos="4962"/>
        </w:tabs>
        <w:spacing w:after="0" w:line="276" w:lineRule="auto"/>
        <w:ind w:left="1211" w:right="758"/>
        <w:jc w:val="both"/>
        <w:rPr>
          <w:rFonts w:ascii="Palatino Linotype" w:eastAsia="Palatino Linotype" w:hAnsi="Palatino Linotype" w:cs="Palatino Linotype"/>
          <w:i/>
        </w:rPr>
      </w:pPr>
    </w:p>
    <w:p w:rsidR="00B25FFA" w:rsidRDefault="00B25FFA" w:rsidP="00B25FFA">
      <w:pPr>
        <w:pStyle w:val="Prrafodelista"/>
        <w:tabs>
          <w:tab w:val="left" w:pos="4962"/>
        </w:tabs>
        <w:spacing w:after="0" w:line="276" w:lineRule="auto"/>
        <w:ind w:left="1211" w:right="758"/>
        <w:jc w:val="both"/>
        <w:rPr>
          <w:rFonts w:ascii="Palatino Linotype" w:eastAsia="Palatino Linotype" w:hAnsi="Palatino Linotype" w:cs="Palatino Linotype"/>
          <w:i/>
        </w:rPr>
      </w:pPr>
      <w:r w:rsidRPr="00B25FFA">
        <w:rPr>
          <w:rFonts w:ascii="Palatino Linotype" w:eastAsia="Palatino Linotype" w:hAnsi="Palatino Linotype" w:cs="Palatino Linotype"/>
          <w:i/>
        </w:rPr>
        <w:t>Para el caso de que EL SUJETO OBLIGADO no cuente con la información que se ordena en el numeral 2) deberá emitir el Acuerdo de Inexistencia, en términos de los artículos 169 y 170 de la Ley de Transparencia y Acceso a la Información Pública del Estado de México y Municipios.</w:t>
      </w:r>
      <w:r>
        <w:rPr>
          <w:rFonts w:ascii="Palatino Linotype" w:eastAsia="Palatino Linotype" w:hAnsi="Palatino Linotype" w:cs="Palatino Linotype"/>
          <w:i/>
        </w:rPr>
        <w:t>.”</w:t>
      </w:r>
    </w:p>
    <w:p w:rsidR="00B25FFA" w:rsidRDefault="00B25FFA" w:rsidP="00B25FFA">
      <w:pPr>
        <w:tabs>
          <w:tab w:val="left" w:pos="4962"/>
        </w:tabs>
        <w:spacing w:after="0" w:line="276" w:lineRule="auto"/>
        <w:ind w:left="851" w:right="758"/>
        <w:jc w:val="both"/>
        <w:rPr>
          <w:rFonts w:ascii="Palatino Linotype" w:eastAsia="Palatino Linotype" w:hAnsi="Palatino Linotype" w:cs="Palatino Linotype"/>
          <w:i/>
          <w:color w:val="FF0000"/>
        </w:rPr>
      </w:pPr>
    </w:p>
    <w:p w:rsidR="00B25FFA" w:rsidRDefault="00B25FFA" w:rsidP="00B25FFA">
      <w:pPr>
        <w:spacing w:after="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II. Razones del Voto Particular.</w:t>
      </w:r>
    </w:p>
    <w:p w:rsidR="00B25FFA" w:rsidRDefault="00B25FFA" w:rsidP="00B25FFA">
      <w:pPr>
        <w:spacing w:after="0" w:line="360" w:lineRule="auto"/>
        <w:jc w:val="both"/>
        <w:rPr>
          <w:rFonts w:ascii="Palatino Linotype" w:eastAsia="Palatino Linotype" w:hAnsi="Palatino Linotype" w:cs="Palatino Linotype"/>
          <w:b/>
          <w:color w:val="000000"/>
          <w:sz w:val="28"/>
          <w:szCs w:val="28"/>
        </w:rPr>
      </w:pPr>
    </w:p>
    <w:p w:rsidR="00B25FFA" w:rsidRDefault="00B25FFA" w:rsidP="00B25FF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Derivado de lo anterior, la emisión del voto se centrará en que si bien se comparte el sentido de la resolución no se coincide con los argumentos señalados en la misma particularmente respecto al considerar lo siguiente:</w:t>
      </w:r>
    </w:p>
    <w:p w:rsidR="00B25FFA" w:rsidRDefault="00B25FFA" w:rsidP="00B25FFA">
      <w:pPr>
        <w:spacing w:after="0" w:line="360" w:lineRule="auto"/>
        <w:jc w:val="both"/>
        <w:rPr>
          <w:rFonts w:ascii="Palatino Linotype" w:eastAsia="Palatino Linotype" w:hAnsi="Palatino Linotype" w:cs="Palatino Linotype"/>
          <w:sz w:val="24"/>
          <w:szCs w:val="24"/>
        </w:rPr>
      </w:pPr>
    </w:p>
    <w:p w:rsidR="00B25FFA" w:rsidRDefault="00B25FFA" w:rsidP="00B25FFA">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De la publicidad de la fotografía de servidores públicos. </w:t>
      </w:r>
    </w:p>
    <w:p w:rsidR="00B25FFA" w:rsidRDefault="00B25FFA" w:rsidP="00B25FF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 bien se comparte el sentido de la resolución no se coincide con los argumentos señalados en la misma particularmente respecto al considerar que la fotografía de los servidores públicos de todos los servidores públicos debe ser pública, ya que dicha publicación únicamente debe ser aplicable a los servidores públicos que ocupan de nivel mando medio – superior o que tengan interacción con el público , por lo que considero que dicho dato debe ser confidencial por las consideraciones que a continuación se expresan.</w:t>
      </w:r>
    </w:p>
    <w:p w:rsidR="00B25FFA" w:rsidRDefault="00B25FFA" w:rsidP="00B25FFA">
      <w:pPr>
        <w:spacing w:after="0" w:line="360" w:lineRule="auto"/>
        <w:jc w:val="both"/>
        <w:rPr>
          <w:rFonts w:ascii="Palatino Linotype" w:eastAsia="Palatino Linotype" w:hAnsi="Palatino Linotype" w:cs="Palatino Linotype"/>
          <w:sz w:val="24"/>
          <w:szCs w:val="24"/>
        </w:rPr>
      </w:pPr>
    </w:p>
    <w:p w:rsidR="00B25FFA" w:rsidRDefault="00B25FFA" w:rsidP="00B25FF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la Ponencia resolutora, consideró lo siguiente:</w:t>
      </w:r>
    </w:p>
    <w:p w:rsidR="00B25FFA" w:rsidRDefault="00B25FFA" w:rsidP="00B25FFA">
      <w:pPr>
        <w:spacing w:after="0" w:line="360" w:lineRule="auto"/>
        <w:jc w:val="both"/>
        <w:rPr>
          <w:rFonts w:ascii="Palatino Linotype" w:eastAsia="Palatino Linotype" w:hAnsi="Palatino Linotype" w:cs="Palatino Linotype"/>
          <w:sz w:val="24"/>
          <w:szCs w:val="24"/>
        </w:rPr>
      </w:pPr>
    </w:p>
    <w:p w:rsidR="00B25FFA" w:rsidRPr="00795B67" w:rsidRDefault="00B25FFA" w:rsidP="00B25FFA">
      <w:pPr>
        <w:spacing w:after="0" w:line="360" w:lineRule="auto"/>
        <w:ind w:left="566" w:right="487"/>
        <w:jc w:val="both"/>
        <w:rPr>
          <w:rFonts w:ascii="Palatino Linotype" w:eastAsia="Palatino Linotype" w:hAnsi="Palatino Linotype" w:cs="Palatino Linotype"/>
          <w:i/>
        </w:rPr>
      </w:pPr>
      <w:r w:rsidRPr="00795B67">
        <w:rPr>
          <w:rFonts w:ascii="Palatino Linotype" w:eastAsia="Palatino Linotype" w:hAnsi="Palatino Linotype" w:cs="Palatino Linotype"/>
          <w:i/>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B25FFA" w:rsidRPr="00795B67" w:rsidRDefault="00B25FFA" w:rsidP="00B25FFA">
      <w:pPr>
        <w:spacing w:after="0" w:line="360" w:lineRule="auto"/>
        <w:ind w:left="566" w:right="487"/>
        <w:jc w:val="both"/>
        <w:rPr>
          <w:rFonts w:ascii="Palatino Linotype" w:eastAsia="Palatino Linotype" w:hAnsi="Palatino Linotype" w:cs="Palatino Linotype"/>
          <w:i/>
        </w:rPr>
      </w:pPr>
    </w:p>
    <w:p w:rsidR="00B25FFA" w:rsidRPr="00795B67" w:rsidRDefault="00B25FFA" w:rsidP="00B25FFA">
      <w:pPr>
        <w:spacing w:after="0" w:line="360" w:lineRule="auto"/>
        <w:ind w:left="566" w:right="487"/>
        <w:jc w:val="both"/>
        <w:rPr>
          <w:rFonts w:ascii="Palatino Linotype" w:eastAsia="Palatino Linotype" w:hAnsi="Palatino Linotype" w:cs="Palatino Linotype"/>
          <w:i/>
        </w:rPr>
      </w:pPr>
      <w:r w:rsidRPr="00795B67">
        <w:rPr>
          <w:rFonts w:ascii="Palatino Linotype" w:eastAsia="Palatino Linotype" w:hAnsi="Palatino Linotype" w:cs="Palatino Linotype"/>
          <w:i/>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B25FFA" w:rsidRPr="00795B67" w:rsidRDefault="00B25FFA" w:rsidP="00B25FFA">
      <w:pPr>
        <w:spacing w:after="0" w:line="360" w:lineRule="auto"/>
        <w:ind w:left="566" w:right="487"/>
        <w:jc w:val="both"/>
        <w:rPr>
          <w:rFonts w:ascii="Palatino Linotype" w:eastAsia="Palatino Linotype" w:hAnsi="Palatino Linotype" w:cs="Palatino Linotype"/>
          <w:i/>
        </w:rPr>
      </w:pPr>
    </w:p>
    <w:p w:rsidR="00B25FFA" w:rsidRPr="00795B67" w:rsidRDefault="00B25FFA" w:rsidP="00B25FFA">
      <w:pPr>
        <w:spacing w:after="0" w:line="360" w:lineRule="auto"/>
        <w:ind w:left="566" w:right="487"/>
        <w:jc w:val="both"/>
        <w:rPr>
          <w:rFonts w:ascii="Palatino Linotype" w:eastAsia="Palatino Linotype" w:hAnsi="Palatino Linotype" w:cs="Palatino Linotype"/>
          <w:i/>
        </w:rPr>
      </w:pPr>
      <w:r w:rsidRPr="00795B67">
        <w:rPr>
          <w:rFonts w:ascii="Palatino Linotype" w:eastAsia="Palatino Linotype" w:hAnsi="Palatino Linotype" w:cs="Palatino Linotype"/>
          <w:i/>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B25FFA" w:rsidRPr="00795B67" w:rsidRDefault="00B25FFA" w:rsidP="00B25FFA">
      <w:pPr>
        <w:spacing w:after="0" w:line="360" w:lineRule="auto"/>
        <w:ind w:left="566" w:right="487"/>
        <w:jc w:val="both"/>
        <w:rPr>
          <w:rFonts w:ascii="Palatino Linotype" w:eastAsia="Palatino Linotype" w:hAnsi="Palatino Linotype" w:cs="Palatino Linotype"/>
          <w:i/>
        </w:rPr>
      </w:pPr>
    </w:p>
    <w:p w:rsidR="00B25FFA" w:rsidRPr="00795B67" w:rsidRDefault="00B25FFA" w:rsidP="00B25FFA">
      <w:pPr>
        <w:spacing w:after="0" w:line="360" w:lineRule="auto"/>
        <w:ind w:left="566" w:right="487"/>
        <w:jc w:val="both"/>
        <w:rPr>
          <w:rFonts w:ascii="Palatino Linotype" w:eastAsia="Palatino Linotype" w:hAnsi="Palatino Linotype" w:cs="Palatino Linotype"/>
          <w:i/>
        </w:rPr>
      </w:pPr>
      <w:r w:rsidRPr="00795B67">
        <w:rPr>
          <w:rFonts w:ascii="Palatino Linotype" w:eastAsia="Palatino Linotype" w:hAnsi="Palatino Linotype" w:cs="Palatino Linotype"/>
          <w:i/>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B25FFA" w:rsidRPr="00795B67" w:rsidRDefault="00B25FFA" w:rsidP="00B25FFA">
      <w:pPr>
        <w:spacing w:after="0" w:line="360" w:lineRule="auto"/>
        <w:ind w:left="566" w:right="487"/>
        <w:jc w:val="both"/>
        <w:rPr>
          <w:rFonts w:ascii="Palatino Linotype" w:eastAsia="Palatino Linotype" w:hAnsi="Palatino Linotype" w:cs="Palatino Linotype"/>
          <w:i/>
        </w:rPr>
      </w:pPr>
    </w:p>
    <w:p w:rsidR="00B25FFA" w:rsidRPr="00795B67" w:rsidRDefault="00B25FFA" w:rsidP="00B25FFA">
      <w:pPr>
        <w:spacing w:after="0" w:line="360" w:lineRule="auto"/>
        <w:ind w:left="566" w:right="487"/>
        <w:jc w:val="both"/>
        <w:rPr>
          <w:rFonts w:ascii="Palatino Linotype" w:eastAsia="Palatino Linotype" w:hAnsi="Palatino Linotype" w:cs="Palatino Linotype"/>
          <w:i/>
        </w:rPr>
      </w:pPr>
      <w:r w:rsidRPr="00795B67">
        <w:rPr>
          <w:rFonts w:ascii="Palatino Linotype" w:eastAsia="Palatino Linotype" w:hAnsi="Palatino Linotype" w:cs="Palatino Linotype"/>
          <w:i/>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rsidR="00B25FFA" w:rsidRPr="00795B67" w:rsidRDefault="00B25FFA" w:rsidP="00B25FFA">
      <w:pPr>
        <w:spacing w:after="0" w:line="360" w:lineRule="auto"/>
        <w:ind w:left="566" w:right="487"/>
        <w:jc w:val="both"/>
        <w:rPr>
          <w:rFonts w:ascii="Palatino Linotype" w:eastAsia="Palatino Linotype" w:hAnsi="Palatino Linotype" w:cs="Palatino Linotype"/>
          <w:i/>
        </w:rPr>
      </w:pPr>
    </w:p>
    <w:p w:rsidR="00B25FFA" w:rsidRPr="00795B67" w:rsidRDefault="00B25FFA" w:rsidP="00B25FFA">
      <w:pPr>
        <w:spacing w:after="0" w:line="360" w:lineRule="auto"/>
        <w:ind w:left="566" w:right="487"/>
        <w:jc w:val="both"/>
        <w:rPr>
          <w:rFonts w:ascii="Palatino Linotype" w:eastAsia="Palatino Linotype" w:hAnsi="Palatino Linotype" w:cs="Palatino Linotype"/>
          <w:i/>
        </w:rPr>
      </w:pPr>
      <w:r w:rsidRPr="00795B67">
        <w:rPr>
          <w:rFonts w:ascii="Palatino Linotype" w:eastAsia="Palatino Linotype" w:hAnsi="Palatino Linotype" w:cs="Palatino Linotype"/>
          <w:i/>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B25FFA" w:rsidRPr="00795B67" w:rsidRDefault="00B25FFA" w:rsidP="00B25FFA">
      <w:pPr>
        <w:spacing w:after="0" w:line="360" w:lineRule="auto"/>
        <w:ind w:left="566" w:right="487"/>
        <w:jc w:val="both"/>
        <w:rPr>
          <w:rFonts w:ascii="Palatino Linotype" w:eastAsia="Palatino Linotype" w:hAnsi="Palatino Linotype" w:cs="Palatino Linotype"/>
          <w:i/>
        </w:rPr>
      </w:pPr>
    </w:p>
    <w:p w:rsidR="00B25FFA" w:rsidRPr="00795B67" w:rsidRDefault="00B25FFA" w:rsidP="00B25FFA">
      <w:pPr>
        <w:spacing w:after="0" w:line="360" w:lineRule="auto"/>
        <w:ind w:left="566" w:right="487"/>
        <w:jc w:val="both"/>
        <w:rPr>
          <w:rFonts w:ascii="Palatino Linotype" w:eastAsia="Palatino Linotype" w:hAnsi="Palatino Linotype" w:cs="Palatino Linotype"/>
          <w:i/>
        </w:rPr>
      </w:pPr>
      <w:r w:rsidRPr="00795B67">
        <w:rPr>
          <w:rFonts w:ascii="Palatino Linotype" w:eastAsia="Palatino Linotype" w:hAnsi="Palatino Linotype" w:cs="Palatino Linotype"/>
          <w:i/>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B25FFA" w:rsidRDefault="00B25FFA" w:rsidP="00B25FFA">
      <w:pPr>
        <w:pBdr>
          <w:top w:val="nil"/>
          <w:left w:val="nil"/>
          <w:bottom w:val="nil"/>
          <w:right w:val="nil"/>
          <w:between w:val="nil"/>
        </w:pBdr>
        <w:spacing w:after="0" w:line="360" w:lineRule="auto"/>
        <w:ind w:right="142"/>
        <w:jc w:val="both"/>
        <w:rPr>
          <w:rFonts w:ascii="Palatino Linotype" w:eastAsia="Palatino Linotype" w:hAnsi="Palatino Linotype" w:cs="Palatino Linotype"/>
          <w:i/>
          <w:color w:val="FFFF00"/>
        </w:rPr>
      </w:pPr>
    </w:p>
    <w:p w:rsidR="00B25FFA" w:rsidRDefault="00B25FFA" w:rsidP="00B25FFA">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Atento a lo anterior, se considera que la información que se ordena entregar, </w:t>
      </w:r>
      <w:r>
        <w:rPr>
          <w:rFonts w:ascii="Palatino Linotype" w:eastAsia="Palatino Linotype" w:hAnsi="Palatino Linotype" w:cs="Palatino Linotype"/>
          <w:sz w:val="24"/>
          <w:szCs w:val="24"/>
          <w:u w:val="single"/>
        </w:rPr>
        <w:t>no se debe dejar visible la fotografía de las y los servidores públicos que laboran en dicha institución que no tengan el nivel de mando medio o superior</w:t>
      </w:r>
      <w:r>
        <w:rPr>
          <w:rFonts w:ascii="Palatino Linotype" w:eastAsia="Palatino Linotype" w:hAnsi="Palatino Linotype" w:cs="Palatino Linotype"/>
          <w:sz w:val="24"/>
          <w:szCs w:val="24"/>
        </w:rPr>
        <w:t>, dado que, la Ley de Transparencia y Acceso a la Información Pública en relación con la Ley de Protección de Datos Personales en Posesión de Sujetos Obligados ambas del Estado de México y Municipios, prevén que la fotografía, por regla general es un dato personal confidencial, toda vez que se revela la identidad del titular.</w:t>
      </w:r>
    </w:p>
    <w:p w:rsidR="00B25FFA" w:rsidRDefault="00B25FFA" w:rsidP="00B25FFA">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B25FFA" w:rsidRDefault="00B25FFA" w:rsidP="00B25FFA">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robustecer lo anterior, es aplicable el Criterio 15/17 emitido por el Instituto Nacional de Transparencia, Acceso a la Información Pública y Protección de Datos Personales, en el que se establece lo siguiente:</w:t>
      </w:r>
    </w:p>
    <w:p w:rsidR="00B25FFA" w:rsidRDefault="00B25FFA" w:rsidP="00B25FFA">
      <w:pPr>
        <w:spacing w:after="0" w:line="360" w:lineRule="auto"/>
        <w:ind w:right="142"/>
        <w:jc w:val="both"/>
        <w:rPr>
          <w:rFonts w:ascii="Palatino Linotype" w:eastAsia="Palatino Linotype" w:hAnsi="Palatino Linotype" w:cs="Palatino Linotype"/>
          <w:sz w:val="24"/>
          <w:szCs w:val="24"/>
        </w:rPr>
      </w:pPr>
    </w:p>
    <w:p w:rsidR="00B25FFA" w:rsidRDefault="00B25FFA" w:rsidP="00B25FFA">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FOTOGRAFÍA EN TÍTULO O CÉDULA PROFESIONAL ES DE ACCESO PÚBLICO.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B25FFA" w:rsidRDefault="00B25FFA" w:rsidP="00B25FFA">
      <w:pPr>
        <w:spacing w:after="0" w:line="360" w:lineRule="auto"/>
        <w:ind w:right="142"/>
        <w:jc w:val="both"/>
        <w:rPr>
          <w:rFonts w:ascii="Palatino Linotype" w:eastAsia="Palatino Linotype" w:hAnsi="Palatino Linotype" w:cs="Palatino Linotype"/>
          <w:sz w:val="24"/>
          <w:szCs w:val="24"/>
        </w:rPr>
      </w:pPr>
      <w:bookmarkStart w:id="3" w:name="_heading=h.48e18r6e64dx" w:colFirst="0" w:colLast="0"/>
      <w:bookmarkEnd w:id="3"/>
    </w:p>
    <w:p w:rsidR="00B25FFA" w:rsidRDefault="00B25FFA" w:rsidP="00B25FFA">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puede advertir, la razón esencial —</w:t>
      </w:r>
      <w:r>
        <w:rPr>
          <w:rFonts w:ascii="Palatino Linotype" w:eastAsia="Palatino Linotype" w:hAnsi="Palatino Linotype" w:cs="Palatino Linotype"/>
          <w:i/>
          <w:sz w:val="24"/>
          <w:szCs w:val="24"/>
        </w:rPr>
        <w:t>ratio essendi</w:t>
      </w:r>
      <w:r>
        <w:rPr>
          <w:rFonts w:ascii="Arial" w:eastAsia="Arial" w:hAnsi="Arial" w:cs="Arial"/>
          <w:color w:val="70757A"/>
          <w:sz w:val="21"/>
          <w:szCs w:val="21"/>
          <w:highlight w:val="white"/>
        </w:rPr>
        <w:t>—</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del criterio señalado radica en el interés público que se tenga para conocer la calidad profesional; dicho interés público no puede separarse del titular de esos datos confidenciales, de tal forma que no se puede generalizar el interés que se pueda tener por conocer la fotografía de una persona que ostenta un nivel medio o superior como de aquellos que no  lo ostentan.</w:t>
      </w:r>
    </w:p>
    <w:p w:rsidR="00B25FFA" w:rsidRDefault="00B25FFA" w:rsidP="00B25FFA">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bookmarkStart w:id="4" w:name="_heading=h.tyjcwt" w:colFirst="0" w:colLast="0"/>
      <w:bookmarkEnd w:id="4"/>
    </w:p>
    <w:p w:rsidR="00B25FFA" w:rsidRDefault="00B25FFA" w:rsidP="00B25FFA">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en el caso de los servidores que dan atención al público, así como aquellos que cuenten con un nivel de mando medio y/o superior debe dejarse visible, lo anterior, derivado de la relevancia de sus funciones, en ese sentido, en el caso que nos ocupa no se advierte una justificación de interés público para difundir la fotografía de las y los servidores gubernamentales que no tienen dicho nivel. </w:t>
      </w:r>
    </w:p>
    <w:p w:rsidR="00B25FFA" w:rsidRDefault="00B25FFA" w:rsidP="00B25FFA">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B25FFA" w:rsidRDefault="00B25FFA" w:rsidP="00B25FFA">
      <w:pPr>
        <w:pBdr>
          <w:top w:val="nil"/>
          <w:left w:val="nil"/>
          <w:bottom w:val="nil"/>
          <w:right w:val="nil"/>
          <w:between w:val="nil"/>
        </w:pBdr>
        <w:spacing w:after="0" w:line="360" w:lineRule="auto"/>
        <w:ind w:right="142"/>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en el caso de los servidores públicos y aquellas personas que no cuenten con un nivel de cargo medio o superior, la información correspondiente a su fotografía como un dato personal que les identifica o los hace identificables es información que debe conservarse como información confidencial, al no encontrarse la justificación del interés público.</w:t>
      </w:r>
    </w:p>
    <w:p w:rsidR="00B25FFA" w:rsidRDefault="00B25FFA" w:rsidP="00B25FFA">
      <w:pPr>
        <w:pBdr>
          <w:top w:val="nil"/>
          <w:left w:val="nil"/>
          <w:bottom w:val="nil"/>
          <w:right w:val="nil"/>
          <w:between w:val="nil"/>
        </w:pBdr>
        <w:spacing w:after="0" w:line="360" w:lineRule="auto"/>
        <w:ind w:right="142"/>
        <w:contextualSpacing/>
        <w:jc w:val="both"/>
        <w:rPr>
          <w:rFonts w:ascii="Palatino Linotype" w:eastAsia="Palatino Linotype" w:hAnsi="Palatino Linotype" w:cs="Palatino Linotype"/>
          <w:sz w:val="24"/>
          <w:szCs w:val="24"/>
        </w:rPr>
      </w:pPr>
    </w:p>
    <w:p w:rsidR="00B25FFA" w:rsidRDefault="00B25FFA" w:rsidP="00B25FFA">
      <w:pPr>
        <w:tabs>
          <w:tab w:val="left" w:pos="4962"/>
        </w:tabs>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se considera que procede la clasificación de la fotografía de las y los servidores públicos que no tienen el nivel de mando medio o superior, pues no se advierte el interés público para dejar visible dicha información.</w:t>
      </w:r>
    </w:p>
    <w:p w:rsidR="00B25FFA" w:rsidRDefault="00B25FFA" w:rsidP="00B25FFA">
      <w:pPr>
        <w:pBdr>
          <w:top w:val="nil"/>
          <w:left w:val="nil"/>
          <w:bottom w:val="nil"/>
          <w:right w:val="nil"/>
          <w:between w:val="nil"/>
        </w:pBdr>
        <w:spacing w:after="240" w:line="360" w:lineRule="auto"/>
        <w:ind w:right="142"/>
        <w:contextualSpacing/>
        <w:jc w:val="both"/>
        <w:rPr>
          <w:rFonts w:ascii="Palatino Linotype" w:eastAsia="Palatino Linotype" w:hAnsi="Palatino Linotype" w:cs="Palatino Linotype"/>
          <w:sz w:val="24"/>
          <w:szCs w:val="24"/>
        </w:rPr>
      </w:pPr>
    </w:p>
    <w:p w:rsidR="00B25FFA" w:rsidRDefault="00B25FFA" w:rsidP="00B25FFA">
      <w:pPr>
        <w:spacing w:after="240" w:line="360" w:lineRule="auto"/>
        <w:ind w:right="139"/>
        <w:contextualSpacing/>
        <w:jc w:val="both"/>
        <w:rPr>
          <w:rFonts w:ascii="Palatino Linotype" w:eastAsia="Palatino Linotype" w:hAnsi="Palatino Linotype" w:cs="Palatino Linotype"/>
          <w:sz w:val="24"/>
          <w:szCs w:val="24"/>
        </w:rPr>
      </w:pPr>
      <w:bookmarkStart w:id="5" w:name="_heading=h.3dy6vkm" w:colFirst="0" w:colLast="0"/>
      <w:bookmarkEnd w:id="5"/>
      <w:r>
        <w:rPr>
          <w:rFonts w:ascii="Palatino Linotype" w:eastAsia="Palatino Linotype" w:hAnsi="Palatino Linotype" w:cs="Palatino Linotype"/>
          <w:sz w:val="24"/>
          <w:szCs w:val="24"/>
        </w:rPr>
        <w:t xml:space="preserve">Es por las razones expuestas la suscrita no comparte este punto del estudio de la resolución, y por ende se emite el presente </w:t>
      </w:r>
      <w:r>
        <w:rPr>
          <w:rFonts w:ascii="Palatino Linotype" w:eastAsia="Palatino Linotype" w:hAnsi="Palatino Linotype" w:cs="Palatino Linotype"/>
          <w:b/>
          <w:sz w:val="24"/>
          <w:szCs w:val="24"/>
        </w:rPr>
        <w:t>Voto Particular</w:t>
      </w:r>
      <w:r>
        <w:rPr>
          <w:rFonts w:ascii="Palatino Linotype" w:eastAsia="Palatino Linotype" w:hAnsi="Palatino Linotype" w:cs="Palatino Linotype"/>
          <w:sz w:val="24"/>
          <w:szCs w:val="24"/>
        </w:rPr>
        <w:t>, pues considero que se debió clasificar la fotografía de las y los servidores públicos que no son mandos medios ni superiores, por tanto, se considera que se actualiza la causal de clasificación, establecida en el artículo 143, fracción I, de la Ley de la materia.</w:t>
      </w:r>
    </w:p>
    <w:p w:rsidR="00B25FFA" w:rsidRDefault="00B25FFA" w:rsidP="00B25FFA">
      <w:pPr>
        <w:spacing w:after="240" w:line="360" w:lineRule="auto"/>
        <w:ind w:right="139"/>
        <w:contextualSpacing/>
        <w:jc w:val="both"/>
        <w:rPr>
          <w:rFonts w:ascii="Palatino Linotype" w:eastAsia="Palatino Linotype" w:hAnsi="Palatino Linotype" w:cs="Palatino Linotype"/>
          <w:sz w:val="24"/>
          <w:szCs w:val="24"/>
        </w:rPr>
      </w:pPr>
    </w:p>
    <w:p w:rsidR="00B25FFA" w:rsidRDefault="00B25FFA" w:rsidP="00B25FFA">
      <w:pPr>
        <w:numPr>
          <w:ilvl w:val="0"/>
          <w:numId w:val="1"/>
        </w:numPr>
        <w:pBdr>
          <w:top w:val="nil"/>
          <w:left w:val="nil"/>
          <w:bottom w:val="nil"/>
          <w:right w:val="nil"/>
          <w:between w:val="nil"/>
        </w:pBdr>
        <w:spacing w:before="240" w:after="0" w:line="360" w:lineRule="auto"/>
        <w:ind w:right="142"/>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Estado de fuerza. </w:t>
      </w:r>
    </w:p>
    <w:p w:rsidR="00B25FFA" w:rsidRDefault="00B25FFA" w:rsidP="00B25FFA">
      <w:pPr>
        <w:pBdr>
          <w:top w:val="nil"/>
          <w:left w:val="nil"/>
          <w:bottom w:val="nil"/>
          <w:right w:val="nil"/>
          <w:between w:val="nil"/>
        </w:pBdr>
        <w:spacing w:after="0" w:line="360" w:lineRule="auto"/>
        <w:jc w:val="both"/>
        <w:rPr>
          <w:rFonts w:ascii="Palatino Linotype" w:eastAsia="Palatino Linotype" w:hAnsi="Palatino Linotype" w:cs="Palatino Linotype"/>
          <w:color w:val="FF0000"/>
          <w:sz w:val="24"/>
          <w:szCs w:val="24"/>
          <w:highlight w:val="yellow"/>
        </w:rPr>
      </w:pPr>
    </w:p>
    <w:p w:rsidR="00B25FFA" w:rsidRDefault="00B25FFA" w:rsidP="00B25FF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la Ponencia resolutora, consideró lo siguiente:</w:t>
      </w:r>
    </w:p>
    <w:p w:rsidR="00B25FFA" w:rsidRDefault="00B25FFA" w:rsidP="00B25FFA">
      <w:pPr>
        <w:spacing w:after="0" w:line="360" w:lineRule="auto"/>
        <w:jc w:val="both"/>
        <w:rPr>
          <w:rFonts w:ascii="Palatino Linotype" w:eastAsia="Palatino Linotype" w:hAnsi="Palatino Linotype" w:cs="Palatino Linotype"/>
          <w:sz w:val="24"/>
          <w:szCs w:val="24"/>
        </w:rPr>
      </w:pP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w:t>
      </w:r>
      <w:r w:rsidRPr="00E46A46">
        <w:rPr>
          <w:rFonts w:ascii="Palatino Linotype" w:eastAsia="Palatino Linotype" w:hAnsi="Palatino Linotype" w:cs="Palatino Linotype"/>
          <w:i/>
        </w:rPr>
        <w:t>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y cargo, por lo que deberá testarse de igual manera esta información de los servidores públicos de la Policía Municipal que desempeñen funciones operativas.</w:t>
      </w: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r w:rsidRPr="00E46A46">
        <w:rPr>
          <w:rFonts w:ascii="Palatino Linotype" w:eastAsia="Palatino Linotype" w:hAnsi="Palatino Linotype" w:cs="Palatino Linotype"/>
          <w:i/>
        </w:rPr>
        <w:t>Al respecto, la información de los elementos que realizan funciones operativas, entre ellos su fotografía, nombre y cargo, deben ser protegidos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r w:rsidRPr="00E46A46">
        <w:rPr>
          <w:rFonts w:ascii="Palatino Linotype" w:eastAsia="Palatino Linotype" w:hAnsi="Palatino Linotype" w:cs="Palatino Linotype"/>
          <w:i/>
        </w:rPr>
        <w:t>Es importante mencionar que la causal de reserva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r w:rsidRPr="00E46A46">
        <w:rPr>
          <w:rFonts w:ascii="Palatino Linotype" w:eastAsia="Palatino Linotype" w:hAnsi="Palatino Linotype" w:cs="Palatino Linotype"/>
          <w:i/>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r w:rsidRPr="00E46A46">
        <w:rPr>
          <w:rFonts w:ascii="Palatino Linotype" w:eastAsia="Palatino Linotype" w:hAnsi="Palatino Linotype" w:cs="Palatino Linotype"/>
          <w:i/>
        </w:rPr>
        <w:t>En ese entendido, la leyenda de clasificación que se genere, deberá establecer ambos supuestos de clasificación: reserva y confidencialidad, en congruencia con los requisitos establecidos en los lineamientos citados.</w:t>
      </w: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r w:rsidRPr="00E46A46">
        <w:rPr>
          <w:rFonts w:ascii="Palatino Linotype" w:eastAsia="Palatino Linotype" w:hAnsi="Palatino Linotype" w:cs="Palatino Linotype"/>
          <w:i/>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r w:rsidRPr="00E46A46">
        <w:rPr>
          <w:rFonts w:ascii="Palatino Linotype" w:eastAsia="Palatino Linotype" w:hAnsi="Palatino Linotype" w:cs="Palatino Linotype"/>
          <w:i/>
        </w:rPr>
        <w:t>“Nombres de servidores públicos dedicados a actividades en materia de seguridad, por excepción pueden considerarse información reservada.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vertientes.”(Sic)</w:t>
      </w: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r w:rsidRPr="00E46A46">
        <w:rPr>
          <w:rFonts w:ascii="Palatino Linotype" w:eastAsia="Palatino Linotype" w:hAnsi="Palatino Linotype" w:cs="Palatino Linotype"/>
          <w:i/>
        </w:rPr>
        <w:t>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r w:rsidRPr="00E46A46">
        <w:rPr>
          <w:rFonts w:ascii="Palatino Linotype" w:eastAsia="Palatino Linotype" w:hAnsi="Palatino Linotype" w:cs="Palatino Linotype"/>
          <w:i/>
        </w:rPr>
        <w:t>Sirven de sustento a lo anterior las tesis jurisprudenciales emitidas por la Suprema corte de Justicia de la Nación, que son del literal siguiente:</w:t>
      </w: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p>
    <w:p w:rsidR="00E46A46" w:rsidRPr="00E46A46" w:rsidRDefault="00E46A46" w:rsidP="00E46A46">
      <w:pPr>
        <w:spacing w:after="0" w:line="276" w:lineRule="auto"/>
        <w:ind w:left="566" w:right="487"/>
        <w:jc w:val="both"/>
        <w:rPr>
          <w:rFonts w:ascii="Palatino Linotype" w:eastAsia="Palatino Linotype" w:hAnsi="Palatino Linotype" w:cs="Palatino Linotype"/>
          <w:i/>
        </w:rPr>
      </w:pPr>
      <w:r w:rsidRPr="00E46A46">
        <w:rPr>
          <w:rFonts w:ascii="Palatino Linotype" w:eastAsia="Palatino Linotype" w:hAnsi="Palatino Linotype" w:cs="Palatino Linotype"/>
          <w:i/>
        </w:rPr>
        <w:t>“DERECHO A LA INFORMACIÓN. SU EJERCICIO SE ENCUENTRA LIMITADO TANTO POR LOS INTERESES NACIONALES Y DE LA SOCIEDAD, COMO POR LOS DERECHOS DE TERCEROS. 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B25FFA" w:rsidRDefault="00E46A46" w:rsidP="00E46A46">
      <w:pPr>
        <w:spacing w:after="0" w:line="276" w:lineRule="auto"/>
        <w:ind w:left="566" w:right="487"/>
        <w:jc w:val="both"/>
        <w:rPr>
          <w:rFonts w:ascii="Palatino Linotype" w:eastAsia="Palatino Linotype" w:hAnsi="Palatino Linotype" w:cs="Palatino Linotype"/>
          <w:i/>
        </w:rPr>
      </w:pPr>
      <w:r w:rsidRPr="00E46A46">
        <w:rPr>
          <w:rFonts w:ascii="Palatino Linotype" w:eastAsia="Palatino Linotype" w:hAnsi="Palatino Linotype" w:cs="Palatino Linotype"/>
          <w:i/>
        </w:rPr>
        <w:t>“TRANSPARENCIA Y ACCESO A LA INFORMACIÓN PÚBLICA GUBERNAMENTAL. EL ARTÍCULO 14, FRACCIÓN I, DE LA LEY FEDERAL RELATIVA, NO VIOLA LA GARANTÍA DE ACCESO A LA INFORMACIÓN.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rsidR="00E46A46" w:rsidRPr="00E46A46" w:rsidRDefault="00E46A46" w:rsidP="00E46A46">
      <w:pPr>
        <w:spacing w:after="0" w:line="276" w:lineRule="auto"/>
        <w:ind w:left="566" w:right="487"/>
        <w:jc w:val="both"/>
        <w:rPr>
          <w:rFonts w:ascii="Palatino Linotype" w:eastAsia="Palatino Linotype" w:hAnsi="Palatino Linotype" w:cs="Palatino Linotype"/>
          <w:color w:val="FF0000"/>
          <w:sz w:val="24"/>
          <w:szCs w:val="24"/>
        </w:rPr>
      </w:pPr>
    </w:p>
    <w:p w:rsidR="00B25FFA" w:rsidRDefault="00B25FFA" w:rsidP="00B25F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Sobre este punto, debemos partir desde la máxima establecida en nuestro texto Constitucional Federal pues el artículo 21 en su párrafo noveno reconoce que la seguridad pública es una función del Estado a cargo de la Federación, las Entidades Federativas y </w:t>
      </w:r>
      <w:r>
        <w:rPr>
          <w:rFonts w:ascii="Palatino Linotype" w:eastAsia="Palatino Linotype" w:hAnsi="Palatino Linotype" w:cs="Palatino Linotype"/>
          <w:b/>
          <w:color w:val="000000"/>
          <w:sz w:val="24"/>
          <w:szCs w:val="24"/>
        </w:rPr>
        <w:t>los Municipios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cuyos fines son salvaguardar la vida, las libertades, la integridad y el patrimonio de las personas, así como contribuir a la generación y preservación del orden público y la paz social</w:t>
      </w:r>
      <w:r>
        <w:rPr>
          <w:rFonts w:ascii="Palatino Linotype" w:eastAsia="Palatino Linotype" w:hAnsi="Palatino Linotype" w:cs="Palatino Linotype"/>
          <w:color w:val="000000"/>
          <w:sz w:val="24"/>
          <w:szCs w:val="24"/>
        </w:rPr>
        <w:t>. Asimismo señala que la actuación de las instituciones de seguridad pública se regirá por los principios de legalidad, objetividad, eficiencia, profesionalismo, honradez y respeto a los derechos humanos.</w:t>
      </w:r>
    </w:p>
    <w:p w:rsidR="00B25FFA" w:rsidRDefault="00B25FFA" w:rsidP="00B25F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25FFA" w:rsidRDefault="00B25FFA" w:rsidP="00B25F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Dicha circunstancia es replicada por la Ley de Seguridad del Estado de México en su artículo 1, fracciones II, III y V, las cuales señalan que dicho ordenamiento es de orden público, de interés social y de observancia general en todo el territorio del Estado de México y tiene por objeto establecer las bases de coordinación del Estado y los Municipios con la Federación, las Entidades Federativas, Municipios y Alcaldías de la Ciudad de México; integrar el Sistema Estatal de Seguridad Pública, que a su vez contribuirá con el Sistema Nacional de Seguridad Pública; para la construcción de las bases para una plena seguridad ciudadana.</w:t>
      </w:r>
    </w:p>
    <w:p w:rsidR="00B25FFA" w:rsidRDefault="00B25FFA" w:rsidP="00B25F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25FFA" w:rsidRDefault="00B25FFA" w:rsidP="00B25FF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suerte que con lo señalado hasta este punto se advierte que la finalidad de la función de seguridad pública indudablemente tienen como eje central a la persona humana y, por ende, contribuyen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rsidR="00B25FFA" w:rsidRDefault="00B25FFA" w:rsidP="00B25FF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B25FFA" w:rsidRDefault="00B25FFA" w:rsidP="00B25FF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acreditado el objeto de la seguridad pública, así como los sujetos encargados de ejecutar las acciones para consumar esta función, podemos observar con claridad la importancia de los elementos operativos que ejecutan estas acciones encaminadas a preservar el orden dentro de la dinámica social y podemos partir de este punto para determinar el riesgo de la divulgación de esta información y por ende, la procedencia de su clasificación como información reservada. </w:t>
      </w:r>
    </w:p>
    <w:p w:rsidR="00B25FFA" w:rsidRDefault="00B25FFA" w:rsidP="00B25FFA">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p>
    <w:p w:rsidR="00B25FFA" w:rsidRDefault="00B25FFA" w:rsidP="00B25FFA">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primer momento podemos vislumbrar que el artículo 81, fracción II de la Ley de Seguridad del Estado de México dispone de manera expresa que toda información para la seguridad pública generada o en poder de Instituciones de Seguridad Pública o de cualquier instancia del Sistema Estatal debe clasificarse, sirve de referencia la siguiente cita:</w:t>
      </w:r>
    </w:p>
    <w:p w:rsidR="00B25FFA" w:rsidRDefault="00B25FFA" w:rsidP="00B25FFA">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B25FFA" w:rsidRDefault="00B25FFA" w:rsidP="00B25FFA">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w:t>
      </w:r>
    </w:p>
    <w:p w:rsidR="00B25FFA" w:rsidRDefault="00B25FFA" w:rsidP="00B25FFA">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u w:val="single"/>
        </w:rPr>
        <w:t>II. Aquella cuya revelación pueda ser utilizada para actualizar o potenciar una amenaza a la seguridad pública o a las instituciones del Estado de México;</w:t>
      </w:r>
      <w:r>
        <w:rPr>
          <w:rFonts w:ascii="Palatino Linotype" w:eastAsia="Palatino Linotype" w:hAnsi="Palatino Linotype" w:cs="Palatino Linotype"/>
          <w:b/>
          <w:i/>
        </w:rPr>
        <w:t xml:space="preserve">” </w:t>
      </w:r>
      <w:r>
        <w:rPr>
          <w:rFonts w:ascii="Palatino Linotype" w:eastAsia="Palatino Linotype" w:hAnsi="Palatino Linotype" w:cs="Palatino Linotype"/>
          <w:i/>
        </w:rPr>
        <w:t>(Énfasis añadido)</w:t>
      </w:r>
    </w:p>
    <w:p w:rsidR="00B25FFA" w:rsidRDefault="00B25FFA" w:rsidP="00B25FFA">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b/>
          <w:i/>
          <w:u w:val="single"/>
        </w:rPr>
      </w:pPr>
    </w:p>
    <w:p w:rsidR="00B25FFA" w:rsidRDefault="00B25FFA" w:rsidP="00B25FFA">
      <w:pPr>
        <w:pBdr>
          <w:top w:val="nil"/>
          <w:left w:val="nil"/>
          <w:bottom w:val="nil"/>
          <w:right w:val="nil"/>
          <w:between w:val="nil"/>
        </w:pBdr>
        <w:spacing w:after="12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armonía con esta disposición normativa, la Ley General de Transparencia y Acceso a la Información Pública, en su artículo 113, fracción I señala que deberá reservarse la información que con su publicación se comprometa a la seguridad pública y cuente con un efecto demostrable, posteriormente el artículo 140 fracción I de la Ley de Transparencia Local replica esta circunstancia de reserva. </w:t>
      </w:r>
    </w:p>
    <w:p w:rsidR="00B25FFA" w:rsidRDefault="00B25FFA" w:rsidP="00B25FFA">
      <w:pPr>
        <w:pBdr>
          <w:top w:val="nil"/>
          <w:left w:val="nil"/>
          <w:bottom w:val="nil"/>
          <w:right w:val="nil"/>
          <w:between w:val="nil"/>
        </w:pBdr>
        <w:spacing w:after="120" w:line="360" w:lineRule="auto"/>
        <w:contextualSpacing/>
        <w:jc w:val="both"/>
        <w:rPr>
          <w:rFonts w:ascii="Palatino Linotype" w:eastAsia="Palatino Linotype" w:hAnsi="Palatino Linotype" w:cs="Palatino Linotype"/>
          <w:sz w:val="24"/>
          <w:szCs w:val="24"/>
        </w:rPr>
      </w:pPr>
    </w:p>
    <w:p w:rsidR="00B25FFA" w:rsidRDefault="00B25FFA" w:rsidP="00B25FFA">
      <w:pPr>
        <w:pBdr>
          <w:top w:val="nil"/>
          <w:left w:val="nil"/>
          <w:bottom w:val="nil"/>
          <w:right w:val="nil"/>
          <w:between w:val="nil"/>
        </w:pBdr>
        <w:spacing w:after="120" w:line="360" w:lineRule="auto"/>
        <w:contextualSpacing/>
        <w:jc w:val="both"/>
        <w:rPr>
          <w:rFonts w:ascii="Palatino Linotype" w:eastAsia="Palatino Linotype" w:hAnsi="Palatino Linotype" w:cs="Palatino Linotype"/>
          <w:b/>
        </w:rPr>
      </w:pPr>
      <w:r>
        <w:rPr>
          <w:rFonts w:ascii="Palatino Linotype" w:eastAsia="Palatino Linotype" w:hAnsi="Palatino Linotype" w:cs="Palatino Linotype"/>
          <w:b/>
        </w:rPr>
        <w:t>“Ley General de Transparencia y Acceso a la Información Pública:</w:t>
      </w:r>
    </w:p>
    <w:p w:rsidR="00B25FFA" w:rsidRDefault="00B25FFA" w:rsidP="00B25FFA">
      <w:pPr>
        <w:pBdr>
          <w:top w:val="nil"/>
          <w:left w:val="nil"/>
          <w:bottom w:val="nil"/>
          <w:right w:val="nil"/>
          <w:between w:val="nil"/>
        </w:pBdr>
        <w:spacing w:after="12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Artículo 113. Como información reservada podrá clasificarse aquella cuya publicación:</w:t>
      </w:r>
    </w:p>
    <w:p w:rsidR="00B25FFA" w:rsidRDefault="00B25FFA" w:rsidP="00B25FFA">
      <w:pPr>
        <w:pBdr>
          <w:top w:val="nil"/>
          <w:left w:val="nil"/>
          <w:bottom w:val="nil"/>
          <w:right w:val="nil"/>
          <w:between w:val="nil"/>
        </w:pBdr>
        <w:spacing w:after="12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nacional, la seguridad pública o la defensa nacional y cuente con un propósito genuino y un efecto demostrable</w:t>
      </w:r>
      <w:r>
        <w:rPr>
          <w:rFonts w:ascii="Palatino Linotype" w:eastAsia="Palatino Linotype" w:hAnsi="Palatino Linotype" w:cs="Palatino Linotype"/>
          <w:i/>
        </w:rPr>
        <w:t>;</w:t>
      </w:r>
    </w:p>
    <w:p w:rsidR="00B25FFA" w:rsidRDefault="00B25FFA" w:rsidP="00B25FFA">
      <w:pPr>
        <w:pBdr>
          <w:top w:val="nil"/>
          <w:left w:val="nil"/>
          <w:bottom w:val="nil"/>
          <w:right w:val="nil"/>
          <w:between w:val="nil"/>
        </w:pBdr>
        <w:spacing w:after="120" w:line="276" w:lineRule="auto"/>
        <w:ind w:right="2124"/>
        <w:jc w:val="both"/>
        <w:rPr>
          <w:rFonts w:ascii="Palatino Linotype" w:eastAsia="Palatino Linotype" w:hAnsi="Palatino Linotype" w:cs="Palatino Linotype"/>
          <w:b/>
        </w:rPr>
      </w:pPr>
    </w:p>
    <w:p w:rsidR="00B25FFA" w:rsidRDefault="00B25FFA" w:rsidP="00B25FFA">
      <w:pPr>
        <w:pBdr>
          <w:top w:val="nil"/>
          <w:left w:val="nil"/>
          <w:bottom w:val="nil"/>
          <w:right w:val="nil"/>
          <w:between w:val="nil"/>
        </w:pBdr>
        <w:spacing w:after="120" w:line="276" w:lineRule="auto"/>
        <w:ind w:right="2124"/>
        <w:jc w:val="both"/>
        <w:rPr>
          <w:rFonts w:ascii="Palatino Linotype" w:eastAsia="Palatino Linotype" w:hAnsi="Palatino Linotype" w:cs="Palatino Linotype"/>
          <w:b/>
        </w:rPr>
      </w:pPr>
      <w:r>
        <w:rPr>
          <w:rFonts w:ascii="Palatino Linotype" w:eastAsia="Palatino Linotype" w:hAnsi="Palatino Linotype" w:cs="Palatino Linotype"/>
          <w:b/>
        </w:rPr>
        <w:t xml:space="preserve">Ley de Transparencia y Acceso a la Información Pública del Estado de México y Municipios: </w:t>
      </w:r>
    </w:p>
    <w:p w:rsidR="00B25FFA" w:rsidRDefault="00B25FFA" w:rsidP="00B25FFA">
      <w:pPr>
        <w:pBdr>
          <w:top w:val="nil"/>
          <w:left w:val="nil"/>
          <w:bottom w:val="nil"/>
          <w:right w:val="nil"/>
          <w:between w:val="nil"/>
        </w:pBdr>
        <w:spacing w:after="120" w:line="276" w:lineRule="auto"/>
        <w:ind w:right="2124"/>
        <w:jc w:val="both"/>
        <w:rPr>
          <w:rFonts w:ascii="Palatino Linotype" w:eastAsia="Palatino Linotype" w:hAnsi="Palatino Linotype" w:cs="Palatino Linotype"/>
          <w:b/>
        </w:rPr>
      </w:pPr>
    </w:p>
    <w:p w:rsidR="00B25FFA" w:rsidRDefault="00B25FFA" w:rsidP="00B25FFA">
      <w:pPr>
        <w:pBdr>
          <w:top w:val="nil"/>
          <w:left w:val="nil"/>
          <w:bottom w:val="nil"/>
          <w:right w:val="nil"/>
          <w:between w:val="nil"/>
        </w:pBdr>
        <w:spacing w:after="12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Artículo 140. El acceso a la información pública será restringido excepcionalmente, cuando por razones de interés público, ésta sea clasificada como reservada, conforme a los criterios siguientes:</w:t>
      </w:r>
    </w:p>
    <w:p w:rsidR="00B25FFA" w:rsidRDefault="00B25FFA" w:rsidP="00B25FFA">
      <w:pPr>
        <w:pBdr>
          <w:top w:val="nil"/>
          <w:left w:val="nil"/>
          <w:bottom w:val="nil"/>
          <w:right w:val="nil"/>
          <w:between w:val="nil"/>
        </w:pBdr>
        <w:spacing w:after="12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pública y cuente con un propósito genuino y un efecto demostrable</w:t>
      </w:r>
      <w:r>
        <w:rPr>
          <w:rFonts w:ascii="Palatino Linotype" w:eastAsia="Palatino Linotype" w:hAnsi="Palatino Linotype" w:cs="Palatino Linotype"/>
          <w:i/>
        </w:rPr>
        <w:t>;” (Énfasis añadido)</w:t>
      </w:r>
    </w:p>
    <w:p w:rsidR="00B25FFA" w:rsidRDefault="00B25FFA" w:rsidP="00B25FFA">
      <w:pPr>
        <w:pBdr>
          <w:top w:val="nil"/>
          <w:left w:val="nil"/>
          <w:bottom w:val="nil"/>
          <w:right w:val="nil"/>
          <w:between w:val="nil"/>
        </w:pBdr>
        <w:spacing w:after="120" w:line="276" w:lineRule="auto"/>
        <w:ind w:right="990"/>
        <w:jc w:val="both"/>
        <w:rPr>
          <w:rFonts w:ascii="Palatino Linotype" w:eastAsia="Palatino Linotype" w:hAnsi="Palatino Linotype" w:cs="Palatino Linotype"/>
          <w:b/>
        </w:rPr>
      </w:pPr>
    </w:p>
    <w:p w:rsidR="00B25FFA" w:rsidRDefault="00B25FFA" w:rsidP="00B25FFA">
      <w:pPr>
        <w:pBdr>
          <w:top w:val="nil"/>
          <w:left w:val="nil"/>
          <w:bottom w:val="nil"/>
          <w:right w:val="nil"/>
          <w:between w:val="nil"/>
        </w:pBdr>
        <w:spacing w:after="12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Posteriormente los Lineamientos Generales en Materia de Clasificación y Desclasificación de la Información, así como para la Elaboración de Versiones Públicas, publicados el 16 de abril de 2016 y reformados el 18 de noviembre de 2022 señalan en su numeral décimo octavo que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B25FFA" w:rsidRDefault="00B25FFA" w:rsidP="00B25FFA">
      <w:pPr>
        <w:pBdr>
          <w:top w:val="nil"/>
          <w:left w:val="nil"/>
          <w:bottom w:val="nil"/>
          <w:right w:val="nil"/>
          <w:between w:val="nil"/>
        </w:pBdr>
        <w:spacing w:after="120" w:line="360" w:lineRule="auto"/>
        <w:contextualSpacing/>
        <w:jc w:val="both"/>
        <w:rPr>
          <w:rFonts w:ascii="Palatino Linotype" w:eastAsia="Palatino Linotype" w:hAnsi="Palatino Linotype" w:cs="Palatino Linotype"/>
          <w:sz w:val="24"/>
          <w:szCs w:val="24"/>
        </w:rPr>
      </w:pPr>
    </w:p>
    <w:p w:rsidR="00B25FFA" w:rsidRDefault="00B25FFA" w:rsidP="00B25FFA">
      <w:pPr>
        <w:pBdr>
          <w:top w:val="nil"/>
          <w:left w:val="nil"/>
          <w:bottom w:val="nil"/>
          <w:right w:val="nil"/>
          <w:between w:val="nil"/>
        </w:pBdr>
        <w:spacing w:after="12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crucial señalar que estos Lineamientos señalan </w:t>
      </w:r>
      <w:r>
        <w:rPr>
          <w:rFonts w:ascii="Palatino Linotype" w:eastAsia="Palatino Linotype" w:hAnsi="Palatino Linotype" w:cs="Palatino Linotype"/>
          <w:b/>
          <w:sz w:val="24"/>
          <w:szCs w:val="24"/>
          <w:u w:val="single"/>
        </w:rPr>
        <w:t>que es susceptible de considerarse como reservada aquella que revele datos que pudieran ser aprovechados para conocer la capacidad de reacción de las instituciones encargadas de la seguridad pública</w:t>
      </w:r>
      <w:r>
        <w:rPr>
          <w:rFonts w:ascii="Palatino Linotype" w:eastAsia="Palatino Linotype" w:hAnsi="Palatino Linotype" w:cs="Palatino Linotype"/>
          <w:sz w:val="24"/>
          <w:szCs w:val="24"/>
        </w:rPr>
        <w:t>, sus planes, estrategias, tecnología, información, sistemas de comunicaciones.</w:t>
      </w:r>
    </w:p>
    <w:p w:rsidR="00B25FFA" w:rsidRDefault="00B25FFA" w:rsidP="00B25FFA">
      <w:pPr>
        <w:pBdr>
          <w:top w:val="nil"/>
          <w:left w:val="nil"/>
          <w:bottom w:val="nil"/>
          <w:right w:val="nil"/>
          <w:between w:val="nil"/>
        </w:pBdr>
        <w:spacing w:after="120" w:line="360" w:lineRule="auto"/>
        <w:contextualSpacing/>
        <w:jc w:val="both"/>
        <w:rPr>
          <w:rFonts w:ascii="Palatino Linotype" w:eastAsia="Palatino Linotype" w:hAnsi="Palatino Linotype" w:cs="Palatino Linotype"/>
          <w:b/>
          <w:sz w:val="24"/>
          <w:szCs w:val="24"/>
          <w:u w:val="single"/>
        </w:rPr>
      </w:pPr>
    </w:p>
    <w:p w:rsidR="00B25FFA" w:rsidRDefault="00B25FFA" w:rsidP="00B25FFA">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Hasta este punto tenemos que los instrumentos normativos que debemos observar en estricto sentido disponen puntualmente la reserva de información para los casos en los que se revele información que pueda ser empleada para conocer la capacidad de reacción, es decir, todo lo relativo a servidores públicos operativos que integran las instituciones de seguridad pública, ya que su divulgación podría ser utilizada para actualizar o potenciar una amenaza para la seguridad pública de la sociedad; teniendo esto en cuenta y trasladando estas premisas al caso particular se estima que con la entrega de información relativa a los servidores públicos con funciones operativas adscritos a instituciones de seguridad pública, revela información actualizada sobre el número de policías operativos en activo a la fecha de la solicitud de información y en consecuencia su estado de fuerza vigente, lo cual no sólo contraviene lo dispuesto expresamente por las disposiciones previamente insertadas, sino que, además, pone en riesgo los valores jurídicos y los principios bajo los cuales de las instituciones de seguridad pública se debe regir como son la legalidad, objetividad, eficiencia, profesionalismo, honradez y respeto a los derechos humanos reconocidos en la Constitución General.</w:t>
      </w:r>
    </w:p>
    <w:p w:rsidR="00B25FFA" w:rsidRDefault="00B25FFA" w:rsidP="00B25FFA">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p>
    <w:p w:rsidR="00B25FFA" w:rsidRDefault="00B25FFA" w:rsidP="00B25FFA">
      <w:pPr>
        <w:spacing w:after="0" w:line="360" w:lineRule="auto"/>
        <w:ind w:right="-3"/>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la reserva del personal operativo procede por dos circunstancias:</w:t>
      </w:r>
    </w:p>
    <w:p w:rsidR="00B25FFA" w:rsidRDefault="00B25FFA" w:rsidP="00B25FFA">
      <w:pPr>
        <w:spacing w:after="0" w:line="360" w:lineRule="auto"/>
        <w:ind w:right="-3"/>
        <w:contextualSpacing/>
        <w:jc w:val="both"/>
        <w:rPr>
          <w:rFonts w:ascii="Palatino Linotype" w:eastAsia="Palatino Linotype" w:hAnsi="Palatino Linotype" w:cs="Palatino Linotype"/>
          <w:sz w:val="24"/>
          <w:szCs w:val="24"/>
        </w:rPr>
      </w:pPr>
    </w:p>
    <w:p w:rsidR="00B25FFA" w:rsidRDefault="00B25FFA" w:rsidP="00B25FFA">
      <w:pPr>
        <w:spacing w:after="0" w:line="360" w:lineRule="auto"/>
        <w:ind w:right="-3"/>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1. Se identifica en términos concretos cómo es que la información requerida podría comprometer el ejercicio de sus facultades constitucionales y, con ello, la seguridad </w:t>
      </w:r>
      <w:r>
        <w:rPr>
          <w:rFonts w:ascii="Palatino Linotype" w:eastAsia="Palatino Linotype" w:hAnsi="Palatino Linotype" w:cs="Palatino Linotype"/>
          <w:color w:val="000000"/>
          <w:sz w:val="24"/>
          <w:szCs w:val="24"/>
        </w:rPr>
        <w:t xml:space="preserve">pública, </w:t>
      </w:r>
      <w:r>
        <w:rPr>
          <w:rFonts w:ascii="Palatino Linotype" w:eastAsia="Palatino Linotype" w:hAnsi="Palatino Linotype" w:cs="Palatino Linotype"/>
          <w:sz w:val="24"/>
          <w:szCs w:val="24"/>
        </w:rPr>
        <w:t xml:space="preserve">en virtud de que: </w:t>
      </w:r>
    </w:p>
    <w:p w:rsidR="00B25FFA" w:rsidRDefault="00B25FFA" w:rsidP="00B25FFA">
      <w:pPr>
        <w:spacing w:after="0" w:line="360" w:lineRule="auto"/>
        <w:ind w:right="-3"/>
        <w:contextualSpacing/>
        <w:jc w:val="both"/>
        <w:rPr>
          <w:rFonts w:ascii="Palatino Linotype" w:eastAsia="Palatino Linotype" w:hAnsi="Palatino Linotype" w:cs="Palatino Linotype"/>
          <w:sz w:val="24"/>
          <w:szCs w:val="24"/>
        </w:rPr>
      </w:pPr>
    </w:p>
    <w:p w:rsidR="00B25FFA" w:rsidRDefault="00B25FFA" w:rsidP="00B25FFA">
      <w:pPr>
        <w:spacing w:after="0" w:line="360" w:lineRule="auto"/>
        <w:ind w:right="-3"/>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La información podría ser aprovechada por los grupos criminales para conocer la capacidad de reacción.</w:t>
      </w:r>
    </w:p>
    <w:p w:rsidR="00B25FFA" w:rsidRDefault="00B25FFA" w:rsidP="00B25FFA">
      <w:pPr>
        <w:spacing w:after="240" w:line="360" w:lineRule="auto"/>
        <w:ind w:right="-3"/>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 Con dicha información se revelarían a detalle las características funcionales del personal y con ello, su organización para el cumplimiento de sus funciones; y </w:t>
      </w:r>
    </w:p>
    <w:p w:rsidR="00B25FFA" w:rsidRDefault="00B25FFA" w:rsidP="00B25FFA">
      <w:pPr>
        <w:spacing w:before="240" w:after="0" w:line="360" w:lineRule="auto"/>
        <w:ind w:right="-3"/>
        <w:jc w:val="both"/>
        <w:rPr>
          <w:rFonts w:ascii="Palatino Linotype" w:eastAsia="Palatino Linotype" w:hAnsi="Palatino Linotype" w:cs="Palatino Linotype"/>
          <w:sz w:val="24"/>
          <w:szCs w:val="24"/>
          <w:highlight w:val="yellow"/>
        </w:rPr>
      </w:pPr>
      <w:r>
        <w:rPr>
          <w:rFonts w:ascii="Palatino Linotype" w:eastAsia="Palatino Linotype" w:hAnsi="Palatino Linotype" w:cs="Palatino Linotype"/>
          <w:sz w:val="24"/>
          <w:szCs w:val="24"/>
        </w:rPr>
        <w:t xml:space="preserve">2. Existe una relación causal general entre la entrega de la información y la afectación a la seguridad pública, pues los grupos criminales estarían en posibilidad de obstaculizar o bloquear actividades encaminadas a preservar el orden dentro de la dinámica social. </w:t>
      </w:r>
    </w:p>
    <w:p w:rsidR="00B25FFA" w:rsidRDefault="00B25FFA" w:rsidP="00B25FFA">
      <w:pPr>
        <w:spacing w:after="0" w:line="360" w:lineRule="auto"/>
        <w:ind w:right="-3"/>
        <w:jc w:val="both"/>
        <w:rPr>
          <w:rFonts w:ascii="Palatino Linotype" w:eastAsia="Palatino Linotype" w:hAnsi="Palatino Linotype" w:cs="Palatino Linotype"/>
          <w:sz w:val="24"/>
          <w:szCs w:val="24"/>
        </w:rPr>
      </w:pPr>
    </w:p>
    <w:p w:rsidR="00B25FFA" w:rsidRDefault="00B25FFA" w:rsidP="00B25FFA">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entre mayor información se dé a conocer respecto del </w:t>
      </w:r>
      <w:r>
        <w:rPr>
          <w:rFonts w:ascii="Palatino Linotype" w:eastAsia="Palatino Linotype" w:hAnsi="Palatino Linotype" w:cs="Palatino Linotype"/>
          <w:b/>
          <w:i/>
          <w:sz w:val="24"/>
          <w:szCs w:val="24"/>
        </w:rPr>
        <w:t xml:space="preserve">estado de fuerza </w:t>
      </w:r>
      <w:r>
        <w:rPr>
          <w:rFonts w:ascii="Palatino Linotype" w:eastAsia="Palatino Linotype" w:hAnsi="Palatino Linotype" w:cs="Palatino Linotype"/>
          <w:sz w:val="24"/>
          <w:szCs w:val="24"/>
        </w:rPr>
        <w:t xml:space="preserve">con que cuentan el Estado y Municipios, mayor es la probabilidad de que la información pueda implementarse como medio para actualizar o potenciar una amenaza en contra de la seguridad pública de los mismos. </w:t>
      </w:r>
    </w:p>
    <w:p w:rsidR="00B25FFA" w:rsidRDefault="00B25FFA" w:rsidP="00B25FFA">
      <w:pPr>
        <w:spacing w:after="0" w:line="360" w:lineRule="auto"/>
        <w:ind w:right="-3"/>
        <w:jc w:val="both"/>
        <w:rPr>
          <w:rFonts w:ascii="Palatino Linotype" w:eastAsia="Palatino Linotype" w:hAnsi="Palatino Linotype" w:cs="Palatino Linotype"/>
          <w:sz w:val="24"/>
          <w:szCs w:val="24"/>
        </w:rPr>
      </w:pPr>
    </w:p>
    <w:p w:rsidR="00B25FFA" w:rsidRDefault="00B25FFA" w:rsidP="00B25FFA">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pasa inadvertido para la suscrita que en los casos en los que se publiciten diversas notas o documentos en los que se dé a conocer información estadística sobre el número de elementos de policía con los que cuentan los ayuntamientos, esta información no se encuentra actualizada a la fecha de la solicitud, aunado a que no se hace una distinción entre el número de personal operativo y administrativo.</w:t>
      </w:r>
    </w:p>
    <w:p w:rsidR="00B25FFA" w:rsidRDefault="00B25FFA" w:rsidP="00B25FFA">
      <w:pPr>
        <w:spacing w:after="0" w:line="360" w:lineRule="auto"/>
        <w:ind w:right="139"/>
        <w:jc w:val="both"/>
        <w:rPr>
          <w:rFonts w:ascii="Palatino Linotype" w:eastAsia="Palatino Linotype" w:hAnsi="Palatino Linotype" w:cs="Palatino Linotype"/>
          <w:sz w:val="28"/>
          <w:szCs w:val="28"/>
        </w:rPr>
      </w:pPr>
    </w:p>
    <w:p w:rsidR="00B25FFA" w:rsidRDefault="00B25FFA" w:rsidP="00B25FFA">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w:t>
      </w:r>
      <w:r>
        <w:rPr>
          <w:rFonts w:ascii="Palatino Linotype" w:eastAsia="Palatino Linotype" w:hAnsi="Palatino Linotype" w:cs="Palatino Linotype"/>
          <w:color w:val="000000"/>
          <w:sz w:val="24"/>
          <w:szCs w:val="24"/>
        </w:rPr>
        <w:t xml:space="preserve">la información relativa a los servidores públicos operativos </w:t>
      </w:r>
      <w:r>
        <w:rPr>
          <w:rFonts w:ascii="Palatino Linotype" w:eastAsia="Palatino Linotype" w:hAnsi="Palatino Linotype" w:cs="Palatino Linotype"/>
          <w:sz w:val="24"/>
          <w:szCs w:val="24"/>
        </w:rPr>
        <w:t xml:space="preserve">adscritos a instituciones de seguridad pública,  deben recibir un tratamiento de carácter excepcional, y esto es en razón de que,  son los responsables de procurar el orden, la estabilidad y la defensa de la sociedad a la que pertenecen, por lo que, se estima que al proporcionar </w:t>
      </w:r>
      <w:r>
        <w:rPr>
          <w:rFonts w:ascii="Palatino Linotype" w:eastAsia="Palatino Linotype" w:hAnsi="Palatino Linotype" w:cs="Palatino Linotype"/>
          <w:color w:val="000000"/>
          <w:sz w:val="24"/>
          <w:szCs w:val="24"/>
        </w:rPr>
        <w:t xml:space="preserve">documentales en las que se aprecie dicha información, </w:t>
      </w:r>
      <w:r>
        <w:rPr>
          <w:rFonts w:ascii="Palatino Linotype" w:eastAsia="Palatino Linotype" w:hAnsi="Palatino Linotype" w:cs="Palatino Linotype"/>
          <w:sz w:val="24"/>
          <w:szCs w:val="24"/>
        </w:rPr>
        <w:t xml:space="preserve">se revela el número de servidores públicos operativos con funciones de seguridad pública activos en el </w:t>
      </w:r>
      <w:r>
        <w:rPr>
          <w:rFonts w:ascii="Palatino Linotype" w:eastAsia="Palatino Linotype" w:hAnsi="Palatino Linotype" w:cs="Palatino Linotype"/>
          <w:color w:val="000000"/>
          <w:sz w:val="24"/>
          <w:szCs w:val="24"/>
        </w:rPr>
        <w:t>Sujeto Obligado</w:t>
      </w:r>
      <w:r>
        <w:rPr>
          <w:rFonts w:ascii="Palatino Linotype" w:eastAsia="Palatino Linotype" w:hAnsi="Palatino Linotype" w:cs="Palatino Linotype"/>
          <w:sz w:val="24"/>
          <w:szCs w:val="24"/>
        </w:rPr>
        <w:t>; información con la que se da a conocer el estado de fuerza y la capacidad de reacción del órgano público.</w:t>
      </w:r>
    </w:p>
    <w:p w:rsidR="00B25FFA" w:rsidRDefault="00B25FFA" w:rsidP="00B25FFA">
      <w:pPr>
        <w:spacing w:after="0" w:line="360" w:lineRule="auto"/>
        <w:ind w:right="139"/>
        <w:jc w:val="both"/>
        <w:rPr>
          <w:rFonts w:ascii="Palatino Linotype" w:eastAsia="Palatino Linotype" w:hAnsi="Palatino Linotype" w:cs="Palatino Linotype"/>
          <w:sz w:val="28"/>
          <w:szCs w:val="28"/>
        </w:rPr>
      </w:pPr>
    </w:p>
    <w:p w:rsidR="00B25FFA" w:rsidRDefault="00B25FFA" w:rsidP="00B25FFA">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por todo lo anteriormente expuesto que considero que en las líneas argumentativas que anteceden, se acreditó de manera fehaciente que esta información debe ser reservada pues su entrega revela datos que pudieran ser aprovechados para conocer la capacidad de reacción de las instituciones encargadas de la seguridad pública y </w:t>
      </w:r>
      <w:r>
        <w:rPr>
          <w:rFonts w:ascii="Palatino Linotype" w:eastAsia="Palatino Linotype" w:hAnsi="Palatino Linotype" w:cs="Palatino Linotype"/>
          <w:b/>
          <w:sz w:val="24"/>
          <w:szCs w:val="24"/>
          <w:u w:val="single"/>
        </w:rPr>
        <w:t xml:space="preserve">facilitaría a las cédulas delictivas el neutralizar las acciones implementadas o por implementar para la preservación de la paz pública, afectando así su estado de fuerza, o bien les permita </w:t>
      </w:r>
      <w:r>
        <w:rPr>
          <w:rFonts w:ascii="Palatino Linotype" w:eastAsia="Palatino Linotype" w:hAnsi="Palatino Linotype" w:cs="Palatino Linotype"/>
          <w:sz w:val="24"/>
          <w:szCs w:val="24"/>
        </w:rPr>
        <w:t>realizar actos para amenazar, inhibir, extorsionar o corromper las funciones del personal operativo, lo que causaría una vulneración a la Seguridad Municipal, por lo tanto la suscrita no comparte las consideraciones vertidas en la resolución respecto del tratamiento que se le da a la información relativa a elementos operativos de instituciones de seguridad pública, y  por ende formula el presente voto particular.</w:t>
      </w:r>
    </w:p>
    <w:p w:rsidR="00B25FFA" w:rsidRDefault="00B25FFA" w:rsidP="00B25FFA">
      <w:pPr>
        <w:pBdr>
          <w:top w:val="nil"/>
          <w:left w:val="nil"/>
          <w:bottom w:val="nil"/>
          <w:right w:val="nil"/>
          <w:between w:val="nil"/>
        </w:pBdr>
        <w:spacing w:after="0" w:line="360" w:lineRule="auto"/>
        <w:ind w:right="142"/>
        <w:jc w:val="both"/>
        <w:rPr>
          <w:rFonts w:ascii="Palatino Linotype" w:eastAsia="Palatino Linotype" w:hAnsi="Palatino Linotype" w:cs="Palatino Linotype"/>
          <w:b/>
        </w:rPr>
      </w:pPr>
      <w:r>
        <w:br w:type="page"/>
      </w:r>
    </w:p>
    <w:p w:rsidR="00B25FFA" w:rsidRDefault="00B25FFA" w:rsidP="00B25FFA">
      <w:pPr>
        <w:spacing w:after="0" w:line="360" w:lineRule="auto"/>
        <w:ind w:right="139"/>
        <w:jc w:val="both"/>
        <w:rPr>
          <w:rFonts w:ascii="Palatino Linotype" w:eastAsia="Palatino Linotype" w:hAnsi="Palatino Linotype" w:cs="Palatino Linotype"/>
        </w:rPr>
      </w:pPr>
    </w:p>
    <w:p w:rsidR="00B25FFA" w:rsidRDefault="00B25FFA" w:rsidP="00B25FFA">
      <w:pPr>
        <w:spacing w:after="0" w:line="360" w:lineRule="auto"/>
        <w:rPr>
          <w:rFonts w:ascii="Palatino Linotype" w:eastAsia="Palatino Linotype" w:hAnsi="Palatino Linotype" w:cs="Palatino Linotype"/>
          <w:sz w:val="24"/>
          <w:szCs w:val="24"/>
        </w:rPr>
      </w:pPr>
    </w:p>
    <w:p w:rsidR="00B25FFA" w:rsidRDefault="00B25FFA" w:rsidP="00B25FFA">
      <w:pPr>
        <w:spacing w:after="0" w:line="360" w:lineRule="auto"/>
        <w:rPr>
          <w:rFonts w:ascii="Palatino Linotype" w:eastAsia="Palatino Linotype" w:hAnsi="Palatino Linotype" w:cs="Palatino Linotype"/>
          <w:sz w:val="24"/>
          <w:szCs w:val="24"/>
        </w:rPr>
      </w:pPr>
    </w:p>
    <w:p w:rsidR="00B25FFA" w:rsidRDefault="00B25FFA" w:rsidP="00B25FFA">
      <w:pPr>
        <w:spacing w:after="0" w:line="360" w:lineRule="auto"/>
        <w:rPr>
          <w:rFonts w:ascii="Palatino Linotype" w:eastAsia="Palatino Linotype" w:hAnsi="Palatino Linotype" w:cs="Palatino Linotype"/>
          <w:sz w:val="24"/>
          <w:szCs w:val="24"/>
        </w:rPr>
      </w:pPr>
    </w:p>
    <w:p w:rsidR="00B25FFA" w:rsidRDefault="00B25FFA" w:rsidP="00B25FFA">
      <w:pPr>
        <w:spacing w:after="0" w:line="360" w:lineRule="auto"/>
        <w:rPr>
          <w:rFonts w:ascii="Palatino Linotype" w:eastAsia="Palatino Linotype" w:hAnsi="Palatino Linotype" w:cs="Palatino Linotype"/>
          <w:sz w:val="24"/>
          <w:szCs w:val="24"/>
        </w:rPr>
      </w:pPr>
    </w:p>
    <w:p w:rsidR="00B25FFA" w:rsidRDefault="00B25FFA" w:rsidP="00B25FFA">
      <w:pPr>
        <w:spacing w:after="0" w:line="360" w:lineRule="auto"/>
        <w:rPr>
          <w:rFonts w:ascii="Palatino Linotype" w:eastAsia="Palatino Linotype" w:hAnsi="Palatino Linotype" w:cs="Palatino Linotype"/>
          <w:sz w:val="24"/>
          <w:szCs w:val="24"/>
        </w:rPr>
      </w:pPr>
    </w:p>
    <w:p w:rsidR="00B25FFA" w:rsidRDefault="00B25FFA" w:rsidP="00B25FFA"/>
    <w:p w:rsidR="00B25FFA" w:rsidRDefault="00B25FFA" w:rsidP="00B25FFA"/>
    <w:p w:rsidR="00B25FFA" w:rsidRDefault="00B25FFA" w:rsidP="00B25FFA"/>
    <w:p w:rsidR="00C77E6D" w:rsidRDefault="008D015F"/>
    <w:sectPr w:rsidR="00C77E6D">
      <w:headerReference w:type="even" r:id="rId9"/>
      <w:headerReference w:type="default" r:id="rId10"/>
      <w:footerReference w:type="default" r:id="rId11"/>
      <w:headerReference w:type="first" r:id="rId12"/>
      <w:pgSz w:w="12240" w:h="15840"/>
      <w:pgMar w:top="1417" w:right="1701" w:bottom="1417" w:left="1701" w:header="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A46" w:rsidRDefault="00E46A46" w:rsidP="00E46A46">
      <w:pPr>
        <w:spacing w:after="0" w:line="240" w:lineRule="auto"/>
      </w:pPr>
      <w:r>
        <w:separator/>
      </w:r>
    </w:p>
  </w:endnote>
  <w:endnote w:type="continuationSeparator" w:id="0">
    <w:p w:rsidR="00E46A46" w:rsidRDefault="00E46A46" w:rsidP="00E4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7A" w:rsidRDefault="00A240C8">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D015F">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D015F">
      <w:rPr>
        <w:b/>
        <w:noProof/>
        <w:color w:val="000000"/>
        <w:sz w:val="24"/>
        <w:szCs w:val="24"/>
      </w:rPr>
      <w:t>21</w:t>
    </w:r>
    <w:r>
      <w:rPr>
        <w:b/>
        <w:color w:val="000000"/>
        <w:sz w:val="24"/>
        <w:szCs w:val="24"/>
      </w:rPr>
      <w:fldChar w:fldCharType="end"/>
    </w:r>
  </w:p>
  <w:p w:rsidR="00517D7A" w:rsidRDefault="008D015F">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A46" w:rsidRDefault="00E46A46" w:rsidP="00E46A46">
      <w:pPr>
        <w:spacing w:after="0" w:line="240" w:lineRule="auto"/>
      </w:pPr>
      <w:r>
        <w:separator/>
      </w:r>
    </w:p>
  </w:footnote>
  <w:footnote w:type="continuationSeparator" w:id="0">
    <w:p w:rsidR="00E46A46" w:rsidRDefault="00E46A46" w:rsidP="00E46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7A" w:rsidRDefault="008D015F">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1.8pt;height:81.25pt;rotation:315;z-index:-251650048;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r w:rsidR="00A240C8">
      <w:rPr>
        <w:noProof/>
        <w:lang w:val="es-MX"/>
      </w:rPr>
      <mc:AlternateContent>
        <mc:Choice Requires="wps">
          <w:drawing>
            <wp:anchor distT="0" distB="0" distL="114300" distR="114300" simplePos="0" relativeHeight="251662336" behindDoc="0" locked="0" layoutInCell="1" hidden="0" allowOverlap="1" wp14:anchorId="54E76BEE" wp14:editId="4D2474FC">
              <wp:simplePos x="0" y="0"/>
              <wp:positionH relativeFrom="column">
                <wp:posOffset>1</wp:posOffset>
              </wp:positionH>
              <wp:positionV relativeFrom="paragraph">
                <wp:posOffset>0</wp:posOffset>
              </wp:positionV>
              <wp:extent cx="673100" cy="673100"/>
              <wp:effectExtent l="0" t="0" r="0" b="0"/>
              <wp:wrapNone/>
              <wp:docPr id="230983801" name="Rectángulo 230983801"/>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517D7A" w:rsidRDefault="008D015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4E76BEE" id="Rectángulo 230983801" o:spid="_x0000_s1026" style="position:absolute;margin-left:0;margin-top:0;width:53pt;height:5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wO0wEAAJMDAAAOAAAAZHJzL2Uyb0RvYy54bWysU9uO0zAQfUfiHyy/06TptupGTVeIVRHS&#10;CioWPsB17MaSb4zdJv0cvoUfY+yEbYE3xIszt5w5czzePAxGk7OAoJxt6HxWUiIsd62yx4Z+/bJ7&#10;s6YkRGZbpp0VDb2IQB+2r19tel+LynVOtwIIgthQ976hXYy+LorAO2FYmDkvLCalA8MiunAsWmA9&#10;ohtdVGW5KnoHrQfHRQgYfRyTdJvxpRQ8fpIyiEh0Q5FbzCfk85DOYrth9RGY7xSfaLB/YGGYstj0&#10;BeqRRUZOoP6CMoqDC07GGXemcFIqLvIMOM28/GOa5455kWdBcYJ/kSn8P1j+8bwHotqGVovyfr1Y&#10;l3NKLDN4VZ9RvB/f7fGkHbkmUbDehxr/e/Z7mLyAZpp+kGDSF+ciQ0OXZbVelij7paGLu1WV7Cy4&#10;GCLhWLBaYAjzHAsmG/PFFchDiO+FMyQZDQWklGVm56cQx9JfJamvdTuldW6h7W8BxEyRInEf2SYr&#10;DocBq5N5cO0FlQie7xT2emIh7hngLqAePe5HQ8O3EwNBif5g8QLu53fVEhfq1oFb53DrMMs7h2vH&#10;I1AyOu9iXsOR5dtTdFLlia5kJrp481mTaUvTat36uer6lrY/AQAA//8DAFBLAwQUAAYACAAAACEA&#10;0X/ugdYAAAAFAQAADwAAAGRycy9kb3ducmV2LnhtbEyPwU7EMAxE70j8Q2QkbmxKhSooTVeA4AAn&#10;6PIBbmOaisYpTXa3/D1ehMReLI/GGr+p1osf1Y7mOAQ2cLnKQBF3wQ7cG3jfPF1cg4oJ2eIYmAx8&#10;U4R1fXpSYWnDnt9o16ReSQjHEg24lKZS69g58hhXYSIW7yPMHpPIudd2xr2E+1HnWVZojwPLB4cT&#10;PTjqPputN/B6FSh/zON90/sbt7Sbl+cvLIw5P1vubkElWtL/MRzwBR1qYWrDlm1UowEpkn7nwcsK&#10;ke3foutKH9PXPwAAAP//AwBQSwECLQAUAAYACAAAACEAtoM4kv4AAADhAQAAEwAAAAAAAAAAAAAA&#10;AAAAAAAAW0NvbnRlbnRfVHlwZXNdLnhtbFBLAQItABQABgAIAAAAIQA4/SH/1gAAAJQBAAALAAAA&#10;AAAAAAAAAAAAAC8BAABfcmVscy8ucmVsc1BLAQItABQABgAIAAAAIQDsvnwO0wEAAJMDAAAOAAAA&#10;AAAAAAAAAAAAAC4CAABkcnMvZTJvRG9jLnhtbFBLAQItABQABgAIAAAAIQDRf+6B1gAAAAUBAAAP&#10;AAAAAAAAAAAAAAAAAC0EAABkcnMvZG93bnJldi54bWxQSwUGAAAAAAQABADzAAAAMAUAAAAA&#10;" filled="f" stroked="f">
              <v:textbox inset="2.53958mm,2.53958mm,2.53958mm,2.53958mm">
                <w:txbxContent>
                  <w:p w:rsidR="00517D7A" w:rsidRDefault="00A240C8">
                    <w:pPr>
                      <w:spacing w:after="0" w:line="240" w:lineRule="auto"/>
                      <w:textDirection w:val="btLr"/>
                    </w:pPr>
                  </w:p>
                </w:txbxContent>
              </v:textbox>
            </v:rect>
          </w:pict>
        </mc:Fallback>
      </mc:AlternateContent>
    </w:r>
    <w:r w:rsidR="00A240C8">
      <w:rPr>
        <w:noProof/>
        <w:lang w:val="es-MX"/>
      </w:rPr>
      <mc:AlternateContent>
        <mc:Choice Requires="wps">
          <w:drawing>
            <wp:anchor distT="0" distB="0" distL="114300" distR="114300" simplePos="0" relativeHeight="251663360" behindDoc="0" locked="0" layoutInCell="1" hidden="0" allowOverlap="1" wp14:anchorId="0AA8B421" wp14:editId="0512FB88">
              <wp:simplePos x="0" y="0"/>
              <wp:positionH relativeFrom="column">
                <wp:posOffset>1</wp:posOffset>
              </wp:positionH>
              <wp:positionV relativeFrom="paragraph">
                <wp:posOffset>0</wp:posOffset>
              </wp:positionV>
              <wp:extent cx="644525" cy="644525"/>
              <wp:effectExtent l="0" t="0" r="0" b="0"/>
              <wp:wrapNone/>
              <wp:docPr id="230983797" name="Rectángulo 230983797"/>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517D7A" w:rsidRDefault="008D015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AA8B421" id="Rectángulo 230983797" o:spid="_x0000_s1027" style="position:absolute;margin-left:0;margin-top:0;width:50.75pt;height:50.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D01gEAAJoDAAAOAAAAZHJzL2Uyb0RvYy54bWysU1uO0zAU/UdiD5b/aR6ddtqo7ggxKkIa&#10;QcXAAlzHbiz5he026XJYCxvj2gnTAn+IH+e+cnzuycnmYdAKnbkP0hqCq1mJETfMttIcCf76Zfdm&#10;hVGI1LRUWcMJvvCAH7avX2161/Dadla13CMAMaHpHcFdjK4pisA6rmmYWccNNIX1mkZI/bFoPe0B&#10;XauiLstl0VvfOm8ZDwGqj2MTbzO+EJzFT0IEHpEiGLjFfPp8HtJZbDe0OXrqOskmGvQfWGgqDVz6&#10;AvVII0UnL/+C0pJ5G6yIM2Z1YYWQjOcdYJuq/GOb5446nncBcYJ7kSn8P1j28bz3SLYE1/NyvZrf&#10;r+8xMlTDp/oM4v34bo4nZdG1CYL1LjTw3rPb+ykLEKbtB+F1esJeaCB4UdarRQmyXwie3y3rFGfB&#10;+RARg4HlHErQZzAwxdAvrkDOh/ieW41SQLAHSllmen4KcRz9NZLuNXYnlcpXKPNbATBTpUjcR7Yp&#10;isNhyMtXiVeqHGx7AUGCYzsJVz7REPfUgyUqjHqwCcHh24l6jpH6YOA7rKu7egG+uk38bXK4Tahh&#10;nQX3segxGpN3MbtxJPv2FK2QebErmYk1GCBLM5k1Oew2z1PXX2r7EwAA//8DAFBLAwQUAAYACAAA&#10;ACEALFQkq9gAAAAFAQAADwAAAGRycy9kb3ducmV2LnhtbEyPwU7DMBBE70j8g7VI3KjTiFY0jVNR&#10;BIdyomk/YBNv44h4ncZuG/4eFyHBZTWrWc28zVej7cSZBt86VjCdJCCIa6dbbhTsd28PTyB8QNbY&#10;OSYFX+RhVdze5Jhpd+EtncvQiBjCPkMFJoQ+k9LXhiz6ieuJo3dwg8UQ16GResBLDLedTJNkLi22&#10;HBsM9vRiqP4sT1bBx6Oj9DX167KxCzNWu/fNEedK3d+Nz0sQgcbwdwxX/IgORWSq3Im1F52C+Ej4&#10;mVcvmc5AVL9CFrn8T198AwAA//8DAFBLAQItABQABgAIAAAAIQC2gziS/gAAAOEBAAATAAAAAAAA&#10;AAAAAAAAAAAAAABbQ29udGVudF9UeXBlc10ueG1sUEsBAi0AFAAGAAgAAAAhADj9If/WAAAAlAEA&#10;AAsAAAAAAAAAAAAAAAAALwEAAF9yZWxzLy5yZWxzUEsBAi0AFAAGAAgAAAAhACkiIPTWAQAAmgMA&#10;AA4AAAAAAAAAAAAAAAAALgIAAGRycy9lMm9Eb2MueG1sUEsBAi0AFAAGAAgAAAAhACxUJKvYAAAA&#10;BQEAAA8AAAAAAAAAAAAAAAAAMAQAAGRycy9kb3ducmV2LnhtbFBLBQYAAAAABAAEAPMAAAA1BQAA&#10;AAA=&#10;" filled="f" stroked="f">
              <v:textbox inset="2.53958mm,2.53958mm,2.53958mm,2.53958mm">
                <w:txbxContent>
                  <w:p w:rsidR="00517D7A" w:rsidRDefault="00A240C8">
                    <w:pPr>
                      <w:spacing w:after="0" w:line="240" w:lineRule="auto"/>
                      <w:textDirection w:val="btLr"/>
                    </w:pPr>
                  </w:p>
                </w:txbxContent>
              </v:textbox>
            </v:rect>
          </w:pict>
        </mc:Fallback>
      </mc:AlternateContent>
    </w:r>
    <w:r w:rsidR="00A240C8">
      <w:rPr>
        <w:noProof/>
        <w:lang w:val="es-MX"/>
      </w:rPr>
      <mc:AlternateContent>
        <mc:Choice Requires="wps">
          <w:drawing>
            <wp:anchor distT="0" distB="0" distL="114300" distR="114300" simplePos="0" relativeHeight="251664384" behindDoc="0" locked="0" layoutInCell="1" hidden="0" allowOverlap="1" wp14:anchorId="444843F5" wp14:editId="2363E6A5">
              <wp:simplePos x="0" y="0"/>
              <wp:positionH relativeFrom="column">
                <wp:posOffset>1</wp:posOffset>
              </wp:positionH>
              <wp:positionV relativeFrom="paragraph">
                <wp:posOffset>0</wp:posOffset>
              </wp:positionV>
              <wp:extent cx="644525" cy="644525"/>
              <wp:effectExtent l="0" t="0" r="0" b="0"/>
              <wp:wrapNone/>
              <wp:docPr id="230983795" name="Rectángulo 230983795"/>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517D7A" w:rsidRDefault="008D015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44843F5" id="Rectángulo 230983795" o:spid="_x0000_s1028" style="position:absolute;margin-left:0;margin-top:0;width:50.75pt;height:50.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4O1gEAAJoDAAAOAAAAZHJzL2Uyb0RvYy54bWysU1uO0zAU/UdiD5b/adJ0Wtqq7ggxKkIa&#10;QTUDC3Adu7EUP7h2m3Q5rIWNce2EaYE/xI9zXzk+5+Rmc9+blpwlBO0so9NJSYm0wtXaHhn9+mX3&#10;ZklJiNzWvHVWMnqRgd5vX7/adH4tK9e4tpZAEMSGdecZbWL066IIopGGh4nz0mJTOTA8YgrHogbe&#10;Ibppi6osF0XnoPbghAwBqw9Dk24zvlJSxM9KBRlJyyhyi/mEfB7SWWw3fH0E7hstRhr8H1gYri1e&#10;+gL1wCMnJ9B/QRktwAWn4kQ4UziltJBZA6qZln+oeW64l1kLmhP8i03h/8GKT+c9EF0zWs3K1XL2&#10;djWnxHKDn+oJzfvx3R5PrSPXJhrW+bDG9579HsYsYJjU9wpMeqIu0jM6L6vlvETbL4zO7hZVirPh&#10;so9E4MBihiXsCxwYY+wXVyAPIX6QzpAUMApIKdvMz48hDqO/RtK91u102+YrWvtbATFTpUjcB7Yp&#10;iv2hH8QnXqlycPUFDQle7DRe+chD3HPAlZhS0uGaMBq+nThIStqPFr/DanpXoWPxNoHb5HCbcCsa&#10;h9snIlAyJO9j3saB7LtTdEpnYVcyI2tcgGzNuKxpw27zPHX9pbY/AQAA//8DAFBLAwQUAAYACAAA&#10;ACEALFQkq9gAAAAFAQAADwAAAGRycy9kb3ducmV2LnhtbEyPwU7DMBBE70j8g7VI3KjTiFY0jVNR&#10;BIdyomk/YBNv44h4ncZuG/4eFyHBZTWrWc28zVej7cSZBt86VjCdJCCIa6dbbhTsd28PTyB8QNbY&#10;OSYFX+RhVdze5Jhpd+EtncvQiBjCPkMFJoQ+k9LXhiz6ieuJo3dwg8UQ16GResBLDLedTJNkLi22&#10;HBsM9vRiqP4sT1bBx6Oj9DX167KxCzNWu/fNEedK3d+Nz0sQgcbwdwxX/IgORWSq3Im1F52C+Ej4&#10;mVcvmc5AVL9CFrn8T198AwAA//8DAFBLAQItABQABgAIAAAAIQC2gziS/gAAAOEBAAATAAAAAAAA&#10;AAAAAAAAAAAAAABbQ29udGVudF9UeXBlc10ueG1sUEsBAi0AFAAGAAgAAAAhADj9If/WAAAAlAEA&#10;AAsAAAAAAAAAAAAAAAAALwEAAF9yZWxzLy5yZWxzUEsBAi0AFAAGAAgAAAAhAIonDg7WAQAAmgMA&#10;AA4AAAAAAAAAAAAAAAAALgIAAGRycy9lMm9Eb2MueG1sUEsBAi0AFAAGAAgAAAAhACxUJKvYAAAA&#10;BQEAAA8AAAAAAAAAAAAAAAAAMAQAAGRycy9kb3ducmV2LnhtbFBLBQYAAAAABAAEAPMAAAA1BQAA&#10;AAA=&#10;" filled="f" stroked="f">
              <v:textbox inset="2.53958mm,2.53958mm,2.53958mm,2.53958mm">
                <w:txbxContent>
                  <w:p w:rsidR="00517D7A" w:rsidRDefault="00A240C8">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7A" w:rsidRDefault="008D015F">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W w:w="92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686"/>
      <w:gridCol w:w="5528"/>
    </w:tblGrid>
    <w:tr w:rsidR="00517D7A">
      <w:trPr>
        <w:trHeight w:val="1843"/>
      </w:trPr>
      <w:tc>
        <w:tcPr>
          <w:tcW w:w="3686" w:type="dxa"/>
          <w:vAlign w:val="bottom"/>
        </w:tcPr>
        <w:p w:rsidR="00517D7A" w:rsidRDefault="00A240C8">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lang w:val="es-MX"/>
            </w:rPr>
            <w:drawing>
              <wp:inline distT="0" distB="0" distL="0" distR="0" wp14:anchorId="4A941D36" wp14:editId="2F316F38">
                <wp:extent cx="1873633" cy="1126540"/>
                <wp:effectExtent l="0" t="0" r="0" b="0"/>
                <wp:docPr id="2309838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tc>
      <w:tc>
        <w:tcPr>
          <w:tcW w:w="5528" w:type="dxa"/>
          <w:vAlign w:val="center"/>
        </w:tcPr>
        <w:p w:rsidR="00517D7A" w:rsidRDefault="008D015F">
          <w:pPr>
            <w:pBdr>
              <w:top w:val="nil"/>
              <w:left w:val="nil"/>
              <w:bottom w:val="nil"/>
              <w:right w:val="nil"/>
              <w:between w:val="nil"/>
            </w:pBdr>
            <w:tabs>
              <w:tab w:val="center" w:pos="4252"/>
              <w:tab w:val="right" w:pos="8504"/>
            </w:tabs>
            <w:ind w:right="-250"/>
            <w:jc w:val="both"/>
            <w:rPr>
              <w:rFonts w:ascii="Palatino Linotype" w:eastAsia="Palatino Linotype" w:hAnsi="Palatino Linotype" w:cs="Palatino Linotype"/>
              <w:color w:val="000000"/>
            </w:rPr>
          </w:pPr>
        </w:p>
        <w:p w:rsidR="00517D7A" w:rsidRDefault="00A240C8">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p>
        <w:p w:rsidR="00517D7A" w:rsidRDefault="00A240C8">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0</w:t>
          </w:r>
          <w:r w:rsidR="00E46A46">
            <w:rPr>
              <w:rFonts w:ascii="Palatino Linotype" w:eastAsia="Palatino Linotype" w:hAnsi="Palatino Linotype" w:cs="Palatino Linotype"/>
              <w:color w:val="000000"/>
            </w:rPr>
            <w:t>1694</w:t>
          </w:r>
          <w:r>
            <w:rPr>
              <w:rFonts w:ascii="Palatino Linotype" w:eastAsia="Palatino Linotype" w:hAnsi="Palatino Linotype" w:cs="Palatino Linotype"/>
              <w:color w:val="000000"/>
            </w:rPr>
            <w:t>/INFOEM/IP/RR/2023</w:t>
          </w:r>
        </w:p>
        <w:p w:rsidR="00517D7A" w:rsidRDefault="008D015F">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p>
      </w:tc>
    </w:tr>
  </w:tbl>
  <w:p w:rsidR="00517D7A" w:rsidRDefault="008D015F">
    <w:pPr>
      <w:pBdr>
        <w:top w:val="nil"/>
        <w:left w:val="nil"/>
        <w:bottom w:val="nil"/>
        <w:right w:val="nil"/>
        <w:between w:val="nil"/>
      </w:pBdr>
      <w:tabs>
        <w:tab w:val="center" w:pos="4252"/>
        <w:tab w:val="right" w:pos="8504"/>
      </w:tabs>
      <w:spacing w:after="0" w:line="240" w:lineRule="auto"/>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7A" w:rsidRDefault="008D015F">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1.8pt;height:81.25pt;rotation:315;z-index:-251651072;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r w:rsidR="00A240C8">
      <w:rPr>
        <w:noProof/>
        <w:lang w:val="es-MX"/>
      </w:rPr>
      <mc:AlternateContent>
        <mc:Choice Requires="wps">
          <w:drawing>
            <wp:anchor distT="0" distB="0" distL="114300" distR="114300" simplePos="0" relativeHeight="251659264" behindDoc="0" locked="0" layoutInCell="1" hidden="0" allowOverlap="1" wp14:anchorId="16847F94" wp14:editId="741F0823">
              <wp:simplePos x="0" y="0"/>
              <wp:positionH relativeFrom="column">
                <wp:posOffset>1</wp:posOffset>
              </wp:positionH>
              <wp:positionV relativeFrom="paragraph">
                <wp:posOffset>0</wp:posOffset>
              </wp:positionV>
              <wp:extent cx="673100" cy="673100"/>
              <wp:effectExtent l="0" t="0" r="0" b="0"/>
              <wp:wrapNone/>
              <wp:docPr id="230983800" name="Rectángulo 230983800"/>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517D7A" w:rsidRDefault="008D015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6847F94" id="Rectángulo 230983800" o:spid="_x0000_s1029" style="position:absolute;margin-left:0;margin-top:0;width:53pt;height: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uz1QEAAJoDAAAOAAAAZHJzL2Uyb0RvYy54bWysU1uO0zAU/UdiD5b/adJkWnWipiPEqAhp&#10;BBUDC3Adu7HkF9duky6HtbAxrt0wLfCH+HHuK8fnnpysH0ajyUlAUM62dD4rKRGWu07ZQ0u/ftm+&#10;WVESIrMd086Klp5FoA+b16/Wg29E5XqnOwEEQWxoBt/SPkbfFEXgvTAszJwXFpvSgWERUzgUHbAB&#10;0Y0uqrJcFoODzoPjIgSsPl6adJPxpRQ8fpIyiEh0S5FbzCfkc5/OYrNmzQGY7xWfaLB/YGGYsnjp&#10;C9Qji4wcQf0FZRQHF5yMM+5M4aRUXOQdcJt5+cc2zz3zIu+C4gT/IlP4f7D842kHRHUtreryflWv&#10;SlTJMoOf6jOK9+O7PRy1I9cmCjb40OB7z34HUxYwTNuPEkx64l5kbOmirFaLBHhuaX23rFKcBRdj&#10;JBwHljWWsM9xYIqxX1yBPIT4XjhDUtBSQEpZZnZ6CvEy+msk3WvdVmmdr9D2twJipkqRuF/YpiiO&#10;+zEvXydeqbJ33RkFCZ5vFV75xELcMUBLzCkZ0CYtDd+ODAQl+oPF73A/v6sW6KvbBG6T/W3CLO8d&#10;uo9HoOSSvIvZjReyb4/RSZUXu5KZWKMBsjSTWZPDbvM8df2lNj8BAAD//wMAUEsDBBQABgAIAAAA&#10;IQDRf+6B1gAAAAUBAAAPAAAAZHJzL2Rvd25yZXYueG1sTI/BTsQwDETvSPxDZCRubEqFKihNV4Dg&#10;ACfo8gFuY5qKxilNdrf8PV6ExF4sj8Yav6nWix/VjuY4BDZwucpAEXfBDtwbeN88XVyDignZ4hiY&#10;DHxThHV9elJhacOe32jXpF5JCMcSDbiUplLr2DnyGFdhIhbvI8wek8i513bGvYT7UedZVmiPA8sH&#10;hxM9OOo+m6038HoVKH/M433T+xu3tJuX5y8sjDk/W+5uQSVa0v8xHPAFHWphasOWbVSjASmSfufB&#10;ywqR7d+i60of09c/AAAA//8DAFBLAQItABQABgAIAAAAIQC2gziS/gAAAOEBAAATAAAAAAAAAAAA&#10;AAAAAAAAAABbQ29udGVudF9UeXBlc10ueG1sUEsBAi0AFAAGAAgAAAAhADj9If/WAAAAlAEAAAsA&#10;AAAAAAAAAAAAAAAALwEAAF9yZWxzLy5yZWxzUEsBAi0AFAAGAAgAAAAhADLJS7PVAQAAmgMAAA4A&#10;AAAAAAAAAAAAAAAALgIAAGRycy9lMm9Eb2MueG1sUEsBAi0AFAAGAAgAAAAhANF/7oHWAAAABQEA&#10;AA8AAAAAAAAAAAAAAAAALwQAAGRycy9kb3ducmV2LnhtbFBLBQYAAAAABAAEAPMAAAAyBQAAAAA=&#10;" filled="f" stroked="f">
              <v:textbox inset="2.53958mm,2.53958mm,2.53958mm,2.53958mm">
                <w:txbxContent>
                  <w:p w:rsidR="00517D7A" w:rsidRDefault="00A240C8">
                    <w:pPr>
                      <w:spacing w:after="0" w:line="240" w:lineRule="auto"/>
                      <w:textDirection w:val="btLr"/>
                    </w:pPr>
                  </w:p>
                </w:txbxContent>
              </v:textbox>
            </v:rect>
          </w:pict>
        </mc:Fallback>
      </mc:AlternateContent>
    </w:r>
    <w:r w:rsidR="00A240C8">
      <w:rPr>
        <w:noProof/>
        <w:lang w:val="es-MX"/>
      </w:rPr>
      <mc:AlternateContent>
        <mc:Choice Requires="wps">
          <w:drawing>
            <wp:anchor distT="0" distB="0" distL="114300" distR="114300" simplePos="0" relativeHeight="251660288" behindDoc="0" locked="0" layoutInCell="1" hidden="0" allowOverlap="1" wp14:anchorId="65880978" wp14:editId="2EE02A05">
              <wp:simplePos x="0" y="0"/>
              <wp:positionH relativeFrom="column">
                <wp:posOffset>1</wp:posOffset>
              </wp:positionH>
              <wp:positionV relativeFrom="paragraph">
                <wp:posOffset>0</wp:posOffset>
              </wp:positionV>
              <wp:extent cx="644525" cy="644525"/>
              <wp:effectExtent l="0" t="0" r="0" b="0"/>
              <wp:wrapNone/>
              <wp:docPr id="230983799" name="Rectángulo 230983799"/>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517D7A" w:rsidRDefault="008D015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5880978" id="Rectángulo 230983799" o:spid="_x0000_s1030" style="position:absolute;margin-left:0;margin-top:0;width:50.75pt;height:5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6L1wEAAJoDAAAOAAAAZHJzL2Uyb0RvYy54bWysU1uO0zAU/UdiD5b/adL0QRvVHSFGRUgj&#10;qGZgAa5jN5b8wnabdDmshY1x7YRpgb/R/Dj3leNzT042d71W6Mx9kNYQPJ2UGHHDbCPNkeDv33bv&#10;VhiFSE1DlTWc4AsP+G779s2mczWvbGtVwz0CEBPqzhHcxujqogis5ZqGiXXcQFNYr2mE1B+LxtMO&#10;0LUqqrJcFp31jfOW8RCgej808TbjC8FZ/CpE4BEpgoFbzKfP5yGdxXZD66OnrpVspEFfwEJTaeDS&#10;Z6h7Gik6efkflJbM22BFnDCrCyuEZDzvANtMy3+2eWqp43kXECe4Z5nC68GyL+e9R7IhuJqV69Xs&#10;/XqNkaEaPtUjiPfrpzmelEXXJgjWuVDDe09u78csQJi274XX6Ql7oZ7gRVmtFiXIfiF4Nl9WKc6C&#10;8z4iBgPLGZSgz2BgjKFfXIGcD/ETtxqlgGAPlLLM9PwQ4jD6ZyTda+xOKpWvUOavAmCmSpG4D2xT&#10;FPtDn5efJ16pcrDNBQQJju0kXPlAQ9xTD5aYYtSBTQgOP07Uc4zUZwPfYT2dVwvw1W3ib5PDbUIN&#10;ay24j0WP0ZB8jNmNA9kPp2iFzItdyYyswQBZmtGsyWG3eZ66/lLb3wAAAP//AwBQSwMEFAAGAAgA&#10;AAAhACxUJKvYAAAABQEAAA8AAABkcnMvZG93bnJldi54bWxMj8FOwzAQRO9I/IO1SNyo04hWNI1T&#10;UQSHcqJpP2ATb+OIeJ3Gbhv+HhchwWU1q1nNvM1Xo+3EmQbfOlYwnSQgiGunW24U7HdvD08gfEDW&#10;2DkmBV/kYVXc3uSYaXfhLZ3L0IgYwj5DBSaEPpPS14Ys+onriaN3cIPFENehkXrASwy3nUyTZC4t&#10;thwbDPb0Yqj+LE9Wwcejo/Q19euysQszVrv3zRHnSt3fjc9LEIHG8HcMV/yIDkVkqtyJtRedgvhI&#10;+JlXL5nOQFS/Qha5/E9ffAMAAP//AwBQSwECLQAUAAYACAAAACEAtoM4kv4AAADhAQAAEwAAAAAA&#10;AAAAAAAAAAAAAAAAW0NvbnRlbnRfVHlwZXNdLnhtbFBLAQItABQABgAIAAAAIQA4/SH/1gAAAJQB&#10;AAALAAAAAAAAAAAAAAAAAC8BAABfcmVscy8ucmVsc1BLAQItABQABgAIAAAAIQCm1d6L1wEAAJoD&#10;AAAOAAAAAAAAAAAAAAAAAC4CAABkcnMvZTJvRG9jLnhtbFBLAQItABQABgAIAAAAIQAsVCSr2AAA&#10;AAUBAAAPAAAAAAAAAAAAAAAAADEEAABkcnMvZG93bnJldi54bWxQSwUGAAAAAAQABADzAAAANgUA&#10;AAAA&#10;" filled="f" stroked="f">
              <v:textbox inset="2.53958mm,2.53958mm,2.53958mm,2.53958mm">
                <w:txbxContent>
                  <w:p w:rsidR="00517D7A" w:rsidRDefault="00A240C8">
                    <w:pPr>
                      <w:spacing w:after="0" w:line="240" w:lineRule="auto"/>
                      <w:textDirection w:val="btLr"/>
                    </w:pPr>
                  </w:p>
                </w:txbxContent>
              </v:textbox>
            </v:rect>
          </w:pict>
        </mc:Fallback>
      </mc:AlternateContent>
    </w:r>
    <w:r w:rsidR="00A240C8">
      <w:rPr>
        <w:noProof/>
        <w:lang w:val="es-MX"/>
      </w:rPr>
      <mc:AlternateContent>
        <mc:Choice Requires="wps">
          <w:drawing>
            <wp:anchor distT="0" distB="0" distL="114300" distR="114300" simplePos="0" relativeHeight="251661312" behindDoc="0" locked="0" layoutInCell="1" hidden="0" allowOverlap="1" wp14:anchorId="68B8CB18" wp14:editId="14544A49">
              <wp:simplePos x="0" y="0"/>
              <wp:positionH relativeFrom="column">
                <wp:posOffset>1</wp:posOffset>
              </wp:positionH>
              <wp:positionV relativeFrom="paragraph">
                <wp:posOffset>0</wp:posOffset>
              </wp:positionV>
              <wp:extent cx="644525" cy="644525"/>
              <wp:effectExtent l="0" t="0" r="0" b="0"/>
              <wp:wrapNone/>
              <wp:docPr id="230983796" name="Rectángulo 230983796"/>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517D7A" w:rsidRDefault="008D015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8B8CB18" id="Rectángulo 230983796" o:spid="_x0000_s1031" style="position:absolute;margin-left:0;margin-top:0;width:50.75pt;height:5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D/1wEAAJoDAAAOAAAAZHJzL2Uyb0RvYy54bWysU1uO0zAU/UdiD5b/adJ0Wtqo7ggxKkIa&#10;QTUDC3Adu7EUP7h2m3Q5rIWNce2GaYE/xI9zXzk+9+RkfT+YjpwkBO0so9NJSYm0wjXaHhj9+mX7&#10;ZklJiNw2vHNWMnqWgd5vXr9a976WlWtd10ggCGJD3XtG2xh9XRRBtNLwMHFeWmwqB4ZHTOFQNMB7&#10;RDddUZXlougdNB6ckCFg9eHSpJuMr5QU8bNSQUbSMYrcYj4hn/t0Fps1rw/AfavFSIP/AwvDtcVL&#10;X6AeeOTkCPovKKMFuOBUnAhnCqeUFjLvgNtMyz+2eW65l3kXFCf4F5nC/4MVn047ILphtJqVq+Xs&#10;7WpBieUGP9UTivfjuz0cO0euTRSs96HG9579DsYsYJi2HxSY9MS9yMDovKyW8xJlPzM6u1tUKc6C&#10;yyESgQOLGZawL3BgjLFfXIE8hPhBOkNSwCggpSwzPz2GeBn9NZLutW6ruy5f0dnfCoiZKkXifmGb&#10;ojjsh7z8PPFKlb1rzihI8GKr8cpHHuKOA1piSkmPNmE0fDtykJR0Hy1+h9X0rpqjr24TuE32twm3&#10;onXoPhGBkkvyPmY3Xsi+O0andF7sSmZkjQbI0oxmTQ67zfPU9Zfa/AQAAP//AwBQSwMEFAAGAAgA&#10;AAAhACxUJKvYAAAABQEAAA8AAABkcnMvZG93bnJldi54bWxMj8FOwzAQRO9I/IO1SNyo04hWNI1T&#10;UQSHcqJpP2ATb+OIeJ3Gbhv+HhchwWU1q1nNvM1Xo+3EmQbfOlYwnSQgiGunW24U7HdvD08gfEDW&#10;2DkmBV/kYVXc3uSYaXfhLZ3L0IgYwj5DBSaEPpPS14Ys+onriaN3cIPFENehkXrASwy3nUyTZC4t&#10;thwbDPb0Yqj+LE9Wwcejo/Q19euysQszVrv3zRHnSt3fjc9LEIHG8HcMV/yIDkVkqtyJtRedgvhI&#10;+JlXL5nOQFS/Qha5/E9ffAMAAP//AwBQSwECLQAUAAYACAAAACEAtoM4kv4AAADhAQAAEwAAAAAA&#10;AAAAAAAAAAAAAAAAW0NvbnRlbnRfVHlwZXNdLnhtbFBLAQItABQABgAIAAAAIQA4/SH/1gAAAJQB&#10;AAALAAAAAAAAAAAAAAAAAC8BAABfcmVscy8ucmVsc1BLAQItABQABgAIAAAAIQB3oFD/1wEAAJoD&#10;AAAOAAAAAAAAAAAAAAAAAC4CAABkcnMvZTJvRG9jLnhtbFBLAQItABQABgAIAAAAIQAsVCSr2AAA&#10;AAUBAAAPAAAAAAAAAAAAAAAAADEEAABkcnMvZG93bnJldi54bWxQSwUGAAAAAAQABADzAAAANgUA&#10;AAAA&#10;" filled="f" stroked="f">
              <v:textbox inset="2.53958mm,2.53958mm,2.53958mm,2.53958mm">
                <w:txbxContent>
                  <w:p w:rsidR="00517D7A" w:rsidRDefault="00A240C8">
                    <w:pPr>
                      <w:spacing w:after="0" w:line="240" w:lineRule="auto"/>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6A43"/>
    <w:multiLevelType w:val="hybridMultilevel"/>
    <w:tmpl w:val="8E62E912"/>
    <w:lvl w:ilvl="0" w:tplc="D0B2E1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4CEE1409"/>
    <w:multiLevelType w:val="multilevel"/>
    <w:tmpl w:val="7DFEE25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090D59"/>
    <w:multiLevelType w:val="multilevel"/>
    <w:tmpl w:val="8AEA9CD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CC5B22"/>
    <w:multiLevelType w:val="multilevel"/>
    <w:tmpl w:val="F4400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FA"/>
    <w:rsid w:val="00366112"/>
    <w:rsid w:val="008D015F"/>
    <w:rsid w:val="00A240C8"/>
    <w:rsid w:val="00B25FFA"/>
    <w:rsid w:val="00C601E9"/>
    <w:rsid w:val="00E46A46"/>
    <w:rsid w:val="00E77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7AFDDB44-54BD-400C-B114-F37A59C6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FFA"/>
    <w:rPr>
      <w:rFonts w:ascii="Calibri" w:eastAsia="Calibri" w:hAnsi="Calibri" w:cs="Calibri"/>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5FFA"/>
    <w:pPr>
      <w:ind w:left="720"/>
      <w:contextualSpacing/>
    </w:pPr>
  </w:style>
  <w:style w:type="paragraph" w:styleId="Piedepgina">
    <w:name w:val="footer"/>
    <w:basedOn w:val="Normal"/>
    <w:link w:val="PiedepginaCar"/>
    <w:uiPriority w:val="99"/>
    <w:unhideWhenUsed/>
    <w:rsid w:val="00E46A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6A46"/>
    <w:rPr>
      <w:rFonts w:ascii="Calibri" w:eastAsia="Calibri" w:hAnsi="Calibri" w:cs="Calibri"/>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4920</Words>
  <Characters>27062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2023-10-06T17:06:00Z</cp:lastPrinted>
  <dcterms:created xsi:type="dcterms:W3CDTF">2023-10-06T17:06:00Z</dcterms:created>
  <dcterms:modified xsi:type="dcterms:W3CDTF">2023-10-06T17:07:00Z</dcterms:modified>
</cp:coreProperties>
</file>