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0B03" w14:textId="4541DAC1" w:rsidR="00326EEA" w:rsidRDefault="00F47FB5" w:rsidP="00CF3F65">
      <w:pPr>
        <w:spacing w:line="360" w:lineRule="auto"/>
        <w:jc w:val="both"/>
        <w:rPr>
          <w:rFonts w:cs="Tahoma"/>
          <w:b/>
          <w:color w:val="0D0D0D" w:themeColor="text1" w:themeTint="F2"/>
        </w:rPr>
      </w:pPr>
      <w:r>
        <w:rPr>
          <w:rFonts w:ascii="Palatino Linotype" w:hAnsi="Palatino Linotype" w:cs="Tahoma"/>
          <w:b/>
        </w:rPr>
        <w:t xml:space="preserve">VOTO PARTICULAR QUE FORMULA DE LA COMISIONADA MARÍA DEL ROSARIO MEJÍA AYALA, CON RELACIÓN A LA RESOLUCIÓN EMITIDA POR EL PLENO </w:t>
      </w:r>
      <w:r w:rsidR="008D0E7A" w:rsidRPr="008D0E7A">
        <w:rPr>
          <w:rFonts w:ascii="Palatino Linotype" w:hAnsi="Palatino Linotype" w:cs="Tahoma"/>
          <w:b/>
        </w:rPr>
        <w:t xml:space="preserve">DEL INSTITUTO DE TRANSPARENCIA, ACCESO A LA INFORMACIÓN PÚBLICA Y PROTECCIÓN DE DATOS PERSONALES DEL ESTADO DE MÉXICO Y MUNICIPIOS AL RECURSO DE REVISIÓN </w:t>
      </w:r>
      <w:r w:rsidR="008D0E7A" w:rsidRPr="008D0E7A">
        <w:rPr>
          <w:rFonts w:eastAsia="Calibri" w:cs="Tahoma"/>
          <w:b/>
        </w:rPr>
        <w:t>00616/INFOEM/IP/RR/2023</w:t>
      </w:r>
      <w:r w:rsidR="008D0E7A" w:rsidRPr="008D0E7A">
        <w:rPr>
          <w:rFonts w:ascii="Palatino Linotype" w:hAnsi="Palatino Linotype" w:cs="Tahoma"/>
          <w:b/>
        </w:rPr>
        <w:t xml:space="preserve">, PROMOVIDO EN CONTRA DEL </w:t>
      </w:r>
      <w:r w:rsidR="008D0E7A" w:rsidRPr="008D0E7A">
        <w:rPr>
          <w:rFonts w:cs="Tahoma"/>
          <w:b/>
          <w:color w:val="0D0D0D" w:themeColor="text1" w:themeTint="F2"/>
        </w:rPr>
        <w:t>AYUNTAMIENTO DE CHALCO</w:t>
      </w:r>
      <w:r w:rsidR="00C14AAF">
        <w:rPr>
          <w:rFonts w:cs="Tahoma"/>
          <w:b/>
          <w:color w:val="0D0D0D" w:themeColor="text1" w:themeTint="F2"/>
        </w:rPr>
        <w:t>.</w:t>
      </w:r>
    </w:p>
    <w:p w14:paraId="73F9D924" w14:textId="77777777" w:rsidR="008D0E7A" w:rsidRPr="00CF3F65" w:rsidRDefault="008D0E7A" w:rsidP="00CF3F65">
      <w:pPr>
        <w:spacing w:line="360" w:lineRule="auto"/>
        <w:jc w:val="both"/>
        <w:rPr>
          <w:rFonts w:ascii="Palatino Linotype" w:hAnsi="Palatino Linotype" w:cs="Arial"/>
          <w:b/>
        </w:rPr>
      </w:pPr>
    </w:p>
    <w:p w14:paraId="51A10ACA" w14:textId="77777777" w:rsidR="007B1CFA" w:rsidRPr="00CF3F65" w:rsidRDefault="007B1CFA" w:rsidP="009A2D6F">
      <w:pPr>
        <w:pStyle w:val="Ttulo1"/>
        <w:numPr>
          <w:ilvl w:val="0"/>
          <w:numId w:val="1"/>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4CB6738" w:rsidR="00530898" w:rsidRPr="008D0E7A" w:rsidRDefault="00CF3F65" w:rsidP="008F67BC">
      <w:pPr>
        <w:spacing w:line="360" w:lineRule="auto"/>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D0E7A" w:rsidRPr="008D0E7A">
        <w:rPr>
          <w:rFonts w:ascii="Palatino Linotype" w:hAnsi="Palatino Linotype" w:cs="Arial"/>
        </w:rPr>
        <w:t>00616/INFOEM/IP/RR/2023</w:t>
      </w:r>
      <w:r w:rsidR="007B578D" w:rsidRPr="008D0E7A">
        <w:rPr>
          <w:rFonts w:ascii="Palatino Linotype" w:hAnsi="Palatino Linotype" w:cs="Arial"/>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D0E7A" w:rsidRPr="008D0E7A">
        <w:rPr>
          <w:rFonts w:ascii="Palatino Linotype" w:hAnsi="Palatino Linotype" w:cs="Arial"/>
        </w:rPr>
        <w:t>Ayuntamiento de Chalco</w:t>
      </w:r>
      <w:r w:rsidR="006A7AB7" w:rsidRPr="008D0E7A">
        <w:rPr>
          <w:rFonts w:ascii="Palatino Linotype" w:hAnsi="Palatino Linotype" w:cs="Arial"/>
        </w:rPr>
        <w:t>.</w:t>
      </w:r>
    </w:p>
    <w:p w14:paraId="66D32CD4" w14:textId="77777777" w:rsidR="00EF3513" w:rsidRPr="008D0E7A" w:rsidRDefault="00EF3513" w:rsidP="008F67BC">
      <w:pPr>
        <w:spacing w:line="360" w:lineRule="auto"/>
        <w:jc w:val="both"/>
        <w:rPr>
          <w:rFonts w:ascii="Palatino Linotype" w:hAnsi="Palatino Linotype" w:cs="Arial"/>
        </w:rPr>
      </w:pPr>
    </w:p>
    <w:p w14:paraId="58B38723" w14:textId="0972ED16" w:rsidR="004A109F" w:rsidRDefault="00EF3513" w:rsidP="00F10A06">
      <w:pPr>
        <w:spacing w:line="360" w:lineRule="auto"/>
        <w:jc w:val="both"/>
        <w:rPr>
          <w:rFonts w:ascii="Palatino Linotype" w:hAnsi="Palatino Linotype" w:cs="Arial"/>
        </w:rPr>
      </w:pPr>
      <w:r w:rsidRPr="008D0E7A">
        <w:rPr>
          <w:rFonts w:ascii="Palatino Linotype" w:hAnsi="Palatino Linotype" w:cs="Arial"/>
          <w:b/>
        </w:rPr>
        <w:t>El RECURRENTE</w:t>
      </w:r>
      <w:r w:rsidRPr="008D0E7A">
        <w:rPr>
          <w:rFonts w:ascii="Palatino Linotype" w:hAnsi="Palatino Linotype" w:cs="Arial"/>
        </w:rPr>
        <w:t xml:space="preserve"> presentó vía Sistema de Acceso a la Información</w:t>
      </w:r>
      <w:r>
        <w:rPr>
          <w:rFonts w:ascii="Palatino Linotype" w:eastAsia="Calibri" w:hAnsi="Palatino Linotype" w:cs="Arial"/>
        </w:rPr>
        <w:t xml:space="preserve">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E00BE5">
        <w:rPr>
          <w:rFonts w:ascii="Palatino Linotype" w:eastAsia="Calibri" w:hAnsi="Palatino Linotype" w:cs="Arial"/>
        </w:rPr>
        <w:t>s</w:t>
      </w:r>
      <w:r w:rsidR="008C19BE">
        <w:rPr>
          <w:rFonts w:ascii="Palatino Linotype" w:eastAsia="Calibri" w:hAnsi="Palatino Linotype" w:cs="Arial"/>
        </w:rPr>
        <w:t xml:space="preserve"> solicitud</w:t>
      </w:r>
      <w:r w:rsidR="00E00BE5">
        <w:rPr>
          <w:rFonts w:ascii="Palatino Linotype" w:eastAsia="Calibri" w:hAnsi="Palatino Linotype" w:cs="Arial"/>
        </w:rPr>
        <w:t>es</w:t>
      </w:r>
      <w:r w:rsidR="00BF358F">
        <w:rPr>
          <w:rFonts w:ascii="Palatino Linotype" w:eastAsia="Calibri" w:hAnsi="Palatino Linotype" w:cs="Arial"/>
        </w:rPr>
        <w:t xml:space="preserve"> de información pública</w:t>
      </w:r>
      <w:r w:rsidR="004A109F">
        <w:rPr>
          <w:rFonts w:ascii="Palatino Linotype" w:eastAsia="Calibri" w:hAnsi="Palatino Linotype" w:cs="Arial"/>
        </w:rPr>
        <w:t xml:space="preserve"> </w:t>
      </w:r>
      <w:r w:rsidR="00E00BE5">
        <w:rPr>
          <w:rFonts w:ascii="Palatino Linotype" w:hAnsi="Palatino Linotype" w:cs="Arial"/>
        </w:rPr>
        <w:t>mediante la</w:t>
      </w:r>
      <w:r w:rsidR="00B64C7A">
        <w:rPr>
          <w:rFonts w:ascii="Palatino Linotype" w:hAnsi="Palatino Linotype" w:cs="Arial"/>
        </w:rPr>
        <w:t>s</w:t>
      </w:r>
      <w:r w:rsidR="00BF358F">
        <w:rPr>
          <w:rFonts w:ascii="Palatino Linotype" w:hAnsi="Palatino Linotype" w:cs="Arial"/>
        </w:rPr>
        <w:t xml:space="preserve"> cual</w:t>
      </w:r>
      <w:r w:rsidR="00B64C7A">
        <w:rPr>
          <w:rFonts w:ascii="Palatino Linotype" w:hAnsi="Palatino Linotype" w:cs="Arial"/>
        </w:rPr>
        <w:t>es</w:t>
      </w:r>
      <w:r w:rsidR="00BF358F">
        <w:rPr>
          <w:rFonts w:ascii="Palatino Linotype" w:hAnsi="Palatino Linotype" w:cs="Arial"/>
        </w:rPr>
        <w:t xml:space="preserve"> </w:t>
      </w:r>
      <w:r w:rsidR="00F10A06">
        <w:rPr>
          <w:rFonts w:ascii="Palatino Linotype" w:hAnsi="Palatino Linotype" w:cs="Arial"/>
        </w:rPr>
        <w:t xml:space="preserve">se </w:t>
      </w:r>
      <w:r w:rsidR="004A109F">
        <w:rPr>
          <w:rFonts w:ascii="Palatino Linotype" w:hAnsi="Palatino Linotype" w:cs="Arial"/>
        </w:rPr>
        <w:t>solicita:</w:t>
      </w:r>
    </w:p>
    <w:p w14:paraId="18FE2BF4" w14:textId="77777777" w:rsidR="00D352E9" w:rsidRDefault="00D352E9" w:rsidP="00F10A06">
      <w:pPr>
        <w:spacing w:line="360" w:lineRule="auto"/>
        <w:jc w:val="both"/>
        <w:rPr>
          <w:rFonts w:ascii="Palatino Linotype" w:hAnsi="Palatino Linotype" w:cs="Arial"/>
        </w:rPr>
      </w:pPr>
    </w:p>
    <w:p w14:paraId="0CD8A2BD" w14:textId="77777777" w:rsidR="004A109F" w:rsidRDefault="004A109F" w:rsidP="00F10A06">
      <w:pPr>
        <w:spacing w:line="360" w:lineRule="auto"/>
        <w:jc w:val="both"/>
        <w:rPr>
          <w:rFonts w:ascii="Palatino Linotype" w:hAnsi="Palatino Linotype" w:cs="Arial"/>
        </w:rPr>
      </w:pPr>
    </w:p>
    <w:p w14:paraId="5C98775E" w14:textId="77777777" w:rsidR="008D0E7A" w:rsidRDefault="008D0E7A" w:rsidP="008D0E7A">
      <w:pPr>
        <w:tabs>
          <w:tab w:val="left" w:pos="4667"/>
        </w:tabs>
        <w:spacing w:line="360" w:lineRule="auto"/>
        <w:ind w:left="567" w:right="567"/>
        <w:contextualSpacing/>
        <w:rPr>
          <w:rFonts w:cs="Tahoma"/>
          <w:b/>
          <w:bCs/>
          <w:i/>
          <w:sz w:val="20"/>
          <w:szCs w:val="20"/>
          <w:lang w:val="es-MX"/>
        </w:rPr>
      </w:pPr>
      <w:r>
        <w:rPr>
          <w:rFonts w:cs="Tahoma"/>
          <w:b/>
          <w:bCs/>
          <w:i/>
          <w:sz w:val="20"/>
          <w:szCs w:val="20"/>
        </w:rPr>
        <w:lastRenderedPageBreak/>
        <w:t>“DESCRIPCIÓN CLARA Y PRECISA DE LA INFORMACIÓN SOLICITADA</w:t>
      </w:r>
    </w:p>
    <w:p w14:paraId="60282CEF" w14:textId="77777777" w:rsidR="008D0E7A" w:rsidRDefault="008D0E7A" w:rsidP="008D0E7A">
      <w:pPr>
        <w:spacing w:line="360" w:lineRule="auto"/>
        <w:ind w:left="567"/>
        <w:contextualSpacing/>
        <w:rPr>
          <w:i/>
          <w:iCs/>
          <w:sz w:val="20"/>
          <w:szCs w:val="20"/>
          <w:lang w:eastAsia="es-MX"/>
        </w:rPr>
      </w:pPr>
      <w:r>
        <w:rPr>
          <w:i/>
          <w:iCs/>
          <w:sz w:val="20"/>
          <w:szCs w:val="20"/>
          <w:lang w:eastAsia="es-MX"/>
        </w:rPr>
        <w:t>Solicito amablemente la Nómina general y conciliación de nómina correspondiente a cada mes del año 2022, del 01 de enero al 31 de diciembre de 2022 y la del 01 al 15 de enero de 2023”</w:t>
      </w:r>
      <w:r>
        <w:rPr>
          <w:i/>
          <w:iCs/>
          <w:color w:val="000000"/>
          <w:sz w:val="20"/>
          <w:szCs w:val="20"/>
        </w:rPr>
        <w:t>. (Sic)</w:t>
      </w:r>
    </w:p>
    <w:p w14:paraId="59190C24" w14:textId="77777777" w:rsidR="004A109F" w:rsidRDefault="004A109F" w:rsidP="004A109F">
      <w:pPr>
        <w:spacing w:line="360" w:lineRule="auto"/>
        <w:ind w:right="49"/>
        <w:jc w:val="both"/>
        <w:rPr>
          <w:rFonts w:ascii="Palatino Linotype" w:hAnsi="Palatino Linotype"/>
          <w:b/>
          <w:lang w:eastAsia="es-MX"/>
        </w:rPr>
      </w:pPr>
    </w:p>
    <w:p w14:paraId="0B35E747" w14:textId="49465D76" w:rsidR="00D352E9" w:rsidRDefault="00D352E9" w:rsidP="00D352E9">
      <w:pPr>
        <w:spacing w:line="360" w:lineRule="auto"/>
        <w:jc w:val="both"/>
        <w:rPr>
          <w:rFonts w:ascii="Palatino Linotype" w:hAnsi="Palatino Linotype" w:cs="Arial"/>
        </w:rPr>
      </w:pPr>
      <w:r>
        <w:rPr>
          <w:rFonts w:ascii="Palatino Linotype" w:hAnsi="Palatino Linotype" w:cs="Arial"/>
          <w:b/>
        </w:rPr>
        <w:t xml:space="preserve">El Sujeto Obligado </w:t>
      </w:r>
      <w:r w:rsidR="008D0E7A" w:rsidRPr="008D0E7A">
        <w:rPr>
          <w:rFonts w:ascii="Palatino Linotype" w:hAnsi="Palatino Linotype" w:cs="Arial"/>
        </w:rPr>
        <w:t xml:space="preserve">refirió que la información solicitada se encuentra en la página oficial del Gobierno de Chalco en el apartado de IPOMEX en el artículo 92, fracción XIII A de las Obligaciones de Transparencia comunes que establece la Ley de Transparencia y Acceso a la Información Pública del Estado de México y Municipios, </w:t>
      </w:r>
      <w:r w:rsidR="008D0E7A">
        <w:rPr>
          <w:rFonts w:ascii="Palatino Linotype" w:hAnsi="Palatino Linotype" w:cs="Arial"/>
        </w:rPr>
        <w:t>y</w:t>
      </w:r>
      <w:r w:rsidR="008D0E7A" w:rsidRPr="008D0E7A">
        <w:rPr>
          <w:rFonts w:ascii="Palatino Linotype" w:hAnsi="Palatino Linotype" w:cs="Arial"/>
        </w:rPr>
        <w:t xml:space="preserve"> pone a disposición para su consulta en </w:t>
      </w:r>
      <w:r w:rsidR="008D0E7A">
        <w:rPr>
          <w:rFonts w:ascii="Palatino Linotype" w:hAnsi="Palatino Linotype" w:cs="Arial"/>
        </w:rPr>
        <w:t>un</w:t>
      </w:r>
      <w:r w:rsidR="008D0E7A" w:rsidRPr="008D0E7A">
        <w:rPr>
          <w:rFonts w:ascii="Palatino Linotype" w:hAnsi="Palatino Linotype" w:cs="Arial"/>
        </w:rPr>
        <w:t xml:space="preserve"> link.</w:t>
      </w:r>
    </w:p>
    <w:p w14:paraId="6BC4BACE" w14:textId="77777777" w:rsidR="008D0E7A" w:rsidRDefault="008D0E7A" w:rsidP="00D352E9">
      <w:pPr>
        <w:spacing w:line="360" w:lineRule="auto"/>
        <w:jc w:val="both"/>
        <w:rPr>
          <w:rFonts w:ascii="Palatino Linotype" w:hAnsi="Palatino Linotype" w:cs="Arial"/>
          <w:b/>
          <w:sz w:val="28"/>
        </w:rPr>
      </w:pPr>
    </w:p>
    <w:p w14:paraId="0490F6BB" w14:textId="123A0730" w:rsidR="00D352E9" w:rsidRDefault="00D352E9" w:rsidP="00D352E9">
      <w:pPr>
        <w:spacing w:line="360" w:lineRule="auto"/>
        <w:jc w:val="both"/>
        <w:rPr>
          <w:rFonts w:ascii="Palatino Linotype" w:hAnsi="Palatino Linotype" w:cs="Arial"/>
        </w:rPr>
      </w:pPr>
      <w:r>
        <w:rPr>
          <w:rFonts w:ascii="Palatino Linotype" w:hAnsi="Palatino Linotype" w:cs="Arial"/>
        </w:rPr>
        <w:t xml:space="preserve">Inconforme </w:t>
      </w:r>
      <w:r>
        <w:rPr>
          <w:rFonts w:ascii="Palatino Linotype" w:hAnsi="Palatino Linotype" w:cs="Arial"/>
          <w:b/>
        </w:rPr>
        <w:t xml:space="preserve">El Recurrente </w:t>
      </w:r>
      <w:r>
        <w:rPr>
          <w:rFonts w:ascii="Palatino Linotype" w:hAnsi="Palatino Linotype" w:cs="Arial"/>
        </w:rPr>
        <w:t xml:space="preserve">interpuso </w:t>
      </w:r>
      <w:r w:rsidR="008D0E7A">
        <w:rPr>
          <w:rFonts w:ascii="Palatino Linotype" w:hAnsi="Palatino Linotype" w:cs="Arial"/>
        </w:rPr>
        <w:t>el recurso</w:t>
      </w:r>
      <w:r>
        <w:rPr>
          <w:rFonts w:ascii="Palatino Linotype" w:hAnsi="Palatino Linotype" w:cs="Arial"/>
        </w:rPr>
        <w:t xml:space="preserve"> de revisión, en </w:t>
      </w:r>
      <w:r w:rsidR="008D0E7A">
        <w:rPr>
          <w:rFonts w:ascii="Palatino Linotype" w:hAnsi="Palatino Linotype" w:cs="Arial"/>
        </w:rPr>
        <w:t>el cual</w:t>
      </w:r>
      <w:r w:rsidR="006401FC">
        <w:rPr>
          <w:rFonts w:ascii="Palatino Linotype" w:hAnsi="Palatino Linotype" w:cs="Arial"/>
        </w:rPr>
        <w:t xml:space="preserve"> indica</w:t>
      </w:r>
      <w:r>
        <w:rPr>
          <w:rFonts w:ascii="Palatino Linotype" w:hAnsi="Palatino Linotype" w:cs="Arial"/>
        </w:rPr>
        <w:t xml:space="preserve">: </w:t>
      </w:r>
    </w:p>
    <w:p w14:paraId="485623FF" w14:textId="77777777" w:rsidR="00D352E9" w:rsidRDefault="00D352E9" w:rsidP="00D352E9">
      <w:pPr>
        <w:pStyle w:val="Sinespaciado"/>
      </w:pPr>
    </w:p>
    <w:p w14:paraId="5CD1C029" w14:textId="77777777" w:rsidR="008D0E7A" w:rsidRDefault="008D0E7A" w:rsidP="008D0E7A">
      <w:pPr>
        <w:spacing w:line="360" w:lineRule="auto"/>
        <w:ind w:left="567" w:right="567"/>
        <w:contextualSpacing/>
        <w:rPr>
          <w:rFonts w:cs="Tahoma"/>
          <w:b/>
          <w:bCs/>
          <w:i/>
          <w:sz w:val="20"/>
          <w:szCs w:val="20"/>
          <w:lang w:val="es-MX"/>
        </w:rPr>
      </w:pPr>
      <w:r>
        <w:rPr>
          <w:rFonts w:cs="Tahoma"/>
          <w:b/>
          <w:bCs/>
          <w:i/>
          <w:sz w:val="20"/>
          <w:szCs w:val="20"/>
        </w:rPr>
        <w:t>“ACTO IMPUGNADO</w:t>
      </w:r>
    </w:p>
    <w:p w14:paraId="75C5DB94" w14:textId="77777777" w:rsidR="008D0E7A" w:rsidRDefault="008D0E7A" w:rsidP="008D0E7A">
      <w:pPr>
        <w:spacing w:line="360" w:lineRule="auto"/>
        <w:ind w:left="567" w:right="567"/>
        <w:contextualSpacing/>
        <w:jc w:val="both"/>
        <w:rPr>
          <w:i/>
          <w:sz w:val="20"/>
          <w:szCs w:val="20"/>
          <w:lang w:eastAsia="es-MX"/>
        </w:rPr>
      </w:pPr>
      <w:r>
        <w:rPr>
          <w:i/>
          <w:sz w:val="20"/>
          <w:szCs w:val="20"/>
          <w:lang w:eastAsia="es-MX"/>
        </w:rPr>
        <w:t>Solicite amablemente la Nómina general y conciliación de nómina correspondiente a cada mes del año 2022, del 01 de enero al 31 de diciembre de 2022 y la del 01 al 15 de enero de 2023. (Sic)</w:t>
      </w:r>
    </w:p>
    <w:p w14:paraId="4285B22E" w14:textId="77777777" w:rsidR="008D0E7A" w:rsidRDefault="008D0E7A" w:rsidP="008D0E7A">
      <w:pPr>
        <w:spacing w:line="360" w:lineRule="auto"/>
        <w:ind w:left="567" w:right="567"/>
        <w:contextualSpacing/>
        <w:jc w:val="both"/>
        <w:rPr>
          <w:rFonts w:cs="Tahoma"/>
          <w:bCs/>
          <w:i/>
          <w:sz w:val="20"/>
          <w:szCs w:val="20"/>
        </w:rPr>
      </w:pPr>
    </w:p>
    <w:p w14:paraId="1E115A77" w14:textId="77777777" w:rsidR="008D0E7A" w:rsidRDefault="008D0E7A" w:rsidP="008D0E7A">
      <w:pPr>
        <w:spacing w:line="360" w:lineRule="auto"/>
        <w:ind w:left="567" w:right="567"/>
        <w:contextualSpacing/>
        <w:jc w:val="both"/>
        <w:rPr>
          <w:rFonts w:cs="Tahoma"/>
          <w:b/>
          <w:bCs/>
          <w:i/>
          <w:sz w:val="20"/>
          <w:szCs w:val="20"/>
        </w:rPr>
      </w:pPr>
      <w:r>
        <w:rPr>
          <w:rFonts w:cs="Tahoma"/>
          <w:b/>
          <w:bCs/>
          <w:i/>
          <w:sz w:val="20"/>
          <w:szCs w:val="20"/>
        </w:rPr>
        <w:t>“RAZONES O MOTIVOS DE LA INCONFORMIDAD</w:t>
      </w:r>
    </w:p>
    <w:p w14:paraId="1AC85336" w14:textId="77777777" w:rsidR="008D0E7A" w:rsidRDefault="008D0E7A" w:rsidP="008D0E7A">
      <w:pPr>
        <w:spacing w:line="360" w:lineRule="auto"/>
        <w:ind w:left="567" w:right="567"/>
        <w:contextualSpacing/>
        <w:jc w:val="both"/>
        <w:rPr>
          <w:i/>
          <w:sz w:val="20"/>
          <w:szCs w:val="20"/>
          <w:lang w:eastAsia="es-MX"/>
        </w:rPr>
      </w:pPr>
      <w:r>
        <w:rPr>
          <w:i/>
          <w:sz w:val="20"/>
          <w:szCs w:val="20"/>
          <w:lang w:eastAsia="es-MX"/>
        </w:rPr>
        <w:t xml:space="preserve">El link que me proporcionan para ver la información, no se encuentra la información solicitada, ya que se </w:t>
      </w:r>
      <w:proofErr w:type="spellStart"/>
      <w:r>
        <w:rPr>
          <w:i/>
          <w:sz w:val="20"/>
          <w:szCs w:val="20"/>
          <w:lang w:eastAsia="es-MX"/>
        </w:rPr>
        <w:t>solicito</w:t>
      </w:r>
      <w:proofErr w:type="spellEnd"/>
      <w:r>
        <w:rPr>
          <w:i/>
          <w:sz w:val="20"/>
          <w:szCs w:val="20"/>
          <w:lang w:eastAsia="es-MX"/>
        </w:rPr>
        <w:t xml:space="preserve"> la Nómina general y conciliación de nómina correspondiente a cada mes del año 2022, del 01 de enero al 31 de diciembre de 2022 y la del 01 al 15 de enero de 2023.</w:t>
      </w:r>
      <w:r>
        <w:rPr>
          <w:i/>
          <w:color w:val="000000"/>
          <w:sz w:val="20"/>
          <w:szCs w:val="20"/>
        </w:rPr>
        <w:t>”</w:t>
      </w:r>
      <w:r>
        <w:rPr>
          <w:bCs/>
          <w:i/>
          <w:color w:val="000000"/>
          <w:sz w:val="20"/>
          <w:szCs w:val="20"/>
        </w:rPr>
        <w:t xml:space="preserve"> </w:t>
      </w:r>
      <w:r>
        <w:rPr>
          <w:rFonts w:cs="Tahoma"/>
          <w:bCs/>
          <w:i/>
          <w:sz w:val="20"/>
          <w:szCs w:val="20"/>
        </w:rPr>
        <w:t>(Sic)</w:t>
      </w:r>
    </w:p>
    <w:p w14:paraId="122CF924" w14:textId="77777777" w:rsidR="008D0E7A" w:rsidRDefault="008D0E7A" w:rsidP="00D352E9">
      <w:pPr>
        <w:spacing w:line="360" w:lineRule="auto"/>
        <w:jc w:val="both"/>
        <w:rPr>
          <w:rFonts w:ascii="Palatino Linotype" w:eastAsia="Palatino Linotype" w:hAnsi="Palatino Linotype" w:cs="Palatino Linotype"/>
          <w:lang w:val="es-ES_tradnl"/>
        </w:rPr>
      </w:pPr>
    </w:p>
    <w:p w14:paraId="0FE57558" w14:textId="32C0C125" w:rsidR="008D0E7A" w:rsidRPr="008D0E7A" w:rsidRDefault="00BB071F" w:rsidP="008D0E7A">
      <w:pPr>
        <w:spacing w:line="360" w:lineRule="auto"/>
        <w:contextualSpacing/>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D352E9">
        <w:rPr>
          <w:rFonts w:ascii="Palatino Linotype" w:hAnsi="Palatino Linotype"/>
          <w:b/>
          <w:bCs/>
          <w:color w:val="222222"/>
          <w:shd w:val="clear" w:color="auto" w:fill="FFFFFF"/>
        </w:rPr>
        <w:t> </w:t>
      </w:r>
      <w:r w:rsidR="008D0E7A">
        <w:rPr>
          <w:rFonts w:cs="Tahoma"/>
          <w:bCs/>
        </w:rPr>
        <w:t xml:space="preserve"> </w:t>
      </w:r>
      <w:r w:rsidR="008D0E7A">
        <w:rPr>
          <w:rFonts w:cs="Tahoma"/>
          <w:b/>
          <w:bCs/>
        </w:rPr>
        <w:t>REVOCAR</w:t>
      </w:r>
      <w:r w:rsidR="008D0E7A">
        <w:rPr>
          <w:rFonts w:cs="Tahoma"/>
          <w:bCs/>
        </w:rPr>
        <w:t xml:space="preserve"> </w:t>
      </w:r>
      <w:r w:rsidR="008D0E7A" w:rsidRPr="008D0E7A">
        <w:rPr>
          <w:rFonts w:ascii="Palatino Linotype" w:hAnsi="Palatino Linotype"/>
        </w:rPr>
        <w:t>la respuesta entregada por el Ayuntamiento de Chalco, a la solicitud de información 00014/CHALCO/IP/2023, por resultar FUNDADAS las razones o motivos de inconformidad hechos valer por el Particular</w:t>
      </w:r>
      <w:r w:rsidR="008D0E7A">
        <w:rPr>
          <w:rFonts w:ascii="Palatino Linotype" w:hAnsi="Palatino Linotype"/>
        </w:rPr>
        <w:t xml:space="preserve"> y</w:t>
      </w:r>
      <w:r w:rsidR="008D0E7A" w:rsidRPr="008D0E7A">
        <w:rPr>
          <w:rFonts w:ascii="Palatino Linotype" w:hAnsi="Palatino Linotype"/>
        </w:rPr>
        <w:t xml:space="preserve"> ORDENA al </w:t>
      </w:r>
      <w:r w:rsidR="008D0E7A">
        <w:rPr>
          <w:rFonts w:ascii="Palatino Linotype" w:hAnsi="Palatino Linotype"/>
        </w:rPr>
        <w:t>Sujeto Obligado</w:t>
      </w:r>
      <w:r w:rsidR="008D0E7A" w:rsidRPr="008D0E7A">
        <w:rPr>
          <w:rFonts w:ascii="Palatino Linotype" w:hAnsi="Palatino Linotype"/>
        </w:rPr>
        <w:t xml:space="preserve">, a efecto de que previa búsqueda </w:t>
      </w:r>
      <w:r w:rsidR="008D0E7A" w:rsidRPr="008D0E7A">
        <w:rPr>
          <w:rFonts w:ascii="Palatino Linotype" w:hAnsi="Palatino Linotype"/>
        </w:rPr>
        <w:lastRenderedPageBreak/>
        <w:t>exhaustiva y razonable en las unidades administrativas competentes, entregue, a través del Sistema de Acceso a la Información Mexiquense (SAIMEX), en versión pública, lo siguiente:</w:t>
      </w:r>
    </w:p>
    <w:p w14:paraId="70D37321" w14:textId="77777777" w:rsidR="008D0E7A" w:rsidRPr="008D0E7A" w:rsidRDefault="008D0E7A" w:rsidP="008D0E7A">
      <w:pPr>
        <w:spacing w:line="360" w:lineRule="auto"/>
        <w:contextualSpacing/>
        <w:rPr>
          <w:rFonts w:ascii="Palatino Linotype" w:hAnsi="Palatino Linotype"/>
        </w:rPr>
      </w:pPr>
    </w:p>
    <w:p w14:paraId="7AF4A1BC" w14:textId="77777777" w:rsidR="008D0E7A" w:rsidRPr="008D0E7A" w:rsidRDefault="008D0E7A" w:rsidP="008D0E7A">
      <w:pPr>
        <w:pStyle w:val="Prrafodelista"/>
        <w:numPr>
          <w:ilvl w:val="0"/>
          <w:numId w:val="5"/>
        </w:numPr>
        <w:spacing w:line="360" w:lineRule="auto"/>
        <w:jc w:val="both"/>
        <w:rPr>
          <w:rFonts w:ascii="Palatino Linotype" w:hAnsi="Palatino Linotype"/>
        </w:rPr>
      </w:pPr>
      <w:r w:rsidRPr="008D0E7A">
        <w:rPr>
          <w:rFonts w:ascii="Palatino Linotype" w:hAnsi="Palatino Linotype"/>
        </w:rPr>
        <w:t>La Conciliación de Nómina de la primera quincena de enero de dos mil veintidós a la primera de enero de dos mil veintitrés.</w:t>
      </w:r>
    </w:p>
    <w:p w14:paraId="15EDA71B" w14:textId="77777777" w:rsidR="008D0E7A" w:rsidRPr="008D0E7A" w:rsidRDefault="008D0E7A" w:rsidP="008D0E7A">
      <w:pPr>
        <w:spacing w:line="360" w:lineRule="auto"/>
        <w:rPr>
          <w:rFonts w:ascii="Palatino Linotype" w:hAnsi="Palatino Linotype"/>
        </w:rPr>
      </w:pPr>
    </w:p>
    <w:p w14:paraId="3850D54F" w14:textId="080B159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 xml:space="preserve">En este sentido se determinó que los documentos que colman la solicitud, </w:t>
      </w:r>
      <w:r w:rsidR="004A109F">
        <w:rPr>
          <w:rFonts w:ascii="Palatino Linotype" w:eastAsia="Calibri" w:hAnsi="Palatino Linotype" w:cs="Tahoma"/>
          <w:bCs/>
          <w:lang w:eastAsia="en-US"/>
        </w:rPr>
        <w:t>contienen</w:t>
      </w:r>
      <w:r w:rsidRPr="00C242A7">
        <w:rPr>
          <w:rFonts w:ascii="Palatino Linotype" w:eastAsia="Calibri" w:hAnsi="Palatino Linotype" w:cs="Tahoma"/>
          <w:bCs/>
          <w:lang w:eastAsia="en-US"/>
        </w:rPr>
        <w:t xml:space="preserve">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Default="00C242A7"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Se indica que </w:t>
      </w:r>
      <w:r w:rsidR="006F62BA">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w:t>
      </w:r>
      <w:r w:rsidR="006F62BA">
        <w:rPr>
          <w:rFonts w:ascii="Palatino Linotype" w:eastAsia="Calibri" w:hAnsi="Palatino Linotype" w:cs="Tahoma"/>
          <w:bCs/>
          <w:lang w:eastAsia="en-US"/>
        </w:rPr>
        <w:lastRenderedPageBreak/>
        <w:t>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27697657" w14:textId="77777777" w:rsidR="006F62BA" w:rsidRDefault="006F62BA" w:rsidP="006F62BA">
      <w:pPr>
        <w:pStyle w:val="Prrafodelista"/>
        <w:tabs>
          <w:tab w:val="left" w:pos="851"/>
        </w:tabs>
        <w:spacing w:line="360" w:lineRule="auto"/>
        <w:ind w:left="0" w:right="49"/>
        <w:jc w:val="both"/>
      </w:pPr>
    </w:p>
    <w:p w14:paraId="5672C774" w14:textId="0FFAE0FA"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lastRenderedPageBreak/>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A7702A" w:rsidRDefault="000625B1" w:rsidP="00A7702A">
      <w:pPr>
        <w:pStyle w:val="Prrafodelista"/>
        <w:tabs>
          <w:tab w:val="left" w:pos="851"/>
        </w:tabs>
        <w:spacing w:line="276" w:lineRule="auto"/>
        <w:ind w:left="567" w:right="567"/>
        <w:jc w:val="both"/>
        <w:rPr>
          <w:rFonts w:ascii="Palatino Linotype" w:hAnsi="Palatino Linotype"/>
          <w:i/>
        </w:rPr>
      </w:pPr>
      <w:r w:rsidRPr="00A7702A">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w:t>
      </w:r>
      <w:r w:rsidRPr="00A7702A">
        <w:rPr>
          <w:rFonts w:ascii="Palatino Linotype" w:hAnsi="Palatino Linotype"/>
          <w:i/>
        </w:rPr>
        <w:lastRenderedPageBreak/>
        <w:t>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1"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1"/>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w:t>
      </w:r>
      <w:r w:rsidR="00A66A81" w:rsidRPr="00A66A81">
        <w:rPr>
          <w:rFonts w:ascii="Palatino Linotype" w:hAnsi="Palatino Linotype" w:cs="Tahoma"/>
        </w:rPr>
        <w:lastRenderedPageBreak/>
        <w:t xml:space="preserve">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t xml:space="preserve">Artículo </w:t>
      </w:r>
      <w:r w:rsidRPr="00A66A81">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 Nombre del integrante de la Institución de Seguridad Pública; </w:t>
      </w:r>
    </w:p>
    <w:p w14:paraId="3E3C6183"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 </w:t>
      </w:r>
      <w:r w:rsidRPr="00A66A81">
        <w:rPr>
          <w:rFonts w:ascii="Palatino Linotype" w:hAnsi="Palatino Linotype" w:cs="Tahoma"/>
          <w:b/>
          <w:i/>
        </w:rPr>
        <w:t>Cargo y nivel jerárquico</w:t>
      </w:r>
      <w:r w:rsidRPr="00A66A81">
        <w:rPr>
          <w:rFonts w:ascii="Palatino Linotype" w:hAnsi="Palatino Linotype" w:cs="Tahoma"/>
          <w:i/>
        </w:rPr>
        <w:t xml:space="preserve">; </w:t>
      </w:r>
    </w:p>
    <w:p w14:paraId="159C036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IV. Huella digital del integrante de la Institución de Seguridad Pública; </w:t>
      </w:r>
    </w:p>
    <w:p w14:paraId="23AC5E5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 Clave de inscripción en el Registro Nacional de Personal de Seguridad Pública; </w:t>
      </w:r>
    </w:p>
    <w:p w14:paraId="4D6CE41D"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 Firma del integrante; </w:t>
      </w:r>
    </w:p>
    <w:p w14:paraId="4BDAFD0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7702A" w:rsidRDefault="00A66A81" w:rsidP="00A7702A">
      <w:pPr>
        <w:autoSpaceDE w:val="0"/>
        <w:autoSpaceDN w:val="0"/>
        <w:adjustRightInd w:val="0"/>
        <w:spacing w:line="276" w:lineRule="auto"/>
        <w:ind w:left="567" w:right="567"/>
        <w:jc w:val="center"/>
        <w:rPr>
          <w:rFonts w:ascii="Times" w:hAnsi="Times" w:cs="Times"/>
          <w:b/>
          <w:i/>
          <w:u w:val="single"/>
        </w:rPr>
      </w:pPr>
      <w:r w:rsidRPr="00A7702A">
        <w:rPr>
          <w:rFonts w:ascii="Times" w:hAnsi="Times" w:cs="Times"/>
          <w:b/>
          <w:i/>
          <w:u w:val="single"/>
        </w:rPr>
        <w:lastRenderedPageBreak/>
        <w:t>Ley de Seguridad del Estado de México:</w:t>
      </w:r>
    </w:p>
    <w:p w14:paraId="3ABB834D" w14:textId="77777777" w:rsidR="00A66A81" w:rsidRPr="00DE61A8" w:rsidRDefault="00A66A81" w:rsidP="00A7702A">
      <w:pPr>
        <w:spacing w:line="276" w:lineRule="auto"/>
        <w:ind w:left="567" w:right="567"/>
        <w:jc w:val="both"/>
        <w:rPr>
          <w:rFonts w:ascii="Palatino Linotype" w:hAnsi="Palatino Linotype" w:cs="Tahoma"/>
        </w:rPr>
      </w:pPr>
    </w:p>
    <w:p w14:paraId="59326BAF"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Default="00A66A81" w:rsidP="00A7702A">
      <w:pPr>
        <w:spacing w:line="276" w:lineRule="auto"/>
        <w:ind w:left="567" w:right="567"/>
        <w:jc w:val="both"/>
        <w:rPr>
          <w:rFonts w:ascii="Palatino Linotype" w:hAnsi="Palatino Linotype" w:cs="Tahoma"/>
          <w:i/>
        </w:rPr>
      </w:pPr>
    </w:p>
    <w:p w14:paraId="5F47B50D"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5CF9AD54" w14:textId="77777777" w:rsidR="00A66A81" w:rsidRPr="00F368CD" w:rsidRDefault="00A66A81" w:rsidP="00A7702A">
      <w:pPr>
        <w:spacing w:line="276" w:lineRule="auto"/>
        <w:ind w:left="567" w:right="567"/>
        <w:jc w:val="both"/>
        <w:rPr>
          <w:rFonts w:ascii="Palatino Linotype" w:hAnsi="Palatino Linotype" w:cs="Tahoma"/>
          <w:i/>
        </w:rPr>
      </w:pPr>
    </w:p>
    <w:p w14:paraId="717B6826"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 xml:space="preserve"> B. Obligaciones: </w:t>
      </w:r>
    </w:p>
    <w:p w14:paraId="26576494" w14:textId="77777777" w:rsidR="00A66A81" w:rsidRPr="00F368CD" w:rsidRDefault="00A66A81" w:rsidP="00A7702A">
      <w:pPr>
        <w:spacing w:line="276" w:lineRule="auto"/>
        <w:ind w:left="567" w:right="567"/>
        <w:jc w:val="both"/>
        <w:rPr>
          <w:rFonts w:ascii="Palatino Linotype" w:hAnsi="Palatino Linotype" w:cs="Tahoma"/>
          <w:i/>
        </w:rPr>
      </w:pPr>
    </w:p>
    <w:p w14:paraId="01BA5577"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 Generales:</w:t>
      </w:r>
    </w:p>
    <w:p w14:paraId="646D6595" w14:textId="77777777" w:rsidR="00A66A81" w:rsidRPr="00F368CD" w:rsidRDefault="00A66A81" w:rsidP="00A7702A">
      <w:pPr>
        <w:spacing w:line="276" w:lineRule="auto"/>
        <w:ind w:left="567" w:right="567"/>
        <w:jc w:val="both"/>
        <w:rPr>
          <w:rFonts w:ascii="Palatino Linotype" w:hAnsi="Palatino Linotype" w:cs="Tahoma"/>
          <w:i/>
        </w:rPr>
      </w:pPr>
    </w:p>
    <w:p w14:paraId="53DEFD8A" w14:textId="77777777" w:rsid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112CDDB3" w14:textId="77777777" w:rsidR="00CB2F05" w:rsidRPr="00A66A81" w:rsidRDefault="00CB2F05" w:rsidP="00A7702A">
      <w:pPr>
        <w:spacing w:line="276" w:lineRule="auto"/>
        <w:ind w:left="567" w:right="567"/>
        <w:jc w:val="both"/>
        <w:rPr>
          <w:rFonts w:ascii="Palatino Linotype" w:hAnsi="Palatino Linotype" w:cs="Tahoma"/>
          <w:b/>
          <w:i/>
        </w:rPr>
      </w:pPr>
    </w:p>
    <w:p w14:paraId="4F695CCA" w14:textId="77777777" w:rsidR="00A66A81" w:rsidRPr="00F368CD"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t</w:t>
      </w:r>
      <w:r w:rsidRPr="00A66A81">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F368CD">
        <w:rPr>
          <w:rFonts w:ascii="Palatino Linotype" w:hAnsi="Palatino Linotype" w:cs="Tahoma"/>
          <w:i/>
        </w:rPr>
        <w:t xml:space="preserve">; </w:t>
      </w:r>
    </w:p>
    <w:p w14:paraId="1AC3995B" w14:textId="77777777" w:rsidR="00A66A81" w:rsidRDefault="00A66A81" w:rsidP="00A7702A">
      <w:pPr>
        <w:spacing w:line="276" w:lineRule="auto"/>
        <w:ind w:left="567" w:right="567"/>
        <w:jc w:val="both"/>
        <w:rPr>
          <w:rFonts w:ascii="Palatino Linotype" w:hAnsi="Palatino Linotype" w:cs="Tahoma"/>
          <w:i/>
        </w:rPr>
      </w:pPr>
    </w:p>
    <w:p w14:paraId="5CDF07C8"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33A67AF" w14:textId="77777777" w:rsidR="00A66A81" w:rsidRPr="00F368CD" w:rsidRDefault="00A66A81" w:rsidP="00A7702A">
      <w:pPr>
        <w:spacing w:line="276" w:lineRule="auto"/>
        <w:ind w:left="567" w:right="567"/>
        <w:jc w:val="both"/>
        <w:rPr>
          <w:rFonts w:ascii="Palatino Linotype" w:hAnsi="Palatino Linotype" w:cs="Tahoma"/>
          <w:i/>
        </w:rPr>
      </w:pPr>
    </w:p>
    <w:p w14:paraId="22A89139"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37D7F9DF" w14:textId="77777777" w:rsidR="00A66A81" w:rsidRPr="00F368CD" w:rsidRDefault="00A66A81" w:rsidP="00A7702A">
      <w:pPr>
        <w:spacing w:line="276" w:lineRule="auto"/>
        <w:ind w:left="567" w:right="567"/>
        <w:jc w:val="both"/>
        <w:rPr>
          <w:rFonts w:ascii="Palatino Linotype" w:hAnsi="Palatino Linotype" w:cs="Tahoma"/>
          <w:i/>
        </w:rPr>
      </w:pPr>
    </w:p>
    <w:p w14:paraId="31FE9A22" w14:textId="3161BFE0" w:rsidR="00A66A81" w:rsidRDefault="00A66A81" w:rsidP="00A7702A">
      <w:pPr>
        <w:spacing w:line="276" w:lineRule="auto"/>
        <w:ind w:left="567" w:right="567"/>
        <w:jc w:val="both"/>
        <w:rPr>
          <w:rFonts w:ascii="Palatino Linotype" w:hAnsi="Palatino Linotype" w:cs="Tahoma"/>
          <w:i/>
        </w:rPr>
      </w:pPr>
      <w:r w:rsidRPr="00A66A81">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F368CD">
        <w:rPr>
          <w:rFonts w:ascii="Palatino Linotype" w:hAnsi="Palatino Linotype" w:cs="Tahoma"/>
          <w:i/>
        </w:rPr>
        <w:t>;</w:t>
      </w:r>
    </w:p>
    <w:p w14:paraId="1613909F"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4EAFEFFF" w14:textId="77777777" w:rsidR="00A66A81" w:rsidRDefault="00A66A81" w:rsidP="00A7702A">
      <w:pPr>
        <w:spacing w:line="276" w:lineRule="auto"/>
        <w:ind w:left="567" w:right="567"/>
        <w:jc w:val="both"/>
        <w:rPr>
          <w:rFonts w:ascii="Palatino Linotype" w:hAnsi="Palatino Linotype" w:cs="Tahoma"/>
          <w:i/>
        </w:rPr>
      </w:pPr>
    </w:p>
    <w:p w14:paraId="29CC0E78" w14:textId="77777777" w:rsidR="00A66A81" w:rsidRPr="00A66A81" w:rsidRDefault="00A66A81" w:rsidP="00A7702A">
      <w:pPr>
        <w:spacing w:line="276" w:lineRule="auto"/>
        <w:ind w:left="567" w:right="567"/>
        <w:jc w:val="both"/>
        <w:rPr>
          <w:rFonts w:ascii="Palatino Linotype" w:hAnsi="Palatino Linotype" w:cs="Tahoma"/>
          <w:b/>
          <w:i/>
        </w:rPr>
      </w:pPr>
      <w:proofErr w:type="spellStart"/>
      <w:r w:rsidRPr="00A66A81">
        <w:rPr>
          <w:rFonts w:ascii="Palatino Linotype" w:hAnsi="Palatino Linotype" w:cs="Tahoma"/>
          <w:b/>
          <w:i/>
        </w:rPr>
        <w:t>ag</w:t>
      </w:r>
      <w:proofErr w:type="spellEnd"/>
      <w:r w:rsidRPr="00A66A81">
        <w:rPr>
          <w:rFonts w:ascii="Palatino Linotype" w:hAnsi="Palatino Linotype" w:cs="Tahoma"/>
          <w:b/>
          <w:i/>
        </w:rPr>
        <w:t xml:space="preserve">) Las demás que establezca esta Ley y otras disposiciones aplicables. </w:t>
      </w:r>
    </w:p>
    <w:p w14:paraId="1453DE8C" w14:textId="77777777" w:rsidR="00A66A81" w:rsidRPr="00A66A81" w:rsidRDefault="00A66A81" w:rsidP="00A7702A">
      <w:pPr>
        <w:spacing w:line="276" w:lineRule="auto"/>
        <w:ind w:left="567" w:right="567"/>
        <w:jc w:val="both"/>
        <w:rPr>
          <w:rFonts w:ascii="Palatino Linotype" w:hAnsi="Palatino Linotype" w:cs="Tahoma"/>
          <w:b/>
          <w:i/>
        </w:rPr>
      </w:pPr>
    </w:p>
    <w:p w14:paraId="7C0B34D4" w14:textId="77777777" w:rsidR="00A66A81" w:rsidRPr="00F368CD" w:rsidRDefault="00A66A81" w:rsidP="00A7702A">
      <w:pPr>
        <w:tabs>
          <w:tab w:val="left" w:pos="9495"/>
        </w:tabs>
        <w:spacing w:line="276" w:lineRule="auto"/>
        <w:ind w:left="567" w:right="567"/>
        <w:jc w:val="both"/>
        <w:rPr>
          <w:rFonts w:ascii="Palatino Linotype" w:hAnsi="Palatino Linotype" w:cs="Tahoma"/>
          <w:i/>
        </w:rPr>
      </w:pPr>
    </w:p>
    <w:p w14:paraId="4E1EFE89" w14:textId="77777777" w:rsidR="005C4513" w:rsidRDefault="005C4513" w:rsidP="00A7702A">
      <w:pPr>
        <w:spacing w:line="276" w:lineRule="auto"/>
        <w:ind w:left="567" w:right="567"/>
        <w:jc w:val="both"/>
        <w:rPr>
          <w:rFonts w:ascii="Palatino Linotype" w:hAnsi="Palatino Linotype" w:cs="Tahoma"/>
          <w:i/>
        </w:rPr>
      </w:pPr>
    </w:p>
    <w:p w14:paraId="3F2AF02D"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 .)</w:t>
      </w:r>
    </w:p>
    <w:p w14:paraId="37213A2B"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xml:space="preserve"> </w:t>
      </w:r>
      <w:r w:rsidRPr="008A67F1">
        <w:rPr>
          <w:rFonts w:ascii="Palatino Linotype" w:hAnsi="Palatino Linotype" w:cs="Tahoma"/>
          <w:b/>
          <w:i/>
        </w:rPr>
        <w:t>Todos los elementos de las Instituciones de Seguridad Pública tienen la obligación de identificarse</w:t>
      </w:r>
      <w:r w:rsidRPr="00CB2F05">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CB2F05" w:rsidRDefault="006F62BA" w:rsidP="00A7702A">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A7702A" w:rsidRDefault="006F62BA" w:rsidP="00A7702A">
      <w:pPr>
        <w:spacing w:line="276" w:lineRule="auto"/>
        <w:ind w:left="567" w:right="567"/>
        <w:jc w:val="center"/>
        <w:rPr>
          <w:rFonts w:ascii="Palatino Linotype" w:hAnsi="Palatino Linotype" w:cs="Tahoma"/>
          <w:b/>
          <w:i/>
          <w:u w:val="single"/>
        </w:rPr>
      </w:pPr>
      <w:r w:rsidRPr="00A7702A">
        <w:rPr>
          <w:rFonts w:ascii="Palatino Linotype" w:hAnsi="Palatino Linotype" w:cs="Tahoma"/>
          <w:b/>
          <w:i/>
          <w:u w:val="single"/>
        </w:rPr>
        <w:t>Ley de Responsabilidades de los Servidores Públicos del Estado y Municipios:</w:t>
      </w:r>
    </w:p>
    <w:p w14:paraId="1A5BE05C"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10867BAF"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11FFED68"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7C6F292C" w14:textId="1243953C" w:rsidR="006F62BA"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lastRenderedPageBreak/>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Default="006F62BA" w:rsidP="00CB2F05">
      <w:pPr>
        <w:pStyle w:val="Textoindependiente"/>
        <w:spacing w:line="360" w:lineRule="auto"/>
        <w:ind w:left="567"/>
        <w:rPr>
          <w:rFonts w:eastAsia="Times New Roman" w:cs="Tahoma"/>
          <w:i/>
          <w:lang w:eastAsia="es-ES"/>
        </w:rPr>
      </w:pP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w:t>
      </w:r>
      <w:r w:rsidRPr="00A7702A">
        <w:rPr>
          <w:rFonts w:ascii="Palatino Linotype" w:hAnsi="Palatino Linotype"/>
          <w:i/>
          <w:sz w:val="22"/>
        </w:rPr>
        <w:lastRenderedPageBreak/>
        <w:t>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293D29BD"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En ese orden de ideas, no se niega que las </w:t>
      </w:r>
      <w:r w:rsidRPr="007C1380">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w:t>
      </w:r>
      <w:r w:rsidR="00E23D55" w:rsidRPr="007C1380">
        <w:rPr>
          <w:rFonts w:ascii="Palatino Linotype" w:hAnsi="Palatino Linotype"/>
          <w:lang w:val="es-MX"/>
        </w:rPr>
        <w:t xml:space="preserve">los servidores públicos del </w:t>
      </w:r>
      <w:r w:rsidRPr="007C1380">
        <w:rPr>
          <w:rFonts w:ascii="Palatino Linotype" w:hAnsi="Palatino Linotype"/>
          <w:lang w:val="es-MX"/>
        </w:rPr>
        <w:t xml:space="preserve"> Poder Judicial. Cierto es que todos ellos intervienen en actos que, por sí mismos, representan conflictos entre diversas personas, en los que muchas veces, al amparo de una condición de fuerza moral, </w:t>
      </w:r>
      <w:r w:rsidRPr="007C1380">
        <w:rPr>
          <w:rFonts w:ascii="Palatino Linotype" w:hAnsi="Palatino Linotype"/>
          <w:lang w:val="es-MX"/>
        </w:rPr>
        <w:lastRenderedPageBreak/>
        <w:t>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7C1380" w:rsidRDefault="009812A5" w:rsidP="00614534">
      <w:pPr>
        <w:tabs>
          <w:tab w:val="left" w:pos="851"/>
        </w:tabs>
        <w:spacing w:line="360" w:lineRule="auto"/>
        <w:ind w:right="49"/>
        <w:jc w:val="both"/>
        <w:rPr>
          <w:rFonts w:ascii="Palatino Linotype" w:hAnsi="Palatino Linotype"/>
        </w:rPr>
      </w:pPr>
    </w:p>
    <w:p w14:paraId="0080853B" w14:textId="0FE9CBE9"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7C1380">
        <w:rPr>
          <w:rFonts w:ascii="Palatino Linotype" w:hAnsi="Palatino Linotype"/>
          <w:b/>
        </w:rPr>
        <w:t>mas no así su cargo</w:t>
      </w:r>
      <w:r w:rsidRPr="007C1380">
        <w:rPr>
          <w:rFonts w:ascii="Palatino Linotype" w:hAnsi="Palatino Linotype"/>
        </w:rPr>
        <w:t>:</w:t>
      </w:r>
    </w:p>
    <w:p w14:paraId="60498BAE" w14:textId="77777777" w:rsidR="009812A5" w:rsidRPr="007C1380" w:rsidRDefault="009812A5" w:rsidP="00614534">
      <w:pPr>
        <w:tabs>
          <w:tab w:val="left" w:pos="851"/>
        </w:tabs>
        <w:spacing w:line="360" w:lineRule="auto"/>
        <w:ind w:right="49"/>
        <w:jc w:val="both"/>
        <w:rPr>
          <w:rFonts w:ascii="Palatino Linotype" w:hAnsi="Palatino Linotype"/>
        </w:rPr>
      </w:pPr>
    </w:p>
    <w:p w14:paraId="4FECF4D6" w14:textId="63561846" w:rsidR="009812A5" w:rsidRPr="007C1380" w:rsidRDefault="009812A5" w:rsidP="009812A5">
      <w:pPr>
        <w:tabs>
          <w:tab w:val="left" w:pos="851"/>
        </w:tabs>
        <w:spacing w:line="276" w:lineRule="auto"/>
        <w:ind w:left="567" w:right="567"/>
        <w:jc w:val="both"/>
        <w:rPr>
          <w:rFonts w:ascii="Palatino Linotype" w:hAnsi="Palatino Linotype"/>
          <w:i/>
          <w:sz w:val="22"/>
          <w:lang w:val="es-MX"/>
        </w:rPr>
      </w:pPr>
      <w:r w:rsidRPr="007C1380">
        <w:rPr>
          <w:rFonts w:ascii="Palatino Linotype" w:hAnsi="Palatino Linotype"/>
          <w:b/>
          <w:bCs/>
          <w:i/>
          <w:sz w:val="22"/>
          <w:lang w:val="es-MX"/>
        </w:rPr>
        <w:t>NOMBRES DE SERVIDORES PÚBLICOS DEDICADOS A ACTIVIDADES EN MATERIA DE SEGURIDAD, POR EXCEPCIÓN PUEDEN CONSIDERARSE INFORMACIÓN RESERVADA.</w:t>
      </w:r>
      <w:r w:rsidRPr="007C1380">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w:t>
      </w:r>
      <w:r w:rsidRPr="007C1380">
        <w:rPr>
          <w:rFonts w:ascii="Palatino Linotype" w:hAnsi="Palatino Linotype"/>
          <w:i/>
          <w:sz w:val="22"/>
          <w:lang w:val="es-MX"/>
        </w:rPr>
        <w:lastRenderedPageBreak/>
        <w:t>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7C1380" w:rsidRDefault="009812A5" w:rsidP="00614534">
      <w:pPr>
        <w:tabs>
          <w:tab w:val="left" w:pos="851"/>
        </w:tabs>
        <w:spacing w:line="360" w:lineRule="auto"/>
        <w:ind w:right="49"/>
        <w:jc w:val="both"/>
        <w:rPr>
          <w:rFonts w:ascii="Palatino Linotype" w:hAnsi="Palatino Linotype"/>
        </w:rPr>
      </w:pPr>
    </w:p>
    <w:p w14:paraId="78EE32B5" w14:textId="7935584B"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w:t>
      </w:r>
      <w:r w:rsidR="00E23D55" w:rsidRPr="007C1380">
        <w:rPr>
          <w:rFonts w:ascii="Palatino Linotype" w:hAnsi="Palatino Linotype"/>
        </w:rPr>
        <w:t xml:space="preserve">se coincide que existe </w:t>
      </w:r>
      <w:r w:rsidRPr="007C1380">
        <w:rPr>
          <w:rFonts w:ascii="Palatino Linotype" w:hAnsi="Palatino Linotype"/>
        </w:rPr>
        <w:t>necesidad de clasificar el nombre personal de todos los elementos que integran una fuerza pública de seguridad o reacción.</w:t>
      </w:r>
    </w:p>
    <w:p w14:paraId="78CA6F51" w14:textId="77777777" w:rsidR="009812A5" w:rsidRPr="007C1380" w:rsidRDefault="009812A5" w:rsidP="00614534">
      <w:pPr>
        <w:tabs>
          <w:tab w:val="left" w:pos="851"/>
        </w:tabs>
        <w:spacing w:line="360" w:lineRule="auto"/>
        <w:ind w:right="49"/>
        <w:jc w:val="both"/>
        <w:rPr>
          <w:rFonts w:ascii="Palatino Linotype" w:hAnsi="Palatino Linotype"/>
        </w:rPr>
      </w:pPr>
    </w:p>
    <w:p w14:paraId="48FB4011" w14:textId="28BC4904"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7C1380">
        <w:rPr>
          <w:rFonts w:ascii="Palatino Linotype" w:hAnsi="Palatino Linotype"/>
        </w:rPr>
        <w:t>.</w:t>
      </w:r>
    </w:p>
    <w:p w14:paraId="606E61F2" w14:textId="77777777" w:rsidR="00C34F96" w:rsidRPr="007C1380" w:rsidRDefault="00C34F96" w:rsidP="00614534">
      <w:pPr>
        <w:tabs>
          <w:tab w:val="left" w:pos="851"/>
        </w:tabs>
        <w:spacing w:line="360" w:lineRule="auto"/>
        <w:ind w:right="49"/>
        <w:jc w:val="both"/>
        <w:rPr>
          <w:rFonts w:ascii="Palatino Linotype" w:hAnsi="Palatino Linotype"/>
        </w:rPr>
      </w:pPr>
    </w:p>
    <w:p w14:paraId="49C2F23D" w14:textId="77777777" w:rsidR="00AC25BC" w:rsidRPr="007C1380" w:rsidRDefault="00C34F96"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7C1380">
        <w:rPr>
          <w:rFonts w:ascii="Palatino Linotype" w:hAnsi="Palatino Linotype"/>
          <w:i/>
        </w:rPr>
        <w:t>Conciliación de Nómina</w:t>
      </w:r>
      <w:r w:rsidRPr="007C1380">
        <w:rPr>
          <w:rFonts w:ascii="Palatino Linotype" w:hAnsi="Palatino Linotype"/>
        </w:rPr>
        <w:t xml:space="preserve"> que los Sujetos Obligados entregan de forma trimestral al Órgano Superior de Fiscalización de la entidad, pues también puede conocerse este dato mediante el </w:t>
      </w:r>
      <w:r w:rsidRPr="007C1380">
        <w:rPr>
          <w:rFonts w:ascii="Palatino Linotype" w:hAnsi="Palatino Linotype"/>
          <w:b/>
        </w:rPr>
        <w:t>tabulador de sueldos y salarios</w:t>
      </w:r>
      <w:r w:rsidRPr="007C1380">
        <w:rPr>
          <w:rFonts w:ascii="Palatino Linotype" w:hAnsi="Palatino Linotype"/>
        </w:rPr>
        <w:t xml:space="preserve">, el cual consiste en un listado de todos los cargos, puestos y niveles que </w:t>
      </w:r>
      <w:r w:rsidRPr="007C1380">
        <w:rPr>
          <w:rFonts w:ascii="Palatino Linotype" w:hAnsi="Palatino Linotype"/>
        </w:rPr>
        <w:lastRenderedPageBreak/>
        <w:t xml:space="preserve">pueden ocupar los servidores públicos adscritos a un ente público, y donde se muestran las percepciones y deducciones </w:t>
      </w:r>
      <w:r w:rsidR="00AC25BC" w:rsidRPr="007C1380">
        <w:rPr>
          <w:rFonts w:ascii="Palatino Linotype" w:hAnsi="Palatino Linotype"/>
        </w:rPr>
        <w:t>propias de cada cargo.</w:t>
      </w:r>
    </w:p>
    <w:p w14:paraId="1CDC5E21" w14:textId="77777777" w:rsidR="00AC25BC" w:rsidRPr="007C1380" w:rsidRDefault="00AC25BC" w:rsidP="00614534">
      <w:pPr>
        <w:tabs>
          <w:tab w:val="left" w:pos="851"/>
        </w:tabs>
        <w:spacing w:line="360" w:lineRule="auto"/>
        <w:ind w:right="49"/>
        <w:jc w:val="both"/>
        <w:rPr>
          <w:rFonts w:ascii="Palatino Linotype" w:hAnsi="Palatino Linotype"/>
        </w:rPr>
      </w:pPr>
    </w:p>
    <w:p w14:paraId="05B06B9E" w14:textId="2F836B40" w:rsidR="00C34F96" w:rsidRDefault="00AC25BC"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Por lo tanto, el considerar clasificar el cargo dentro de un recibo de nómina, implicaría el clasificar el dato en </w:t>
      </w:r>
      <w:r w:rsidRPr="007C1380">
        <w:rPr>
          <w:rFonts w:ascii="Palatino Linotype" w:hAnsi="Palatino Linotype"/>
          <w:b/>
        </w:rPr>
        <w:t>todos</w:t>
      </w:r>
      <w:r w:rsidRPr="007C1380">
        <w:rPr>
          <w:rFonts w:ascii="Palatino Linotype" w:hAnsi="Palatino Linotype"/>
        </w:rPr>
        <w:t xml:space="preserve"> los documentos donde se aprecie el dato;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Pr>
          <w:rFonts w:ascii="Palatino Linotype" w:hAnsi="Palatino Linotype"/>
        </w:rPr>
        <w:lastRenderedPageBreak/>
        <w:t xml:space="preserve">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750FDB77" w14:textId="5B8BAD10" w:rsidR="00D96441" w:rsidRPr="007C138E" w:rsidRDefault="008936B4" w:rsidP="007C138E">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Pr="00CB2F05">
        <w:rPr>
          <w:rFonts w:eastAsia="Times New Roman" w:cs="Times New Roman"/>
          <w:lang w:eastAsia="es-ES"/>
        </w:rPr>
        <w:tab/>
      </w:r>
      <w:bookmarkStart w:id="2" w:name="_GoBack"/>
      <w:bookmarkEnd w:id="2"/>
    </w:p>
    <w:sectPr w:rsidR="00D96441" w:rsidRPr="007C138E"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1D946" w14:textId="77777777" w:rsidR="00F2622E" w:rsidRDefault="00F2622E" w:rsidP="00C80F8C">
      <w:r>
        <w:separator/>
      </w:r>
    </w:p>
  </w:endnote>
  <w:endnote w:type="continuationSeparator" w:id="0">
    <w:p w14:paraId="278BD5FF" w14:textId="77777777" w:rsidR="00F2622E" w:rsidRDefault="00F262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7C138E">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138E">
              <w:rPr>
                <w:b/>
                <w:bCs/>
                <w:noProof/>
              </w:rPr>
              <w:t>18</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FF764" w14:textId="77777777" w:rsidR="00F2622E" w:rsidRDefault="00F2622E" w:rsidP="00C80F8C">
      <w:r>
        <w:separator/>
      </w:r>
    </w:p>
  </w:footnote>
  <w:footnote w:type="continuationSeparator" w:id="0">
    <w:p w14:paraId="338B3BFD" w14:textId="77777777" w:rsidR="00F2622E" w:rsidRDefault="00F2622E"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C14AAF">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F2622E">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F2622E"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7D611FAA" w14:textId="5C162ADA" w:rsidR="00D352E9" w:rsidRPr="00D352E9" w:rsidRDefault="00F47FB5" w:rsidP="00D352E9">
    <w:pPr>
      <w:pStyle w:val="Encabezado"/>
      <w:tabs>
        <w:tab w:val="clear" w:pos="8504"/>
        <w:tab w:val="right" w:pos="8789"/>
      </w:tabs>
      <w:ind w:left="2835" w:right="-250"/>
      <w:rPr>
        <w:rFonts w:ascii="Palatino Linotype" w:hAnsi="Palatino Linotype"/>
        <w:b/>
        <w:bCs/>
        <w:sz w:val="22"/>
        <w:szCs w:val="22"/>
      </w:rPr>
    </w:pPr>
    <w:r w:rsidRPr="00D352E9">
      <w:rPr>
        <w:rFonts w:ascii="Palatino Linotype" w:hAnsi="Palatino Linotype" w:cs="Tahoma"/>
        <w:b/>
      </w:rPr>
      <w:t xml:space="preserve">Recurso de Revisión: </w:t>
    </w:r>
    <w:r w:rsidR="008D0E7A">
      <w:rPr>
        <w:rFonts w:eastAsia="Calibri" w:cs="Tahoma"/>
      </w:rPr>
      <w:t>00616/INFOEM/IP/RR/2023</w:t>
    </w:r>
  </w:p>
  <w:p w14:paraId="71104997" w14:textId="7DD75059" w:rsidR="00634485" w:rsidRDefault="00F47FB5" w:rsidP="00D352E9">
    <w:pPr>
      <w:pStyle w:val="Encabezado"/>
      <w:ind w:left="2835" w:right="-943"/>
    </w:pPr>
    <w:r>
      <w:rPr>
        <w:rFonts w:ascii="Palatino Linotype" w:hAnsi="Palatino Linotype" w:cs="Tahoma"/>
        <w:b/>
      </w:rPr>
      <w:t>Sujeto Obligado:</w:t>
    </w:r>
    <w:r>
      <w:rPr>
        <w:rFonts w:ascii="Palatino Linotype" w:eastAsia="Palatino Linotype" w:hAnsi="Palatino Linotype" w:cs="Palatino Linotype"/>
        <w:b/>
      </w:rPr>
      <w:t xml:space="preserve"> </w:t>
    </w:r>
    <w:r w:rsidR="008D0E7A">
      <w:rPr>
        <w:rFonts w:cs="Tahoma"/>
        <w:color w:val="0D0D0D" w:themeColor="text1" w:themeTint="F2"/>
      </w:rPr>
      <w:t>Ayuntamiento de Chalco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F2622E">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F0C27"/>
    <w:multiLevelType w:val="hybridMultilevel"/>
    <w:tmpl w:val="8FC2A61C"/>
    <w:lvl w:ilvl="0" w:tplc="F4CA953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45A2565"/>
    <w:multiLevelType w:val="hybridMultilevel"/>
    <w:tmpl w:val="B08A33BE"/>
    <w:lvl w:ilvl="0" w:tplc="89C8288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D74194"/>
    <w:multiLevelType w:val="hybridMultilevel"/>
    <w:tmpl w:val="F410AB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105B"/>
    <w:rsid w:val="00435FF9"/>
    <w:rsid w:val="00442F19"/>
    <w:rsid w:val="00445879"/>
    <w:rsid w:val="0047213D"/>
    <w:rsid w:val="004807CC"/>
    <w:rsid w:val="00484A47"/>
    <w:rsid w:val="00484F6F"/>
    <w:rsid w:val="004A109F"/>
    <w:rsid w:val="004A7F16"/>
    <w:rsid w:val="004B2706"/>
    <w:rsid w:val="004C6733"/>
    <w:rsid w:val="004D0A26"/>
    <w:rsid w:val="004E305D"/>
    <w:rsid w:val="004E7984"/>
    <w:rsid w:val="004F5E4D"/>
    <w:rsid w:val="004F7AD6"/>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401FC"/>
    <w:rsid w:val="00650AFA"/>
    <w:rsid w:val="00665800"/>
    <w:rsid w:val="0067340C"/>
    <w:rsid w:val="0067381F"/>
    <w:rsid w:val="0068101D"/>
    <w:rsid w:val="006822ED"/>
    <w:rsid w:val="00685B0E"/>
    <w:rsid w:val="006A2770"/>
    <w:rsid w:val="006A7AB7"/>
    <w:rsid w:val="006B2674"/>
    <w:rsid w:val="006E6389"/>
    <w:rsid w:val="006F0A6E"/>
    <w:rsid w:val="006F30F8"/>
    <w:rsid w:val="006F62BA"/>
    <w:rsid w:val="00700DF1"/>
    <w:rsid w:val="00701B9E"/>
    <w:rsid w:val="00706B53"/>
    <w:rsid w:val="0071093C"/>
    <w:rsid w:val="00736C06"/>
    <w:rsid w:val="00760037"/>
    <w:rsid w:val="007617C8"/>
    <w:rsid w:val="00762C20"/>
    <w:rsid w:val="007A0EB7"/>
    <w:rsid w:val="007A1C9F"/>
    <w:rsid w:val="007B1CFA"/>
    <w:rsid w:val="007B578D"/>
    <w:rsid w:val="007C0652"/>
    <w:rsid w:val="007C1380"/>
    <w:rsid w:val="007C138E"/>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65C2A"/>
    <w:rsid w:val="00892AFC"/>
    <w:rsid w:val="008936B4"/>
    <w:rsid w:val="008A67F1"/>
    <w:rsid w:val="008B0A68"/>
    <w:rsid w:val="008C19BE"/>
    <w:rsid w:val="008C3C4B"/>
    <w:rsid w:val="008D0E7A"/>
    <w:rsid w:val="008D1526"/>
    <w:rsid w:val="008D77A8"/>
    <w:rsid w:val="008F0202"/>
    <w:rsid w:val="008F67BC"/>
    <w:rsid w:val="009535D2"/>
    <w:rsid w:val="00956B18"/>
    <w:rsid w:val="00961995"/>
    <w:rsid w:val="00975EB9"/>
    <w:rsid w:val="009812A5"/>
    <w:rsid w:val="00981C38"/>
    <w:rsid w:val="00997CD5"/>
    <w:rsid w:val="009A2D6F"/>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702A"/>
    <w:rsid w:val="00A81140"/>
    <w:rsid w:val="00AA2F7D"/>
    <w:rsid w:val="00AB78CF"/>
    <w:rsid w:val="00AC0680"/>
    <w:rsid w:val="00AC25BC"/>
    <w:rsid w:val="00AE7763"/>
    <w:rsid w:val="00B014D8"/>
    <w:rsid w:val="00B05E5A"/>
    <w:rsid w:val="00B17E67"/>
    <w:rsid w:val="00B343D6"/>
    <w:rsid w:val="00B53290"/>
    <w:rsid w:val="00B64C7A"/>
    <w:rsid w:val="00B64CFB"/>
    <w:rsid w:val="00B703D7"/>
    <w:rsid w:val="00B7360E"/>
    <w:rsid w:val="00B868A5"/>
    <w:rsid w:val="00BB071F"/>
    <w:rsid w:val="00BB11DB"/>
    <w:rsid w:val="00BB2AD1"/>
    <w:rsid w:val="00BC1756"/>
    <w:rsid w:val="00BD07E6"/>
    <w:rsid w:val="00BD7483"/>
    <w:rsid w:val="00BE05AB"/>
    <w:rsid w:val="00BE590B"/>
    <w:rsid w:val="00BF358F"/>
    <w:rsid w:val="00BF68F0"/>
    <w:rsid w:val="00BF6974"/>
    <w:rsid w:val="00BF6E14"/>
    <w:rsid w:val="00C14AAF"/>
    <w:rsid w:val="00C156E5"/>
    <w:rsid w:val="00C242A7"/>
    <w:rsid w:val="00C27236"/>
    <w:rsid w:val="00C34F96"/>
    <w:rsid w:val="00C65950"/>
    <w:rsid w:val="00C75CBC"/>
    <w:rsid w:val="00C80F8C"/>
    <w:rsid w:val="00C85F1D"/>
    <w:rsid w:val="00C8760D"/>
    <w:rsid w:val="00CB2F05"/>
    <w:rsid w:val="00CE0FA6"/>
    <w:rsid w:val="00CE217B"/>
    <w:rsid w:val="00CF3F65"/>
    <w:rsid w:val="00D03369"/>
    <w:rsid w:val="00D20156"/>
    <w:rsid w:val="00D352E9"/>
    <w:rsid w:val="00D36ABC"/>
    <w:rsid w:val="00D96441"/>
    <w:rsid w:val="00DC2CB7"/>
    <w:rsid w:val="00DC3082"/>
    <w:rsid w:val="00DD45AC"/>
    <w:rsid w:val="00DD5CD5"/>
    <w:rsid w:val="00DE1629"/>
    <w:rsid w:val="00DE5C27"/>
    <w:rsid w:val="00E00BE5"/>
    <w:rsid w:val="00E23D55"/>
    <w:rsid w:val="00E37AE3"/>
    <w:rsid w:val="00E429BA"/>
    <w:rsid w:val="00EF3513"/>
    <w:rsid w:val="00F05A30"/>
    <w:rsid w:val="00F10A06"/>
    <w:rsid w:val="00F1205F"/>
    <w:rsid w:val="00F2622E"/>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98C1E21-287E-4F7C-B001-0F63B995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3495160">
      <w:bodyDiv w:val="1"/>
      <w:marLeft w:val="0"/>
      <w:marRight w:val="0"/>
      <w:marTop w:val="0"/>
      <w:marBottom w:val="0"/>
      <w:divBdr>
        <w:top w:val="none" w:sz="0" w:space="0" w:color="auto"/>
        <w:left w:val="none" w:sz="0" w:space="0" w:color="auto"/>
        <w:bottom w:val="none" w:sz="0" w:space="0" w:color="auto"/>
        <w:right w:val="none" w:sz="0" w:space="0" w:color="auto"/>
      </w:divBdr>
    </w:div>
    <w:div w:id="15434375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4628162">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21795683">
      <w:bodyDiv w:val="1"/>
      <w:marLeft w:val="0"/>
      <w:marRight w:val="0"/>
      <w:marTop w:val="0"/>
      <w:marBottom w:val="0"/>
      <w:divBdr>
        <w:top w:val="none" w:sz="0" w:space="0" w:color="auto"/>
        <w:left w:val="none" w:sz="0" w:space="0" w:color="auto"/>
        <w:bottom w:val="none" w:sz="0" w:space="0" w:color="auto"/>
        <w:right w:val="none" w:sz="0" w:space="0" w:color="auto"/>
      </w:divBdr>
    </w:div>
    <w:div w:id="953289954">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2181071">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2875187">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2792034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57286265">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39735529">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67139085">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75192240">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00510282">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123155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FDF1-4280-475D-8D5C-C9C3A2A9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4133</Words>
  <Characters>22736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INFOEM500</cp:lastModifiedBy>
  <cp:revision>3</cp:revision>
  <cp:lastPrinted>2023-06-20T00:32:00Z</cp:lastPrinted>
  <dcterms:created xsi:type="dcterms:W3CDTF">2024-03-21T19:56:00Z</dcterms:created>
  <dcterms:modified xsi:type="dcterms:W3CDTF">2024-03-21T19:56:00Z</dcterms:modified>
</cp:coreProperties>
</file>