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2C3CEB35"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3F0929">
        <w:rPr>
          <w:rFonts w:ascii="Palatino Linotype" w:hAnsi="Palatino Linotype" w:cs="Tahoma"/>
          <w:b/>
        </w:rPr>
        <w:t>PROTECCIÓN DE DATOS PERSONALES DEL ESTADO D</w:t>
      </w:r>
      <w:r w:rsidR="003338BC">
        <w:rPr>
          <w:rFonts w:ascii="Palatino Linotype" w:hAnsi="Palatino Linotype" w:cs="Tahoma"/>
          <w:b/>
        </w:rPr>
        <w:t xml:space="preserve">E MÉXICO Y MUNICIPIOS AL RECURSO DE REVISIÓN </w:t>
      </w:r>
      <w:r w:rsidR="003338BC">
        <w:rPr>
          <w:rFonts w:ascii="Palatino Linotype" w:hAnsi="Palatino Linotype" w:cs="Arial"/>
          <w:b/>
        </w:rPr>
        <w:t>13855</w:t>
      </w:r>
      <w:r w:rsidR="003338BC">
        <w:rPr>
          <w:rFonts w:ascii="Palatino Linotype" w:hAnsi="Palatino Linotype" w:cs="Arial"/>
          <w:b/>
          <w:bCs/>
          <w:lang w:eastAsia="es-MX"/>
        </w:rPr>
        <w:t>/INFOEM/IP/RR/2022</w:t>
      </w:r>
      <w:r w:rsidR="003338BC">
        <w:rPr>
          <w:rFonts w:ascii="Palatino Linotype" w:hAnsi="Palatino Linotype" w:cs="Tahoma"/>
          <w:b/>
        </w:rPr>
        <w:t xml:space="preserve">, PROMOVIDO EN CONTRA DEL </w:t>
      </w:r>
      <w:r w:rsidR="003338BC">
        <w:rPr>
          <w:rFonts w:ascii="Palatino Linotype" w:hAnsi="Palatino Linotype" w:cs="Arial"/>
          <w:b/>
        </w:rPr>
        <w:t>AYUNTAMIENTO DE AMECAMECA</w:t>
      </w:r>
      <w:r w:rsidR="00BA0E80">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739A5FED"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3338BC">
        <w:rPr>
          <w:rFonts w:ascii="Palatino Linotype" w:hAnsi="Palatino Linotype" w:cs="Arial"/>
          <w:b/>
        </w:rPr>
        <w:t>13855</w:t>
      </w:r>
      <w:r w:rsidR="003338BC">
        <w:rPr>
          <w:rFonts w:ascii="Palatino Linotype" w:hAnsi="Palatino Linotype" w:cs="Arial"/>
          <w:b/>
          <w:bCs/>
          <w:lang w:eastAsia="es-MX"/>
        </w:rPr>
        <w:t>/INFOEM/IP/RR/2022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3338BC">
        <w:rPr>
          <w:rFonts w:ascii="Palatino Linotype" w:hAnsi="Palatino Linotype" w:cs="Arial"/>
          <w:b/>
        </w:rPr>
        <w:t>Ayuntamiento de Amecameca</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6507797B"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 con </w:t>
      </w:r>
      <w:r w:rsidR="003338BC">
        <w:rPr>
          <w:rFonts w:ascii="Palatino Linotype" w:eastAsia="Calibri" w:hAnsi="Palatino Linotype" w:cs="Arial"/>
        </w:rPr>
        <w:t>el</w:t>
      </w:r>
      <w:r w:rsidR="00BF358F">
        <w:rPr>
          <w:rFonts w:ascii="Palatino Linotype" w:eastAsia="Calibri" w:hAnsi="Palatino Linotype" w:cs="Arial"/>
        </w:rPr>
        <w:t xml:space="preserve"> número </w:t>
      </w:r>
      <w:r w:rsidR="003338BC">
        <w:rPr>
          <w:rFonts w:ascii="Palatino Linotype" w:hAnsi="Palatino Linotype" w:cs="Arial"/>
          <w:b/>
        </w:rPr>
        <w:t>00128/AMECAMECCOM/IP/2022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3338BC">
        <w:rPr>
          <w:rFonts w:ascii="Palatino Linotype" w:hAnsi="Palatino Linotype" w:cs="Arial"/>
        </w:rPr>
        <w:t>mediante la cual</w:t>
      </w:r>
      <w:r w:rsidR="00BF358F">
        <w:rPr>
          <w:rFonts w:ascii="Palatino Linotype" w:hAnsi="Palatino Linotype" w:cs="Arial"/>
        </w:rPr>
        <w:t xml:space="preserve"> solicitó la siguiente información:</w:t>
      </w:r>
    </w:p>
    <w:p w14:paraId="30814B12" w14:textId="77777777" w:rsidR="003338BC" w:rsidRDefault="003338BC" w:rsidP="003338BC">
      <w:pPr>
        <w:ind w:left="567"/>
        <w:jc w:val="both"/>
        <w:rPr>
          <w:rFonts w:ascii="Palatino Linotype" w:hAnsi="Palatino Linotype" w:cs="Arial"/>
          <w:i/>
        </w:rPr>
      </w:pPr>
      <w:bookmarkStart w:id="1" w:name="_Hlk82038186"/>
      <w:r>
        <w:rPr>
          <w:rFonts w:ascii="Palatino Linotype" w:hAnsi="Palatino Linotype" w:cs="Arial"/>
          <w:i/>
        </w:rPr>
        <w:lastRenderedPageBreak/>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135 DEL CÓDIGO DE PROCEDIMIENTOS ADMINISTRATIVOS DEL ESTADO DE MÉXICO, PIDO LO SIGUIENTE: </w:t>
      </w:r>
      <w:r>
        <w:rPr>
          <w:rFonts w:ascii="Palatino Linotype" w:hAnsi="Palatino Linotype" w:cs="Arial"/>
          <w:b/>
          <w:i/>
          <w:u w:val="single"/>
        </w:rPr>
        <w:t>TODA LA INFORMACION CONSISTENTE DE LA ENTREGA—RECEPCIÓN CORRESPONDIENTE A LA ADMINISTRACION 2019-2021 A LA ADMINISTRACION 2022-2024, LA CERTIFICACIÓN EMITIDA POR EL INSTITUTO HACENDARIO DEL ESTADO DE MÉXICO (IHAEM); ASÍ COMO DEL CENTRO DE CONTROL Y CONFIANZA DEL ESTADO DE MÉXICO (SOLO PARA EL TITULAR DE SEGURIDAD PÚBLICA Y EL SECRETARIO TECNICO DE SEGURIDAD PÚBLICA)</w:t>
      </w:r>
      <w:r>
        <w:rPr>
          <w:rFonts w:ascii="Palatino Linotype" w:hAnsi="Palatino Linotype" w:cs="Arial"/>
          <w:i/>
        </w:rPr>
        <w:t xml:space="preserve"> </w:t>
      </w:r>
      <w:r>
        <w:rPr>
          <w:rFonts w:ascii="Palatino Linotype" w:hAnsi="Palatino Linotype" w:cs="Arial"/>
          <w:i/>
          <w:u w:val="single"/>
        </w:rPr>
        <w:t>CON FUNDAMENTO Y CONFORME A LO ESTIPULADO EN LOS ARICULOS 32 Y 96 NOINES LA LEY ORGÁNICA DEL ESTADO DE MÉXICO DE LOS SIGUIENTES FUNCIONARIOS O SU EQUIVALENTE DE LA ADMINISTRACIÓN PÚBLICA 2022-2024. DEBIENDO ANEXAR DOCEMENTACION QUE ACREDITE CADA UNO DE LOS REQUISITOS EN LOS NUMERALES DE LOS ARTICULOS QUE ANTECEDEN</w:t>
      </w:r>
      <w:r>
        <w:rPr>
          <w:rFonts w:ascii="Palatino Linotype" w:hAnsi="Palatino Linotype" w:cs="Arial"/>
          <w:i/>
        </w:rPr>
        <w:t xml:space="preserve">. ASI MISMO SU </w:t>
      </w:r>
      <w:r>
        <w:rPr>
          <w:rFonts w:ascii="Palatino Linotype" w:hAnsi="Palatino Linotype" w:cs="Arial"/>
          <w:b/>
          <w:i/>
          <w:u w:val="single"/>
        </w:rPr>
        <w:t xml:space="preserve">CURRICULUM VITAE DE CADA UNO EN LA VERSIÓN PÚBLICA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Pr>
          <w:rFonts w:ascii="Palatino Linotype" w:hAnsi="Palatino Linotype" w:cs="Arial"/>
          <w:i/>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 Ser persona ciudadana del Estado, en pleno uso de sus derechos; </w:t>
      </w:r>
      <w:r>
        <w:rPr>
          <w:rFonts w:ascii="Palatino Linotype" w:hAnsi="Palatino Linotype" w:cs="Arial"/>
          <w:i/>
        </w:rPr>
        <w:lastRenderedPageBreak/>
        <w:t xml:space="preserve">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Artículo 96 Nonies.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Pr>
          <w:rFonts w:ascii="Palatino Linotype" w:hAnsi="Palatino Linotype" w:cs="Arial"/>
          <w:i/>
          <w:u w:val="single"/>
        </w:rPr>
        <w:t xml:space="preserve">SOLICITO DEL TITULAR DE LA COORDINACIÓN DE OFICIALÍAS MEDIADORAS, CONCILIADORAS Y CALIFICADORAS O SU EQUIVALENTE REQUIERO </w:t>
      </w:r>
      <w:r>
        <w:rPr>
          <w:rFonts w:ascii="Palatino Linotype" w:hAnsi="Palatino Linotype" w:cs="Arial"/>
          <w:b/>
          <w:i/>
          <w:u w:val="single"/>
        </w:rPr>
        <w:t>LA CERTIFICACIÓN POR PARTE DEL CENTRO DE MEDIACIÓN, CONCILIACIÓN Y DE JUSTICIA RESTAURATIVA DEL PODER JUDICIAL DEL ESTADO DE MÉXICO</w:t>
      </w:r>
      <w:r>
        <w:rPr>
          <w:rFonts w:ascii="Palatino Linotype" w:hAnsi="Palatino Linotype" w:cs="Arial"/>
          <w:i/>
        </w:rPr>
        <w:t xml:space="preserve">, TAL Y COMO LO ESTABLECE EN EL TITULO V, CAPITULO PRIMERO, ARTICULO 149, FRACCIÓN F DE LA LEY ORGÁNICA MUNICIPAL DEL ESTADO DE MÉXICO </w:t>
      </w:r>
      <w:r>
        <w:rPr>
          <w:rFonts w:ascii="Palatino Linotype" w:hAnsi="Palatino Linotype" w:cs="Arial"/>
          <w:b/>
          <w:i/>
          <w:u w:val="single"/>
        </w:rPr>
        <w:t xml:space="preserve">SOLICITO LA CERTIFICACIÓN EMITIDA POR EL INSTITUTO HACENDARIO DEL ESTADO DE MÉXICO (IHAEM SI FUERA NECESARIA PARA OCUPAR LA TITULARIDAD, CURRICULUM VITAE </w:t>
      </w:r>
      <w:r>
        <w:rPr>
          <w:rFonts w:ascii="Palatino Linotype" w:hAnsi="Palatino Linotype" w:cs="Arial"/>
          <w:b/>
          <w:i/>
          <w:u w:val="single"/>
        </w:rPr>
        <w:lastRenderedPageBreak/>
        <w:t>EN VERSIÓN PÚBLICAY ACREDITACION DE ESTUDIOS CON DOCUMENTOS OFCIALES, NO ANTECEDENTES PENALES Y DOCUMENTO QUE ACREDITE NO ESTAR INSCRITO EN EL REGISTRO DE DEUDORES ALIMENTARIOS MOROSOS EN EL ESTADO NI EN OTRA ENTIDAD FEDERATIVA, DE LOS SIGUIENTES SERVIDORES PUBLICOS QUE OCUPAN LOS SIGUENTES PUESTOS O SU EQUIVALENTE: Titular de Transparencia, Contraloría, Recursos Humanos, Gobierno, Servicios Públicos, Bienestar Social, Jefa de Catastro, IMJUVE, Jurídico, Servicios Generales, Director de Seguridad Publica y Transito Municipal. Secretario Técnico de Seguridad Pública, Salud, Fomento Agropecuario, Instituto de la Mujer, Agua Potable, Unidad de Transparencia, SARE y Ventanilla Única, Empleo, Comercio, Bienestar Animal, Panteones, Salud, Cronista Municipal, Control Patrimonial, Movilidad y Transporte, Catastro, Adquisiciones ,Control Vehicular, Servicios Generales , Limpia y Recolección, Alumbrado Público, Parque y Jardines, Cultura, Asuntos Indígenas, Asuntos Internos, Comunicación Social, Sistemas Computacionales, Sistema Municipal para el Desarrollo Integral de la Familia, Instituto Municipal de cultura Física y Deporte, Instituto Municipal de la Juventud, Instituto Municipal de la Mujer, Defensoría de los Derechos Humanos.</w:t>
      </w:r>
      <w:r>
        <w:rPr>
          <w:rFonts w:ascii="Palatino Linotype" w:hAnsi="Palatino Linotype" w:cs="Arial"/>
          <w:i/>
        </w:rPr>
        <w:t>” (Sic).</w:t>
      </w:r>
      <w:bookmarkEnd w:id="1"/>
    </w:p>
    <w:p w14:paraId="01DF00DD" w14:textId="77777777" w:rsidR="002A4C3F" w:rsidRDefault="002A4C3F" w:rsidP="003338BC">
      <w:pPr>
        <w:ind w:left="567"/>
        <w:jc w:val="both"/>
        <w:rPr>
          <w:rFonts w:ascii="Palatino Linotype" w:hAnsi="Palatino Linotype" w:cs="Arial"/>
          <w:i/>
        </w:rPr>
      </w:pPr>
    </w:p>
    <w:p w14:paraId="6330E158" w14:textId="77777777" w:rsidR="002A4C3F" w:rsidRDefault="002A4C3F" w:rsidP="003338BC">
      <w:pPr>
        <w:ind w:left="567"/>
        <w:jc w:val="both"/>
        <w:rPr>
          <w:rFonts w:ascii="Palatino Linotype" w:hAnsi="Palatino Linotype" w:cs="Arial"/>
          <w:i/>
          <w:lang w:val="es-MX"/>
        </w:rPr>
      </w:pPr>
    </w:p>
    <w:p w14:paraId="327E5C11" w14:textId="77777777" w:rsidR="002A4C3F" w:rsidRDefault="002A4C3F" w:rsidP="002A4C3F">
      <w:pPr>
        <w:pStyle w:val="Sinespaciado"/>
        <w:spacing w:line="360" w:lineRule="auto"/>
        <w:jc w:val="both"/>
        <w:rPr>
          <w:rFonts w:ascii="Palatino Linotype" w:hAnsi="Palatino Linotype" w:cs="Arial"/>
        </w:rPr>
      </w:pPr>
      <w:r>
        <w:rPr>
          <w:rFonts w:ascii="Palatino Linotype" w:hAnsi="Palatino Linotype" w:cs="Arial"/>
        </w:rPr>
        <w:t>En relación a la información consistente de la entrega—recepción correspondiente a la administración 2019-2021 a la administración 2022-2024, el Sujeto Obligado no se pronunció al respecto.</w:t>
      </w:r>
    </w:p>
    <w:p w14:paraId="349EB8C4" w14:textId="77777777" w:rsidR="002A4C3F" w:rsidRDefault="002A4C3F" w:rsidP="002A4C3F">
      <w:pPr>
        <w:pStyle w:val="Sinespaciado"/>
        <w:spacing w:line="360" w:lineRule="auto"/>
        <w:jc w:val="both"/>
        <w:rPr>
          <w:rFonts w:ascii="Palatino Linotype" w:hAnsi="Palatino Linotype" w:cs="Arial"/>
        </w:rPr>
      </w:pPr>
    </w:p>
    <w:p w14:paraId="482300B5" w14:textId="77777777" w:rsidR="002A4C3F" w:rsidRDefault="002A4C3F" w:rsidP="002A4C3F">
      <w:pPr>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En ese sentido la solicitud de información se debió girar a las unidades administrativas que por sus obligaciones de rendición de cuentas debieron generar y administrar las actas de entrega recepción, sin embargo, no hubo pronunciamiento de manera particular, puntual y expresa sobre actos de entrega recepción.</w:t>
      </w:r>
    </w:p>
    <w:p w14:paraId="079B35EE" w14:textId="77777777" w:rsidR="003F0929" w:rsidRDefault="003F0929" w:rsidP="003F0929">
      <w:pPr>
        <w:autoSpaceDE w:val="0"/>
        <w:autoSpaceDN w:val="0"/>
        <w:adjustRightInd w:val="0"/>
        <w:spacing w:line="360" w:lineRule="auto"/>
        <w:jc w:val="both"/>
        <w:rPr>
          <w:rFonts w:ascii="Palatino Linotype" w:hAnsi="Palatino Linotype" w:cs="Arial"/>
          <w:lang w:val="es-419"/>
        </w:rPr>
      </w:pPr>
    </w:p>
    <w:p w14:paraId="2D4849E7" w14:textId="4F78A30F" w:rsidR="003F0929" w:rsidRDefault="00BB071F" w:rsidP="003338BC">
      <w:pPr>
        <w:spacing w:before="240" w:after="240" w:line="360" w:lineRule="auto"/>
        <w:jc w:val="both"/>
        <w:rPr>
          <w:rFonts w:ascii="Palatino Linotype" w:hAnsi="Palatino Linotype" w:cs="Arial"/>
          <w:lang w:val="es-MX"/>
        </w:rPr>
      </w:pPr>
      <w:r w:rsidRPr="00BB071F">
        <w:rPr>
          <w:rFonts w:ascii="Palatino Linotype" w:hAnsi="Palatino Linotype"/>
        </w:rPr>
        <w:lastRenderedPageBreak/>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07EDA5C3" w14:textId="77777777" w:rsidR="003338BC" w:rsidRDefault="003338BC" w:rsidP="003338BC">
      <w:pPr>
        <w:rPr>
          <w:rFonts w:ascii="Palatino Linotype" w:hAnsi="Palatino Linotype" w:cstheme="minorBidi"/>
        </w:rPr>
      </w:pPr>
    </w:p>
    <w:p w14:paraId="42FCD825" w14:textId="77777777" w:rsidR="003338BC" w:rsidRPr="002A4C3F" w:rsidRDefault="003338BC" w:rsidP="003338BC">
      <w:pPr>
        <w:spacing w:line="360" w:lineRule="auto"/>
        <w:ind w:left="1134"/>
        <w:jc w:val="both"/>
        <w:rPr>
          <w:rFonts w:ascii="Palatino Linotype" w:hAnsi="Palatino Linotype"/>
          <w:b/>
          <w:bCs/>
        </w:rPr>
      </w:pPr>
      <w:r w:rsidRPr="002A4C3F">
        <w:rPr>
          <w:rFonts w:ascii="Palatino Linotype" w:hAnsi="Palatino Linotype"/>
          <w:b/>
          <w:bCs/>
        </w:rPr>
        <w:t>1.  Documento o documentos generados con motivo de la entrega—recepción de la administración 2019-2021.</w:t>
      </w:r>
    </w:p>
    <w:p w14:paraId="78FCE705" w14:textId="77777777" w:rsidR="003338BC" w:rsidRDefault="003338BC" w:rsidP="003338BC">
      <w:pPr>
        <w:spacing w:line="360" w:lineRule="auto"/>
        <w:ind w:left="1134"/>
        <w:rPr>
          <w:rFonts w:ascii="Palatino Linotype" w:hAnsi="Palatino Linotype"/>
          <w:bCs/>
        </w:rPr>
      </w:pPr>
    </w:p>
    <w:p w14:paraId="19379405"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2. Currículum Vitae del Director de Seguridad Pública y Tránsito Municipal, Unidad de Control y Bienestar Animal, Dirección de Limpia, Unidad de Asuntos Internos, Cronista Municipal, Organismo Público Descentralizado para la prestación de servicios de Agua Potable, Alcantarillado y Saneamiento (O.P.D.A.A.S.)., Instituto Municipal de Cultura Física y Deporte de Amecameca (I.M.C.U.F.I.D.E.). y Derechos Humanos;</w:t>
      </w:r>
    </w:p>
    <w:p w14:paraId="04363832" w14:textId="77777777" w:rsidR="003338BC" w:rsidRDefault="003338BC" w:rsidP="003338BC">
      <w:pPr>
        <w:spacing w:line="360" w:lineRule="auto"/>
        <w:ind w:left="1134"/>
        <w:rPr>
          <w:rFonts w:ascii="Palatino Linotype" w:hAnsi="Palatino Linotype"/>
          <w:bCs/>
        </w:rPr>
      </w:pPr>
    </w:p>
    <w:p w14:paraId="2F16885E" w14:textId="77777777" w:rsidR="003338BC" w:rsidRDefault="003338BC" w:rsidP="002A4C3F">
      <w:pPr>
        <w:spacing w:line="360" w:lineRule="auto"/>
        <w:ind w:left="1134"/>
        <w:jc w:val="both"/>
        <w:rPr>
          <w:rFonts w:ascii="Palatino Linotype" w:hAnsi="Palatino Linotype"/>
          <w:bCs/>
        </w:rPr>
      </w:pPr>
      <w:r>
        <w:rPr>
          <w:rFonts w:ascii="Palatino Linotype" w:hAnsi="Palatino Linotype"/>
          <w:bCs/>
        </w:rPr>
        <w:t>3. Del Titular de Seguridad Pública y del Secretario Técnico de seguridad pública:</w:t>
      </w:r>
    </w:p>
    <w:p w14:paraId="621450E3" w14:textId="77777777" w:rsidR="002A4C3F" w:rsidRDefault="002A4C3F" w:rsidP="002A4C3F">
      <w:pPr>
        <w:spacing w:line="360" w:lineRule="auto"/>
        <w:ind w:left="1134"/>
        <w:jc w:val="both"/>
        <w:rPr>
          <w:rFonts w:ascii="Palatino Linotype" w:hAnsi="Palatino Linotype"/>
          <w:bCs/>
        </w:rPr>
      </w:pPr>
    </w:p>
    <w:p w14:paraId="0E7A4C74" w14:textId="77777777" w:rsidR="003338BC" w:rsidRDefault="003338BC" w:rsidP="002A4C3F">
      <w:pPr>
        <w:pStyle w:val="Prrafodelista"/>
        <w:numPr>
          <w:ilvl w:val="0"/>
          <w:numId w:val="33"/>
        </w:numPr>
        <w:spacing w:line="360" w:lineRule="auto"/>
        <w:ind w:left="1134" w:firstLine="0"/>
        <w:contextualSpacing w:val="0"/>
        <w:jc w:val="both"/>
        <w:rPr>
          <w:rFonts w:ascii="Palatino Linotype" w:hAnsi="Palatino Linotype"/>
          <w:bCs/>
        </w:rPr>
      </w:pPr>
      <w:r>
        <w:rPr>
          <w:rFonts w:ascii="Palatino Linotype" w:hAnsi="Palatino Linotype"/>
          <w:bCs/>
        </w:rPr>
        <w:t xml:space="preserve"> La certificación emitida por el Centro Nacional de Certificación y Acreditación;</w:t>
      </w:r>
    </w:p>
    <w:p w14:paraId="04D3AA81" w14:textId="77777777" w:rsidR="003338BC" w:rsidRDefault="003338BC" w:rsidP="003338BC">
      <w:pPr>
        <w:spacing w:line="360" w:lineRule="auto"/>
        <w:ind w:left="1134"/>
        <w:jc w:val="both"/>
        <w:rPr>
          <w:rFonts w:ascii="Palatino Linotype" w:hAnsi="Palatino Linotype"/>
          <w:bCs/>
        </w:rPr>
      </w:pPr>
    </w:p>
    <w:p w14:paraId="4740B85B"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4. Del Titular de Unidad de Transparencia y Dirección de la Mujer:</w:t>
      </w:r>
    </w:p>
    <w:p w14:paraId="18ED5C51"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a) La Certificación de Competencia Laboral;</w:t>
      </w:r>
    </w:p>
    <w:p w14:paraId="64FB606C" w14:textId="77777777" w:rsidR="003338BC" w:rsidRDefault="003338BC" w:rsidP="003338BC">
      <w:pPr>
        <w:spacing w:line="360" w:lineRule="auto"/>
        <w:ind w:left="1134"/>
        <w:rPr>
          <w:rFonts w:ascii="Palatino Linotype" w:hAnsi="Palatino Linotype"/>
          <w:bCs/>
        </w:rPr>
      </w:pPr>
    </w:p>
    <w:p w14:paraId="1AAEF6A3" w14:textId="77777777" w:rsidR="003338BC" w:rsidRDefault="003338BC" w:rsidP="003338BC">
      <w:pPr>
        <w:spacing w:line="360" w:lineRule="auto"/>
        <w:ind w:left="1134"/>
        <w:rPr>
          <w:rFonts w:ascii="Palatino Linotype" w:hAnsi="Palatino Linotype"/>
          <w:bCs/>
        </w:rPr>
      </w:pPr>
      <w:r>
        <w:rPr>
          <w:rFonts w:ascii="Palatino Linotype" w:hAnsi="Palatino Linotype"/>
          <w:bCs/>
        </w:rPr>
        <w:t>5. Del Titular de Derechos Humanos:</w:t>
      </w:r>
    </w:p>
    <w:p w14:paraId="4538982B"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a) Certificación en materia de Derechos Humanos, emitida por la Comisión de Derechos Humanos del Estado de México;</w:t>
      </w:r>
    </w:p>
    <w:p w14:paraId="27327201" w14:textId="77777777" w:rsidR="003338BC" w:rsidRDefault="003338BC" w:rsidP="003338BC">
      <w:pPr>
        <w:spacing w:line="360" w:lineRule="auto"/>
        <w:ind w:left="1134"/>
        <w:jc w:val="both"/>
        <w:rPr>
          <w:rFonts w:ascii="Palatino Linotype" w:hAnsi="Palatino Linotype"/>
          <w:bCs/>
        </w:rPr>
      </w:pPr>
    </w:p>
    <w:p w14:paraId="554C55AC" w14:textId="77777777" w:rsidR="003338BC" w:rsidRDefault="003338BC" w:rsidP="003338BC">
      <w:pPr>
        <w:spacing w:line="360" w:lineRule="auto"/>
        <w:ind w:left="1134"/>
        <w:jc w:val="both"/>
        <w:rPr>
          <w:rFonts w:ascii="Palatino Linotype" w:hAnsi="Palatino Linotype" w:cs="Arial"/>
          <w:lang w:eastAsia="es-MX"/>
        </w:rPr>
      </w:pPr>
      <w:r>
        <w:rPr>
          <w:rFonts w:ascii="Palatino Linotype" w:hAnsi="Palatino Linotype"/>
          <w:bCs/>
        </w:rPr>
        <w:t xml:space="preserve">6. De los Titulares de </w:t>
      </w:r>
      <w:r>
        <w:rPr>
          <w:rFonts w:ascii="Palatino Linotype" w:hAnsi="Palatino Linotype" w:cs="Arial"/>
          <w:lang w:eastAsia="es-MX"/>
        </w:rPr>
        <w:t>Unidad de Control y Bienestar Animal, Instituto Municipal de Cultura Física y Deporte de Amecameca (I.M.C.U.F.I.D.E.)., Dirección de la Mujer y Derechos Humanos:</w:t>
      </w:r>
    </w:p>
    <w:p w14:paraId="6C7F81FF" w14:textId="77777777" w:rsidR="003338BC" w:rsidRDefault="003338BC" w:rsidP="003338BC">
      <w:pPr>
        <w:spacing w:line="360" w:lineRule="auto"/>
        <w:ind w:left="1134"/>
        <w:jc w:val="both"/>
        <w:rPr>
          <w:rFonts w:ascii="Palatino Linotype" w:hAnsi="Palatino Linotype" w:cstheme="minorBidi"/>
          <w:bCs/>
          <w:lang w:eastAsia="en-US"/>
        </w:rPr>
      </w:pPr>
      <w:r>
        <w:rPr>
          <w:rFonts w:ascii="Palatino Linotype" w:hAnsi="Palatino Linotype"/>
          <w:bCs/>
        </w:rPr>
        <w:t>a) Título Profesional</w:t>
      </w:r>
    </w:p>
    <w:p w14:paraId="72AAFDA8" w14:textId="77777777" w:rsidR="003338BC" w:rsidRDefault="003338BC" w:rsidP="003338BC">
      <w:pPr>
        <w:spacing w:line="360" w:lineRule="auto"/>
        <w:ind w:left="1134"/>
        <w:jc w:val="both"/>
        <w:rPr>
          <w:rFonts w:ascii="Palatino Linotype" w:hAnsi="Palatino Linotype"/>
          <w:bCs/>
        </w:rPr>
      </w:pPr>
    </w:p>
    <w:p w14:paraId="24D21722"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 xml:space="preserve">7. Del Titular de </w:t>
      </w:r>
      <w:r>
        <w:rPr>
          <w:rFonts w:ascii="Palatino Linotype" w:eastAsia="Calibri" w:hAnsi="Palatino Linotype"/>
          <w:lang w:val="es-ES_tradnl"/>
        </w:rPr>
        <w:t>Unidad de Transparencia, Director Jurídico y de Gobierno, Director de Seguridad Pública y Tránsito Municipal, Secretario Técnico de Seguridad Pública, Dirección de Alumbrado Público, Parques, Jardines y Panteones, Dirección de Limpia, Unidad de Asuntos Internos, Coordinación de Comunicación Social, Cronista Municipal, Organismo Público Descentralizado para la prestación de servicios de Agua Potable, Alcantarillado y Saneamiento (O.P.D.A.A.S.).:</w:t>
      </w:r>
    </w:p>
    <w:p w14:paraId="2ACE4BFE"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a) Documento en el que conste su nivel de estudios;</w:t>
      </w:r>
    </w:p>
    <w:p w14:paraId="4746248B" w14:textId="77777777" w:rsidR="003338BC" w:rsidRDefault="003338BC" w:rsidP="003338BC">
      <w:pPr>
        <w:spacing w:line="360" w:lineRule="auto"/>
        <w:ind w:left="1134"/>
        <w:jc w:val="both"/>
        <w:rPr>
          <w:rFonts w:ascii="Palatino Linotype" w:hAnsi="Palatino Linotype"/>
          <w:bCs/>
        </w:rPr>
      </w:pPr>
    </w:p>
    <w:p w14:paraId="68F4B718"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 xml:space="preserve">8. Del Titular de </w:t>
      </w:r>
      <w:r>
        <w:rPr>
          <w:rFonts w:ascii="Palatino Linotype" w:eastAsia="Calibri" w:hAnsi="Palatino Linotype"/>
          <w:lang w:val="es-ES_tradnl"/>
        </w:rPr>
        <w:t xml:space="preserve">Unidad de Transparencia, Director Jurídico y de Gobierno, Director de Seguridad Pública y Tránsito Municipal, Secretario Técnico de Seguridad Pública, Dirección de Alumbrado Público, Parques, Jardines y Panteones, Dirección de Limpia, Unidad de Asuntos Internos, </w:t>
      </w:r>
      <w:r>
        <w:rPr>
          <w:rFonts w:ascii="Palatino Linotype" w:eastAsia="Calibri" w:hAnsi="Palatino Linotype"/>
          <w:lang w:val="es-ES_tradnl"/>
        </w:rPr>
        <w:lastRenderedPageBreak/>
        <w:t xml:space="preserve">Coordinación de Comunicación Social, Cronista Municipal, Organismo Público Descentralizado para la prestación de servicios de Agua Potable, Alcantarillado y Saneamiento (O.P.D.A.A.S.)., </w:t>
      </w:r>
      <w:r>
        <w:rPr>
          <w:rFonts w:ascii="Palatino Linotype" w:hAnsi="Palatino Linotype" w:cs="Arial"/>
          <w:lang w:eastAsia="es-MX"/>
        </w:rPr>
        <w:t>Unidad de Control y Bienestar Animal, Instituto Municipal de Cultura Física y Deporte de Amecameca (I.M.C.U.F.I.D.E.)., Dirección de la Mujer y Derechos Humanos</w:t>
      </w:r>
      <w:r>
        <w:rPr>
          <w:rFonts w:ascii="Palatino Linotype" w:hAnsi="Palatino Linotype"/>
          <w:bCs/>
        </w:rPr>
        <w:t>:</w:t>
      </w:r>
    </w:p>
    <w:p w14:paraId="0F210251"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a) La constancia de no inhabilitación; y</w:t>
      </w:r>
    </w:p>
    <w:p w14:paraId="006294CD"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b) Constancia de No Antecedentes Penales</w:t>
      </w:r>
    </w:p>
    <w:p w14:paraId="60F338DD" w14:textId="77777777" w:rsidR="003338BC" w:rsidRDefault="003338BC" w:rsidP="003338BC">
      <w:pPr>
        <w:spacing w:line="360" w:lineRule="auto"/>
        <w:ind w:left="1134"/>
        <w:jc w:val="both"/>
        <w:rPr>
          <w:rFonts w:ascii="Palatino Linotype" w:hAnsi="Palatino Linotype"/>
          <w:bCs/>
        </w:rPr>
      </w:pPr>
      <w:r>
        <w:rPr>
          <w:rFonts w:ascii="Palatino Linotype" w:hAnsi="Palatino Linotype"/>
          <w:bCs/>
        </w:rPr>
        <w:t xml:space="preserve">c) </w:t>
      </w:r>
      <w:r>
        <w:rPr>
          <w:rFonts w:ascii="Palatino Linotype" w:hAnsi="Palatino Linotype"/>
          <w:color w:val="222222"/>
          <w:shd w:val="clear" w:color="auto" w:fill="FFFFFF"/>
        </w:rPr>
        <w:t>El Acuerdo del Comité de Transparencia por medio del cual clasifique en su totalidad como </w:t>
      </w:r>
      <w:r>
        <w:rPr>
          <w:rFonts w:ascii="Palatino Linotype" w:hAnsi="Palatino Linotype"/>
          <w:b/>
          <w:bCs/>
          <w:color w:val="222222"/>
          <w:shd w:val="clear" w:color="auto" w:fill="FFFFFF"/>
        </w:rPr>
        <w:t>CONFIDENCIAL</w:t>
      </w:r>
      <w:r>
        <w:rPr>
          <w:rFonts w:ascii="Palatino Linotype" w:hAnsi="Palatino Linotype"/>
          <w:color w:val="222222"/>
          <w:shd w:val="clear" w:color="auto" w:fill="FFFFFF"/>
        </w:rPr>
        <w:t>, los documentos referentes a las Actas de Nacimiento y Registro de No Deudor Alimentario Moroso.</w:t>
      </w:r>
    </w:p>
    <w:p w14:paraId="6DD95F8F" w14:textId="77777777" w:rsidR="003338BC" w:rsidRDefault="003338BC" w:rsidP="003338BC">
      <w:pPr>
        <w:ind w:left="1134"/>
        <w:jc w:val="both"/>
        <w:rPr>
          <w:rFonts w:ascii="Palatino Linotype" w:hAnsi="Palatino Linotype"/>
          <w:i/>
          <w:sz w:val="22"/>
          <w:szCs w:val="22"/>
        </w:rPr>
      </w:pPr>
    </w:p>
    <w:p w14:paraId="4689DF07" w14:textId="77777777" w:rsidR="003338BC" w:rsidRPr="002A4C3F" w:rsidRDefault="003338BC" w:rsidP="003338BC">
      <w:pPr>
        <w:autoSpaceDE w:val="0"/>
        <w:autoSpaceDN w:val="0"/>
        <w:adjustRightInd w:val="0"/>
        <w:spacing w:line="360" w:lineRule="auto"/>
        <w:jc w:val="both"/>
        <w:rPr>
          <w:rFonts w:ascii="Palatino Linotype" w:eastAsia="Palatino Linotype" w:hAnsi="Palatino Linotype" w:cs="Palatino Linotype"/>
          <w:lang w:val="es-419"/>
        </w:rPr>
      </w:pPr>
    </w:p>
    <w:p w14:paraId="765F4F89" w14:textId="0D36C54B" w:rsidR="002A4C3F" w:rsidRPr="002A4C3F" w:rsidRDefault="002A4C3F" w:rsidP="002A4C3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lang w:val="es-419"/>
        </w:rPr>
        <w:t>Se indica r</w:t>
      </w:r>
      <w:r w:rsidRPr="002A4C3F">
        <w:rPr>
          <w:rFonts w:ascii="Palatino Linotype" w:eastAsia="Palatino Linotype" w:hAnsi="Palatino Linotype" w:cs="Palatino Linotype"/>
          <w:lang w:val="es-419"/>
        </w:rPr>
        <w:t>especto de la información que se ordena en el punto 1 del Resolutivo</w:t>
      </w:r>
      <w:r>
        <w:rPr>
          <w:rFonts w:ascii="Palatino Linotype" w:eastAsia="Palatino Linotype" w:hAnsi="Palatino Linotype" w:cs="Palatino Linotype"/>
          <w:lang w:val="es-419"/>
        </w:rPr>
        <w:t xml:space="preserve"> Segundo</w:t>
      </w:r>
      <w:r w:rsidRPr="002A4C3F">
        <w:rPr>
          <w:rFonts w:ascii="Palatino Linotype" w:eastAsia="Palatino Linotype" w:hAnsi="Palatino Linotype" w:cs="Palatino Linotype"/>
          <w:lang w:val="es-419"/>
        </w:rPr>
        <w:t>, en caso de que las observaciones señaladas en el Acta Entrega Recepción deriven en un procedimiento administrativo, el Sujeto deberá de hacerlo del conocimiento de la particular, remitiendo el Acta de Comité de Transparencia donde funde y motive la reserva de la información.</w:t>
      </w:r>
    </w:p>
    <w:p w14:paraId="6F2AA939" w14:textId="77777777" w:rsidR="003338BC" w:rsidRDefault="003338BC" w:rsidP="003338BC">
      <w:pPr>
        <w:autoSpaceDE w:val="0"/>
        <w:autoSpaceDN w:val="0"/>
        <w:adjustRightInd w:val="0"/>
        <w:spacing w:line="360" w:lineRule="auto"/>
        <w:ind w:right="49"/>
        <w:jc w:val="both"/>
        <w:rPr>
          <w:rFonts w:ascii="Palatino Linotype" w:hAnsi="Palatino Linotype" w:cs="Arial"/>
          <w:b/>
          <w:sz w:val="28"/>
          <w:szCs w:val="28"/>
          <w:lang w:val="es-ES_tradnl"/>
        </w:rPr>
      </w:pPr>
    </w:p>
    <w:p w14:paraId="64B311D8" w14:textId="74A5B3A6" w:rsidR="002A4C3F" w:rsidRDefault="003338BC" w:rsidP="002A4C3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determina que si </w:t>
      </w:r>
      <w:r>
        <w:rPr>
          <w:rFonts w:ascii="Palatino Linotype" w:eastAsia="Palatino Linotype" w:hAnsi="Palatino Linotype" w:cs="Palatino Linotype"/>
          <w:lang w:val="es-419"/>
        </w:rPr>
        <w:t xml:space="preserve">la información o datos </w:t>
      </w:r>
      <w:r>
        <w:rPr>
          <w:rFonts w:ascii="Palatino Linotype" w:eastAsia="Palatino Linotype" w:hAnsi="Palatino Linotype" w:cs="Palatino Linotype"/>
        </w:rPr>
        <w:t>requerid</w:t>
      </w:r>
      <w:r>
        <w:rPr>
          <w:rFonts w:ascii="Palatino Linotype" w:eastAsia="Palatino Linotype" w:hAnsi="Palatino Linotype" w:cs="Palatino Linotype"/>
          <w:lang w:val="es-419"/>
        </w:rPr>
        <w:t>os</w:t>
      </w:r>
      <w:r>
        <w:rPr>
          <w:rFonts w:ascii="Palatino Linotype" w:eastAsia="Palatino Linotype" w:hAnsi="Palatino Linotype" w:cs="Palatino Linotype"/>
        </w:rPr>
        <w:t xml:space="preserve"> por la particular, están contenidos en expedientes </w:t>
      </w:r>
      <w:r w:rsidR="002A4C3F">
        <w:rPr>
          <w:rFonts w:ascii="Palatino Linotype" w:eastAsia="Palatino Linotype" w:hAnsi="Palatino Linotype" w:cs="Palatino Linotype"/>
        </w:rPr>
        <w:t xml:space="preserve">derivados de </w:t>
      </w:r>
      <w:r w:rsidR="002A4C3F" w:rsidRPr="002A4C3F">
        <w:rPr>
          <w:rFonts w:ascii="Palatino Linotype" w:eastAsia="Palatino Linotype" w:hAnsi="Palatino Linotype" w:cs="Palatino Linotype"/>
          <w:b/>
        </w:rPr>
        <w:t>Procedimientos de sanciones graves absolutorias concluidos</w:t>
      </w:r>
      <w:r w:rsidR="002A4C3F">
        <w:rPr>
          <w:rFonts w:ascii="Palatino Linotype" w:eastAsia="Palatino Linotype" w:hAnsi="Palatino Linotype" w:cs="Palatino Linotype"/>
        </w:rPr>
        <w:t xml:space="preserve"> </w:t>
      </w:r>
      <w:r>
        <w:rPr>
          <w:rFonts w:ascii="Palatino Linotype" w:eastAsia="Palatino Linotype" w:hAnsi="Palatino Linotype" w:cs="Palatino Linotype"/>
        </w:rPr>
        <w:t>se procederá a su acceso en versión pública, protegiendo el nombre, cargo</w:t>
      </w:r>
      <w:r>
        <w:rPr>
          <w:rFonts w:ascii="Palatino Linotype" w:eastAsia="Palatino Linotype" w:hAnsi="Palatino Linotype" w:cs="Palatino Linotype"/>
          <w:lang w:val="es-419"/>
        </w:rPr>
        <w:t>, presunta falta cometida, presunta fecha de comisión</w:t>
      </w:r>
      <w:r>
        <w:rPr>
          <w:rFonts w:ascii="Palatino Linotype" w:eastAsia="Palatino Linotype" w:hAnsi="Palatino Linotype" w:cs="Palatino Linotype"/>
        </w:rPr>
        <w:t xml:space="preserve"> y área de </w:t>
      </w:r>
      <w:r>
        <w:rPr>
          <w:rFonts w:ascii="Palatino Linotype" w:eastAsia="Palatino Linotype" w:hAnsi="Palatino Linotype" w:cs="Palatino Linotype"/>
        </w:rPr>
        <w:lastRenderedPageBreak/>
        <w:t>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w:t>
      </w:r>
      <w:r w:rsidR="002A4C3F">
        <w:rPr>
          <w:rFonts w:ascii="Palatino Linotype" w:eastAsia="Palatino Linotype" w:hAnsi="Palatino Linotype" w:cs="Palatino Linotype"/>
        </w:rPr>
        <w:t>tos.</w:t>
      </w:r>
    </w:p>
    <w:p w14:paraId="114A5A20" w14:textId="77777777" w:rsidR="003338BC" w:rsidRDefault="003338BC" w:rsidP="003338BC">
      <w:pPr>
        <w:spacing w:line="360" w:lineRule="auto"/>
        <w:jc w:val="both"/>
        <w:rPr>
          <w:rFonts w:ascii="Palatino Linotype" w:eastAsia="Palatino Linotype" w:hAnsi="Palatino Linotype" w:cs="Palatino Linotype"/>
        </w:rPr>
      </w:pPr>
    </w:p>
    <w:p w14:paraId="6C4FC206" w14:textId="33A7622B"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Sin embargo contrario al criterio mayoritario, </w:t>
      </w:r>
      <w:r w:rsidR="0083108D">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 xml:space="preserve"> 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como confidencial del nombre y cargo del servidor público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w:t>
      </w:r>
      <w:r w:rsidRPr="004B2706">
        <w:rPr>
          <w:rFonts w:ascii="Palatino Linotype" w:hAnsi="Palatino Linotype" w:cs="Arial"/>
        </w:rPr>
        <w:lastRenderedPageBreak/>
        <w:t xml:space="preserve">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 xml:space="preserve">Academia Española, los actos de corrupción </w:t>
      </w:r>
      <w:r w:rsidRPr="00B703D7">
        <w:rPr>
          <w:rFonts w:ascii="Palatino Linotype" w:hAnsi="Palatino Linotype"/>
        </w:rPr>
        <w:lastRenderedPageBreak/>
        <w:t>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w:t>
      </w:r>
      <w:r w:rsidRPr="00CF3F65">
        <w:rPr>
          <w:rFonts w:ascii="Palatino Linotype" w:hAnsi="Palatino Linotype"/>
        </w:rPr>
        <w:lastRenderedPageBreak/>
        <w:t xml:space="preserve">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w:t>
      </w:r>
      <w:r w:rsidRPr="00CF3F65">
        <w:rPr>
          <w:rFonts w:ascii="Palatino Linotype" w:hAnsi="Palatino Linotype"/>
        </w:rPr>
        <w:lastRenderedPageBreak/>
        <w:t xml:space="preserve">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2"/>
    </w:p>
    <w:p w14:paraId="0B338AC4" w14:textId="4B1DB6FD"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615B7E" w:rsidRPr="00615B7E">
        <w:rPr>
          <w:rFonts w:ascii="Palatino Linotype" w:eastAsia="Palatino Linotype" w:hAnsi="Palatino Linotype" w:cs="Palatino Linotype"/>
          <w:u w:val="single"/>
        </w:rPr>
        <w:t>nombre y cargo, área de</w:t>
      </w:r>
      <w:r w:rsidR="00615B7E">
        <w:rPr>
          <w:rFonts w:ascii="Palatino Linotype" w:eastAsia="Palatino Linotype" w:hAnsi="Palatino Linotype" w:cs="Palatino Linotype"/>
          <w:u w:val="single"/>
        </w:rPr>
        <w:t xml:space="preserve"> adscripción</w:t>
      </w:r>
      <w:r w:rsidR="00615B7E" w:rsidRPr="00615B7E">
        <w:rPr>
          <w:rFonts w:ascii="Palatino Linotype" w:eastAsia="Palatino Linotype" w:hAnsi="Palatino Linotype" w:cs="Palatino Linotype"/>
          <w:u w:val="single"/>
        </w:rPr>
        <w:t xml:space="preserve"> </w:t>
      </w:r>
      <w:r w:rsidR="00615B7E">
        <w:rPr>
          <w:rFonts w:ascii="Palatino Linotype" w:eastAsia="Palatino Linotype" w:hAnsi="Palatino Linotype" w:cs="Palatino Linotype"/>
          <w:u w:val="single"/>
        </w:rPr>
        <w:t>y aquellos datos personales que hagan identificable a una persona de los Servidores Públicos absueltos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282E" w14:textId="77777777" w:rsidR="00F12A49" w:rsidRDefault="00F12A49" w:rsidP="00C80F8C">
      <w:r>
        <w:separator/>
      </w:r>
    </w:p>
  </w:endnote>
  <w:endnote w:type="continuationSeparator" w:id="0">
    <w:p w14:paraId="160AECBD" w14:textId="77777777" w:rsidR="00F12A49" w:rsidRDefault="00F12A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AA40" w14:textId="77777777" w:rsidR="00F12A49" w:rsidRDefault="00F12A49" w:rsidP="00C80F8C">
      <w:r>
        <w:separator/>
      </w:r>
    </w:p>
  </w:footnote>
  <w:footnote w:type="continuationSeparator" w:id="0">
    <w:p w14:paraId="57D6A2E2" w14:textId="77777777" w:rsidR="00F12A49" w:rsidRDefault="00F12A49"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r>
        <w:t>://www.oecd.org/corruption/ethics/estudio-integridad-mexico-aspectos-claves.p</w:t>
      </w:r>
      <w:r w:rsidR="00B05E5A">
        <w:t xml:space="preserve">df, p.3. </w:t>
      </w:r>
    </w:p>
  </w:footnote>
  <w:footnote w:id="5">
    <w:p w14:paraId="0B030E72" w14:textId="3129FDD7" w:rsidR="00B703D7" w:rsidRPr="00BA0E80" w:rsidRDefault="00B703D7" w:rsidP="00B703D7">
      <w:pPr>
        <w:pStyle w:val="Textonotapie"/>
        <w:jc w:val="both"/>
        <w:rPr>
          <w:lang w:val="en-US"/>
        </w:rPr>
      </w:pPr>
      <w:r>
        <w:rPr>
          <w:rStyle w:val="Refdenotaalpie"/>
        </w:rPr>
        <w:footnoteRef/>
      </w:r>
      <w:r w:rsidRPr="00BA0E80">
        <w:rPr>
          <w:lang w:val="en-US"/>
        </w:rPr>
        <w:t>Transparency International, Corruption perceptions index 2017, https://www.transparency.org/news/feature/corruption_perceptions_index_2017.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5E4EB22B" w14:textId="77777777" w:rsidR="003338BC" w:rsidRDefault="00F47FB5" w:rsidP="00F47FB5">
    <w:pPr>
      <w:pStyle w:val="Encabezado"/>
      <w:ind w:left="2835" w:right="-250"/>
      <w:rPr>
        <w:rFonts w:ascii="Palatino Linotype" w:hAnsi="Palatino Linotype" w:cs="Tahoma"/>
        <w:b/>
      </w:rPr>
    </w:pPr>
    <w:r>
      <w:rPr>
        <w:rFonts w:ascii="Palatino Linotype" w:hAnsi="Palatino Linotype" w:cs="Tahoma"/>
        <w:b/>
      </w:rPr>
      <w:t xml:space="preserve">Recurso de Revisión: </w:t>
    </w:r>
    <w:r w:rsidR="003338BC">
      <w:rPr>
        <w:rFonts w:ascii="Palatino Linotype" w:hAnsi="Palatino Linotype" w:cs="Arial"/>
        <w:b/>
      </w:rPr>
      <w:t>13855</w:t>
    </w:r>
    <w:r w:rsidR="003338BC">
      <w:rPr>
        <w:rFonts w:ascii="Palatino Linotype" w:hAnsi="Palatino Linotype" w:cs="Arial"/>
        <w:b/>
        <w:bCs/>
        <w:lang w:eastAsia="es-MX"/>
      </w:rPr>
      <w:t>/INFOEM/IP/RR/2022</w:t>
    </w:r>
    <w:r w:rsidR="003338BC">
      <w:rPr>
        <w:rFonts w:ascii="Palatino Linotype" w:hAnsi="Palatino Linotype" w:cs="Tahoma"/>
        <w:b/>
      </w:rPr>
      <w:t xml:space="preserve"> </w:t>
    </w:r>
  </w:p>
  <w:p w14:paraId="7C6E0514" w14:textId="00D748FC" w:rsidR="00F47FB5" w:rsidRPr="00F47FB5" w:rsidRDefault="00F47FB5" w:rsidP="00F47FB5">
    <w:pPr>
      <w:pStyle w:val="Encabezado"/>
      <w:ind w:left="2835" w:right="-250"/>
      <w:rPr>
        <w:rFonts w:ascii="Palatino Linotype" w:hAnsi="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3338BC">
      <w:rPr>
        <w:rFonts w:ascii="Palatino Linotype" w:hAnsi="Palatino Linotype" w:cs="Arial"/>
        <w:b/>
      </w:rPr>
      <w:t>Ayuntamiento de Amecameca</w:t>
    </w:r>
  </w:p>
  <w:p w14:paraId="529674EB" w14:textId="64D23177" w:rsidR="00634485" w:rsidRPr="00F47FB5" w:rsidRDefault="00F47FB5" w:rsidP="00F47FB5">
    <w:pPr>
      <w:pStyle w:val="Encabezado"/>
      <w:ind w:left="2835" w:right="-250"/>
      <w:rPr>
        <w:rFonts w:ascii="Palatino Linotype" w:eastAsia="Palatino Linotype" w:hAnsi="Palatino Linotype" w:cs="Palatino Linotype"/>
      </w:rPr>
    </w:pPr>
    <w:r>
      <w:rPr>
        <w:rFonts w:ascii="Palatino Linotype" w:hAnsi="Palatino Linotype" w:cs="Tahoma"/>
        <w:b/>
      </w:rPr>
      <w:t xml:space="preserve">Comisionado Ponente: </w:t>
    </w:r>
    <w:r w:rsidR="003F0929">
      <w:rPr>
        <w:rFonts w:ascii="Palatino Linotype" w:eastAsia="Palatino Linotype" w:hAnsi="Palatino Linotype" w:cs="Palatino Linotype"/>
      </w:rPr>
      <w:t>José Martínez Vilchis</w:t>
    </w:r>
  </w:p>
  <w:p w14:paraId="71104997" w14:textId="77777777" w:rsidR="00634485" w:rsidRDefault="00634485" w:rsidP="00F47FB5">
    <w:pPr>
      <w:pStyle w:val="Encabezado"/>
      <w:tabs>
        <w:tab w:val="clear" w:pos="4252"/>
        <w:tab w:val="clear" w:pos="8504"/>
        <w:tab w:val="left" w:pos="23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5"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7516167">
    <w:abstractNumId w:val="1"/>
  </w:num>
  <w:num w:numId="2" w16cid:durableId="59989696">
    <w:abstractNumId w:val="31"/>
  </w:num>
  <w:num w:numId="3" w16cid:durableId="370962961">
    <w:abstractNumId w:val="7"/>
  </w:num>
  <w:num w:numId="4" w16cid:durableId="1788230933">
    <w:abstractNumId w:val="11"/>
  </w:num>
  <w:num w:numId="5" w16cid:durableId="1982877923">
    <w:abstractNumId w:val="24"/>
  </w:num>
  <w:num w:numId="6" w16cid:durableId="1039821585">
    <w:abstractNumId w:val="22"/>
  </w:num>
  <w:num w:numId="7" w16cid:durableId="1895895520">
    <w:abstractNumId w:val="18"/>
  </w:num>
  <w:num w:numId="8" w16cid:durableId="1729108272">
    <w:abstractNumId w:val="27"/>
  </w:num>
  <w:num w:numId="9" w16cid:durableId="1982929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3207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2088124">
    <w:abstractNumId w:val="8"/>
  </w:num>
  <w:num w:numId="12" w16cid:durableId="1141270733">
    <w:abstractNumId w:val="28"/>
  </w:num>
  <w:num w:numId="13" w16cid:durableId="142241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017229">
    <w:abstractNumId w:val="21"/>
  </w:num>
  <w:num w:numId="15" w16cid:durableId="1580166234">
    <w:abstractNumId w:val="15"/>
  </w:num>
  <w:num w:numId="16" w16cid:durableId="1512067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756299">
    <w:abstractNumId w:val="23"/>
  </w:num>
  <w:num w:numId="18" w16cid:durableId="106961772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6618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3672997">
    <w:abstractNumId w:val="17"/>
  </w:num>
  <w:num w:numId="21" w16cid:durableId="2138137696">
    <w:abstractNumId w:val="16"/>
  </w:num>
  <w:num w:numId="22" w16cid:durableId="1594892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46601">
    <w:abstractNumId w:val="6"/>
  </w:num>
  <w:num w:numId="24" w16cid:durableId="50871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9630901">
    <w:abstractNumId w:val="3"/>
  </w:num>
  <w:num w:numId="26" w16cid:durableId="369188053">
    <w:abstractNumId w:val="29"/>
  </w:num>
  <w:num w:numId="27" w16cid:durableId="1030640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7689351">
    <w:abstractNumId w:val="19"/>
  </w:num>
  <w:num w:numId="29" w16cid:durableId="326252480">
    <w:abstractNumId w:val="23"/>
  </w:num>
  <w:num w:numId="30" w16cid:durableId="616566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823922">
    <w:abstractNumId w:val="13"/>
  </w:num>
  <w:num w:numId="32" w16cid:durableId="597834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97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4910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802DC"/>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A4C3F"/>
    <w:rsid w:val="002D5B21"/>
    <w:rsid w:val="002E7D97"/>
    <w:rsid w:val="003026CE"/>
    <w:rsid w:val="00312863"/>
    <w:rsid w:val="00326EEA"/>
    <w:rsid w:val="003338BC"/>
    <w:rsid w:val="003448F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15B7E"/>
    <w:rsid w:val="00621357"/>
    <w:rsid w:val="00634485"/>
    <w:rsid w:val="00665800"/>
    <w:rsid w:val="0067340C"/>
    <w:rsid w:val="00676638"/>
    <w:rsid w:val="0068101D"/>
    <w:rsid w:val="00685B0E"/>
    <w:rsid w:val="006A7AB7"/>
    <w:rsid w:val="006B2674"/>
    <w:rsid w:val="006E6389"/>
    <w:rsid w:val="006F0A6E"/>
    <w:rsid w:val="006F30F8"/>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12F10"/>
    <w:rsid w:val="00820022"/>
    <w:rsid w:val="00820034"/>
    <w:rsid w:val="0083108D"/>
    <w:rsid w:val="00861117"/>
    <w:rsid w:val="00861A61"/>
    <w:rsid w:val="00892AFC"/>
    <w:rsid w:val="008B0A68"/>
    <w:rsid w:val="008C19BE"/>
    <w:rsid w:val="008C2C2F"/>
    <w:rsid w:val="008C3C4B"/>
    <w:rsid w:val="008D1526"/>
    <w:rsid w:val="008F67BC"/>
    <w:rsid w:val="00956B18"/>
    <w:rsid w:val="00961995"/>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A0E80"/>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E0FA6"/>
    <w:rsid w:val="00CF3F65"/>
    <w:rsid w:val="00D03369"/>
    <w:rsid w:val="00D20156"/>
    <w:rsid w:val="00D36ABC"/>
    <w:rsid w:val="00D96441"/>
    <w:rsid w:val="00DC2CB7"/>
    <w:rsid w:val="00DC3082"/>
    <w:rsid w:val="00DD45AC"/>
    <w:rsid w:val="00DD5CD5"/>
    <w:rsid w:val="00DE1629"/>
    <w:rsid w:val="00DE5C27"/>
    <w:rsid w:val="00E37AE3"/>
    <w:rsid w:val="00E429BA"/>
    <w:rsid w:val="00EF3513"/>
    <w:rsid w:val="00F05A30"/>
    <w:rsid w:val="00F12A49"/>
    <w:rsid w:val="00F47FB5"/>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FC59F-6E26-4705-A905-89F3658D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2876</Words>
  <Characters>15818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2023-02-07T21:56:00Z</cp:lastPrinted>
  <dcterms:created xsi:type="dcterms:W3CDTF">2023-04-11T01:49:00Z</dcterms:created>
  <dcterms:modified xsi:type="dcterms:W3CDTF">2024-02-02T19:10:00Z</dcterms:modified>
</cp:coreProperties>
</file>