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C21C" w14:textId="6906952A" w:rsidR="001E6365" w:rsidRDefault="001E6365" w:rsidP="00F924FE">
      <w:pPr>
        <w:spacing w:after="0" w:line="360" w:lineRule="auto"/>
        <w:ind w:right="-93"/>
        <w:contextualSpacing/>
        <w:jc w:val="both"/>
        <w:rPr>
          <w:rFonts w:ascii="Palatino Linotype" w:eastAsia="Palatino Linotype" w:hAnsi="Palatino Linotype" w:cs="Palatino Linotype"/>
          <w:b/>
          <w:sz w:val="24"/>
          <w:szCs w:val="24"/>
        </w:rPr>
      </w:pPr>
      <w:r w:rsidRPr="00C569A8">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w:t>
      </w:r>
      <w:r w:rsidR="00D47073" w:rsidRPr="00C569A8">
        <w:rPr>
          <w:rFonts w:ascii="Palatino Linotype" w:hAnsi="Palatino Linotype" w:cs="Tahoma"/>
          <w:b/>
        </w:rPr>
        <w:t xml:space="preserve">DE DATOS PERSONALES DEL ESTADO DE MÉXICO Y MUNICIPIOS AL RECURSO DE REVISIÓN </w:t>
      </w:r>
      <w:r w:rsidR="00D47073">
        <w:rPr>
          <w:rFonts w:ascii="Palatino Linotype" w:eastAsia="Palatino Linotype" w:hAnsi="Palatino Linotype" w:cs="Palatino Linotype"/>
          <w:b/>
        </w:rPr>
        <w:t>03339/INFOEM/IP/RR/2023</w:t>
      </w:r>
      <w:r w:rsidR="00D47073" w:rsidRPr="00BE325C">
        <w:rPr>
          <w:rFonts w:ascii="Palatino Linotype" w:hAnsi="Palatino Linotype" w:cs="Arial"/>
          <w:b/>
        </w:rPr>
        <w:t>,</w:t>
      </w:r>
      <w:r w:rsidR="00D47073">
        <w:rPr>
          <w:rFonts w:ascii="Palatino Linotype" w:hAnsi="Palatino Linotype" w:cs="Tahoma"/>
          <w:b/>
        </w:rPr>
        <w:t xml:space="preserve"> PROMOVIDO EN CONTRA DEL  </w:t>
      </w:r>
      <w:r w:rsidR="00D47073">
        <w:rPr>
          <w:rFonts w:ascii="Palatino Linotype" w:eastAsia="Palatino Linotype" w:hAnsi="Palatino Linotype" w:cs="Palatino Linotype"/>
          <w:b/>
        </w:rPr>
        <w:t>AYUNTAMIENTO DE AMANALCO</w:t>
      </w:r>
      <w:r w:rsidR="00D47073">
        <w:rPr>
          <w:rFonts w:ascii="Palatino Linotype" w:eastAsia="Palatino Linotype" w:hAnsi="Palatino Linotype" w:cs="Palatino Linotype"/>
          <w:b/>
          <w:sz w:val="24"/>
          <w:szCs w:val="24"/>
        </w:rPr>
        <w:t>.</w:t>
      </w:r>
    </w:p>
    <w:p w14:paraId="626DB483" w14:textId="77777777" w:rsidR="00F924FE" w:rsidRPr="00C569A8" w:rsidRDefault="00F924FE" w:rsidP="00F924FE">
      <w:pPr>
        <w:spacing w:after="0" w:line="360" w:lineRule="auto"/>
        <w:ind w:right="-93"/>
        <w:contextualSpacing/>
        <w:jc w:val="both"/>
        <w:rPr>
          <w:rFonts w:ascii="Palatino Linotype" w:hAnsi="Palatino Linotype" w:cs="Tahoma"/>
        </w:rPr>
      </w:pPr>
    </w:p>
    <w:p w14:paraId="3AB47454" w14:textId="615009B6" w:rsidR="001E6365" w:rsidRPr="00C569A8" w:rsidRDefault="001E6365" w:rsidP="001E6365">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D47073">
        <w:rPr>
          <w:rFonts w:ascii="Palatino Linotype" w:eastAsia="Palatino Linotype" w:hAnsi="Palatino Linotype" w:cs="Palatino Linotype"/>
          <w:b/>
        </w:rPr>
        <w:t>03339/INFOEM/IP/RR/2023</w:t>
      </w:r>
      <w:r w:rsidRPr="00BE325C">
        <w:rPr>
          <w:rFonts w:ascii="Palatino Linotype" w:hAnsi="Palatino Linotype" w:cs="Arial"/>
          <w:b/>
        </w:rPr>
        <w:t>,</w:t>
      </w:r>
      <w:r w:rsidRPr="00C569A8">
        <w:rPr>
          <w:rFonts w:ascii="Palatino Linotype" w:hAnsi="Palatino Linotype"/>
          <w:b/>
          <w:bCs/>
        </w:rPr>
        <w:t xml:space="preserve"> </w:t>
      </w:r>
      <w:r w:rsidRPr="00C569A8">
        <w:rPr>
          <w:rFonts w:ascii="Palatino Linotype" w:hAnsi="Palatino Linotype"/>
        </w:rPr>
        <w:t xml:space="preserve">presentada por la Comisionada </w:t>
      </w:r>
      <w:r>
        <w:rPr>
          <w:rFonts w:ascii="Palatino Linotype" w:hAnsi="Palatino Linotype"/>
        </w:rPr>
        <w:t>Guadalupe Ramírez Peña</w:t>
      </w:r>
      <w:r w:rsidRPr="00C569A8">
        <w:rPr>
          <w:rFonts w:ascii="Palatino Linotype" w:hAnsi="Palatino Linotype"/>
        </w:rPr>
        <w:t xml:space="preserve"> </w:t>
      </w:r>
      <w:r w:rsidRPr="00C569A8">
        <w:rPr>
          <w:rFonts w:ascii="Palatino Linotype" w:hAnsi="Palatino Linotype"/>
          <w:b/>
        </w:rPr>
        <w:t>conforme al criterio mayoritario del Pleno</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r w:rsidR="004D2B4E">
        <w:rPr>
          <w:rFonts w:ascii="Palatino Linotype" w:hAnsi="Palatino Linotype"/>
        </w:rPr>
        <w:t>.</w:t>
      </w:r>
    </w:p>
    <w:p w14:paraId="37DF9149" w14:textId="77777777" w:rsidR="001E6365" w:rsidRPr="00C569A8" w:rsidRDefault="001E6365" w:rsidP="001E6365">
      <w:pPr>
        <w:spacing w:after="0" w:line="360" w:lineRule="auto"/>
        <w:jc w:val="both"/>
        <w:rPr>
          <w:rFonts w:ascii="Palatino Linotype" w:hAnsi="Palatino Linotype"/>
          <w:b/>
          <w:lang w:val="es-ES_tradnl"/>
        </w:rPr>
      </w:pPr>
    </w:p>
    <w:p w14:paraId="16D55E09" w14:textId="3BBE9326" w:rsidR="001E6365" w:rsidRDefault="001E6365" w:rsidP="001E6365">
      <w:pPr>
        <w:spacing w:after="0" w:line="360" w:lineRule="auto"/>
        <w:jc w:val="both"/>
        <w:rPr>
          <w:rFonts w:ascii="Palatino Linotype" w:hAnsi="Palatino Linotype" w:cs="Tahoma"/>
        </w:rPr>
      </w:pPr>
      <w:r w:rsidRPr="001E6365">
        <w:rPr>
          <w:rFonts w:ascii="Palatino Linotype" w:hAnsi="Palatino Linotype" w:cs="Tahoma"/>
        </w:rPr>
        <w:t xml:space="preserve">En este sentido, como se advierte en la Resolución en comento, se determinó </w:t>
      </w:r>
      <w:r w:rsidR="00D47073">
        <w:rPr>
          <w:rFonts w:ascii="Palatino Linotype" w:hAnsi="Palatino Linotype" w:cs="Tahoma"/>
          <w:b/>
        </w:rPr>
        <w:t xml:space="preserve">MODIFICAR </w:t>
      </w:r>
      <w:r w:rsidR="00D47073" w:rsidRPr="00D47073">
        <w:rPr>
          <w:rFonts w:ascii="Palatino Linotype" w:hAnsi="Palatino Linotype" w:cs="Tahoma"/>
        </w:rPr>
        <w:t>l</w:t>
      </w:r>
      <w:r w:rsidRPr="00D47073">
        <w:rPr>
          <w:rFonts w:ascii="Palatino Linotype" w:hAnsi="Palatino Linotype" w:cs="Tahoma"/>
        </w:rPr>
        <w:t xml:space="preserve">a </w:t>
      </w:r>
      <w:r w:rsidRPr="001E6365">
        <w:rPr>
          <w:rFonts w:ascii="Palatino Linotype" w:hAnsi="Palatino Linotype" w:cs="Tahoma"/>
        </w:rPr>
        <w:t xml:space="preserve">respuesta del Sujeto Obligado a fin de que, entregue la información solicitada en copias certificadas previo pago de los derechos correspondiente, por lo que, se debe informar al </w:t>
      </w:r>
      <w:r w:rsidRPr="001E6365">
        <w:rPr>
          <w:rFonts w:ascii="Palatino Linotype" w:hAnsi="Palatino Linotype" w:cs="Tahoma"/>
        </w:rPr>
        <w:lastRenderedPageBreak/>
        <w:t xml:space="preserve">Recurrente el procedimiento, </w:t>
      </w:r>
      <w:r w:rsidRPr="001E6365">
        <w:rPr>
          <w:rFonts w:ascii="Palatino Linotype" w:hAnsi="Palatino Linotype" w:cs="Tahoma"/>
          <w:u w:val="single"/>
        </w:rPr>
        <w:t>costo</w:t>
      </w:r>
      <w:r w:rsidRPr="001E6365">
        <w:rPr>
          <w:rFonts w:ascii="Palatino Linotype" w:hAnsi="Palatino Linotype" w:cs="Tahoma"/>
        </w:rPr>
        <w:t xml:space="preserve">, lugar, días y horario para efectuar el pago de derechos correspondientes. </w:t>
      </w:r>
    </w:p>
    <w:p w14:paraId="5228C479" w14:textId="77777777" w:rsidR="00753084" w:rsidRPr="001E6365" w:rsidRDefault="00753084" w:rsidP="001E6365">
      <w:pPr>
        <w:spacing w:after="0" w:line="360" w:lineRule="auto"/>
        <w:jc w:val="both"/>
        <w:rPr>
          <w:rFonts w:ascii="Palatino Linotype" w:hAnsi="Palatino Linotype" w:cs="Tahoma"/>
        </w:rPr>
      </w:pPr>
    </w:p>
    <w:p w14:paraId="128541CF" w14:textId="77777777" w:rsidR="001E6365" w:rsidRPr="00C569A8" w:rsidRDefault="001E6365" w:rsidP="001E6365">
      <w:pPr>
        <w:spacing w:after="0" w:line="360" w:lineRule="auto"/>
        <w:jc w:val="both"/>
        <w:rPr>
          <w:rFonts w:ascii="Palatino Linotype" w:hAnsi="Palatino Linotype" w:cs="Tahoma"/>
        </w:rPr>
      </w:pPr>
      <w:r w:rsidRPr="00C569A8">
        <w:rPr>
          <w:rFonts w:ascii="Palatino Linotype" w:hAnsi="Palatino Linotype" w:cs="Tahoma"/>
        </w:rPr>
        <w:t xml:space="preserve">Sobre el particular, resulta hacer alusión al Principio de Gratuidad, establecido en el artículo 17 de la Ley General de Transparencia y Acceso a la Información Pública, el cual precisa </w:t>
      </w:r>
      <w:r w:rsidRPr="00C569A8">
        <w:rPr>
          <w:rFonts w:ascii="Palatino Linotype" w:hAnsi="Palatino Linotype" w:cs="Tahoma"/>
          <w:b/>
        </w:rPr>
        <w:t xml:space="preserve">que el ejercicio de acceso a la información será gratuito y solamente podrá requerirse un cobro, dependiendo la modalidad y entrega de la misma. </w:t>
      </w:r>
      <w:r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1D3A6111" w14:textId="77777777" w:rsidR="001E6365" w:rsidRPr="00C569A8" w:rsidRDefault="001E6365" w:rsidP="001E6365">
      <w:pPr>
        <w:spacing w:after="0" w:line="360" w:lineRule="auto"/>
        <w:jc w:val="both"/>
        <w:rPr>
          <w:rFonts w:ascii="Palatino Linotype" w:hAnsi="Palatino Linotype" w:cs="Tahoma"/>
        </w:rPr>
      </w:pPr>
    </w:p>
    <w:p w14:paraId="63AA8BDC" w14:textId="77777777" w:rsidR="001E6365" w:rsidRPr="00C569A8" w:rsidRDefault="001E6365" w:rsidP="001E6365">
      <w:pPr>
        <w:spacing w:after="0" w:line="360" w:lineRule="auto"/>
        <w:jc w:val="both"/>
        <w:rPr>
          <w:rFonts w:ascii="Palatino Linotype" w:hAnsi="Palatino Linotype" w:cs="Tahoma"/>
        </w:rPr>
      </w:pPr>
      <w:r w:rsidRPr="00C569A8">
        <w:rPr>
          <w:rFonts w:ascii="Palatino Linotype" w:hAnsi="Palatino Linotype" w:cs="Tahoma"/>
        </w:rPr>
        <w:t>Asimismo,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 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14:paraId="20C46A17" w14:textId="77777777" w:rsidR="001E6365" w:rsidRPr="00C569A8" w:rsidRDefault="001E6365" w:rsidP="001E6365">
      <w:pPr>
        <w:spacing w:after="0" w:line="360" w:lineRule="auto"/>
        <w:jc w:val="both"/>
        <w:rPr>
          <w:rFonts w:ascii="Palatino Linotype" w:hAnsi="Palatino Linotype" w:cs="Tahoma"/>
        </w:rPr>
      </w:pPr>
    </w:p>
    <w:p w14:paraId="2A26AECD" w14:textId="32944012" w:rsidR="001E6365" w:rsidRPr="00C569A8" w:rsidRDefault="001E6365" w:rsidP="001E6365">
      <w:pPr>
        <w:spacing w:after="0"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w:t>
      </w:r>
      <w:r>
        <w:rPr>
          <w:rFonts w:ascii="Palatino Linotype" w:hAnsi="Palatino Linotype" w:cs="Tahoma"/>
        </w:rPr>
        <w:t>,</w:t>
      </w:r>
      <w:r w:rsidRPr="00C569A8">
        <w:rPr>
          <w:rFonts w:ascii="Palatino Linotype" w:hAnsi="Palatino Linotype" w:cs="Tahoma"/>
        </w:rPr>
        <w:t xml:space="preserv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w:t>
      </w:r>
      <w:r w:rsidRPr="00C569A8">
        <w:rPr>
          <w:rFonts w:ascii="Palatino Linotype" w:hAnsi="Palatino Linotype" w:cs="Tahoma"/>
        </w:rPr>
        <w:lastRenderedPageBreak/>
        <w:t>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290CBC06" w14:textId="77777777" w:rsidR="001E6365" w:rsidRPr="00C569A8" w:rsidRDefault="001E6365" w:rsidP="001E6365">
      <w:pPr>
        <w:spacing w:after="0" w:line="360" w:lineRule="auto"/>
        <w:jc w:val="both"/>
        <w:rPr>
          <w:rFonts w:ascii="Palatino Linotype" w:hAnsi="Palatino Linotype" w:cs="Tahoma"/>
        </w:rPr>
      </w:pPr>
    </w:p>
    <w:p w14:paraId="68960BF1" w14:textId="77777777" w:rsidR="001E6365" w:rsidRPr="00C569A8" w:rsidRDefault="001E6365" w:rsidP="001E6365">
      <w:pPr>
        <w:spacing w:after="0" w:line="360" w:lineRule="auto"/>
        <w:jc w:val="both"/>
        <w:rPr>
          <w:rFonts w:ascii="Palatino Linotype" w:hAnsi="Palatino Linotype" w:cs="Tahoma"/>
          <w:lang w:eastAsia="es-MX"/>
        </w:rPr>
      </w:pPr>
      <w:r w:rsidRPr="00C569A8">
        <w:rPr>
          <w:rFonts w:ascii="Palatino Linotype" w:hAnsi="Palatino Linotype" w:cs="Tahoma"/>
        </w:rPr>
        <w:t xml:space="preserve">No obstante, la propia Ley de Transparencia y Acceso a la Información Pública del Estado México y Municipios, establece excepciones al pago por costos de reproducción, las cuales se encuentra en los </w:t>
      </w:r>
      <w:r w:rsidRPr="00C569A8">
        <w:rPr>
          <w:rFonts w:ascii="Palatino Linotype" w:hAnsi="Palatino Linotype" w:cs="Tahoma"/>
          <w:lang w:eastAsia="es-MX"/>
        </w:rPr>
        <w:t>artículos 24, fracción XX; 165; 174, 175 y 234, los cuales establecen lo siguiente:</w:t>
      </w:r>
    </w:p>
    <w:p w14:paraId="5F550D9E" w14:textId="77777777" w:rsidR="001E6365" w:rsidRPr="00C569A8" w:rsidRDefault="001E6365" w:rsidP="001E6365">
      <w:pPr>
        <w:spacing w:after="0" w:line="360" w:lineRule="auto"/>
        <w:jc w:val="both"/>
        <w:rPr>
          <w:rFonts w:ascii="Palatino Linotype" w:hAnsi="Palatino Linotype" w:cs="Tahoma"/>
          <w:lang w:eastAsia="es-MX"/>
        </w:rPr>
      </w:pPr>
    </w:p>
    <w:p w14:paraId="5CF843E8" w14:textId="77777777" w:rsidR="001E6365" w:rsidRPr="00C569A8" w:rsidRDefault="001E6365" w:rsidP="001E6365">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Los sujetos obligados deben tomar las medidas apropiadas para proporcionar información a personas con discapacidad en formatos y tecnologías accesibles de forma oportuna y sin un costo adicional.</w:t>
      </w:r>
    </w:p>
    <w:p w14:paraId="3B520F7F" w14:textId="77777777" w:rsidR="001E6365" w:rsidRPr="00C569A8" w:rsidRDefault="001E6365" w:rsidP="001E6365">
      <w:pPr>
        <w:spacing w:after="0" w:line="360" w:lineRule="auto"/>
        <w:jc w:val="both"/>
        <w:rPr>
          <w:rFonts w:ascii="Palatino Linotype" w:hAnsi="Palatino Linotype" w:cs="Tahoma"/>
          <w:lang w:eastAsia="es-MX"/>
        </w:rPr>
      </w:pPr>
    </w:p>
    <w:p w14:paraId="56294A69" w14:textId="77777777" w:rsidR="001E6365" w:rsidRPr="00C569A8" w:rsidRDefault="001E6365" w:rsidP="001E6365">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09187EBB" w14:textId="77777777" w:rsidR="001E6365" w:rsidRPr="00C569A8" w:rsidRDefault="001E6365" w:rsidP="001E6365">
      <w:pPr>
        <w:spacing w:after="0" w:line="360" w:lineRule="auto"/>
        <w:jc w:val="both"/>
        <w:rPr>
          <w:rFonts w:ascii="Palatino Linotype" w:hAnsi="Palatino Linotype" w:cs="Tahoma"/>
          <w:lang w:eastAsia="es-MX"/>
        </w:rPr>
      </w:pPr>
    </w:p>
    <w:p w14:paraId="0BC28495" w14:textId="77777777" w:rsidR="001E6365" w:rsidRPr="00C569A8" w:rsidRDefault="001E6365" w:rsidP="001E6365">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406507E5" w14:textId="77777777" w:rsidR="001E6365" w:rsidRPr="00C569A8" w:rsidRDefault="001E6365" w:rsidP="001E6365">
      <w:pPr>
        <w:spacing w:after="0" w:line="360" w:lineRule="auto"/>
        <w:jc w:val="both"/>
        <w:rPr>
          <w:rFonts w:ascii="Palatino Linotype" w:hAnsi="Palatino Linotype" w:cs="Tahoma"/>
          <w:lang w:eastAsia="es-MX"/>
        </w:rPr>
      </w:pPr>
    </w:p>
    <w:p w14:paraId="7EECA5C4" w14:textId="77777777" w:rsidR="001E6365" w:rsidRDefault="001E6365" w:rsidP="001E6365">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lastRenderedPageBreak/>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6402E6B0" w14:textId="77777777" w:rsidR="00753084" w:rsidRPr="00753084" w:rsidRDefault="00753084" w:rsidP="00753084">
      <w:pPr>
        <w:pStyle w:val="Prrafodelista"/>
        <w:rPr>
          <w:rFonts w:ascii="Palatino Linotype" w:hAnsi="Palatino Linotype" w:cs="Tahoma"/>
          <w:sz w:val="22"/>
          <w:szCs w:val="22"/>
          <w:lang w:eastAsia="es-MX"/>
        </w:rPr>
      </w:pPr>
    </w:p>
    <w:p w14:paraId="3E5B9EF5" w14:textId="77777777" w:rsidR="001E6365" w:rsidRPr="00C569A8" w:rsidRDefault="001E6365" w:rsidP="001E6365">
      <w:pPr>
        <w:pStyle w:val="Prrafodelista"/>
        <w:numPr>
          <w:ilvl w:val="0"/>
          <w:numId w:val="1"/>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5BEDEDA0" w14:textId="77777777" w:rsidR="001E6365" w:rsidRPr="00C569A8" w:rsidRDefault="001E6365" w:rsidP="001E6365">
      <w:pPr>
        <w:spacing w:after="0" w:line="360" w:lineRule="auto"/>
        <w:jc w:val="both"/>
        <w:rPr>
          <w:rFonts w:ascii="Palatino Linotype" w:hAnsi="Palatino Linotype" w:cs="Tahoma"/>
          <w:lang w:eastAsia="es-MX"/>
        </w:rPr>
      </w:pPr>
    </w:p>
    <w:p w14:paraId="51C1FE0C" w14:textId="77777777" w:rsidR="001E6365" w:rsidRPr="00C569A8" w:rsidRDefault="001E6365" w:rsidP="001E6365">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se debe entender que en la entrega de la información se 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14:paraId="1A3BF3EB" w14:textId="77777777" w:rsidR="001E6365" w:rsidRPr="00C569A8" w:rsidRDefault="001E6365" w:rsidP="001E6365">
      <w:pPr>
        <w:spacing w:after="0" w:line="360" w:lineRule="auto"/>
        <w:jc w:val="both"/>
        <w:rPr>
          <w:rFonts w:ascii="Palatino Linotype" w:hAnsi="Palatino Linotype" w:cs="Tahoma"/>
        </w:rPr>
      </w:pPr>
    </w:p>
    <w:p w14:paraId="090944E2" w14:textId="77777777" w:rsidR="001E6365" w:rsidRPr="00C569A8" w:rsidRDefault="001E6365" w:rsidP="001E6365">
      <w:pPr>
        <w:spacing w:after="0" w:line="360" w:lineRule="auto"/>
        <w:jc w:val="both"/>
        <w:rPr>
          <w:rFonts w:ascii="Palatino Linotype" w:hAnsi="Palatino Linotype" w:cs="Tahoma"/>
        </w:rPr>
      </w:pPr>
      <w:r w:rsidRPr="00C569A8">
        <w:rPr>
          <w:rFonts w:ascii="Palatino Linotype" w:hAnsi="Palatino Linotype" w:cs="Tahoma"/>
        </w:rPr>
        <w:t xml:space="preserve">Bajo este orden de ideas, 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w:t>
      </w:r>
      <w:r w:rsidRPr="00C569A8">
        <w:rPr>
          <w:rFonts w:ascii="Palatino Linotype" w:hAnsi="Palatino Linotype" w:cs="Tahoma"/>
        </w:rPr>
        <w:lastRenderedPageBreak/>
        <w:t>certificadas, de acuerdo con el Principio de Gratuidad establecido en el artículo 9°, fracción III, relacionado con la excepción establecida en el diverso 234, ambos de la Ley de Transparencia y Acceso a la Información Pública del Estado de México y Municipios.</w:t>
      </w:r>
    </w:p>
    <w:p w14:paraId="43A442A8" w14:textId="77777777" w:rsidR="001E6365" w:rsidRPr="00C569A8" w:rsidRDefault="001E6365" w:rsidP="001E6365">
      <w:pPr>
        <w:spacing w:after="0" w:line="360" w:lineRule="auto"/>
        <w:jc w:val="both"/>
        <w:rPr>
          <w:rFonts w:ascii="Palatino Linotype" w:hAnsi="Palatino Linotype" w:cs="Tahoma"/>
        </w:rPr>
      </w:pPr>
    </w:p>
    <w:p w14:paraId="0F9DF57C" w14:textId="77777777" w:rsidR="001E6365" w:rsidRPr="00C569A8" w:rsidRDefault="001E6365" w:rsidP="001E6365">
      <w:pPr>
        <w:spacing w:after="0" w:line="360" w:lineRule="auto"/>
        <w:jc w:val="both"/>
        <w:rPr>
          <w:rFonts w:ascii="Palatino Linotype" w:hAnsi="Palatino Linotype" w:cs="Tahoma"/>
          <w:b/>
        </w:rPr>
      </w:pPr>
      <w:r w:rsidRPr="00C569A8">
        <w:rPr>
          <w:rFonts w:ascii="Palatino Linotype" w:hAnsi="Palatino Linotype" w:cs="Tahoma"/>
        </w:rPr>
        <w:t>En conclusión, tratándose de la entrega de copias certificadas en recursos de revisión en donde la respuesta fue desfavorable para el Recurrente, porque así lo haya determinado el Pleno de este Organismo Garante, se debe favorecer el Principio de Gratuidad del Solicitante, en aras de garantizar el derecho de acceso a la información pública</w:t>
      </w:r>
      <w:r w:rsidRPr="00C569A8">
        <w:rPr>
          <w:rFonts w:ascii="Palatino Linotype" w:hAnsi="Palatino Linotype" w:cs="Tahoma"/>
          <w:b/>
        </w:rPr>
        <w:t xml:space="preserve">. </w:t>
      </w:r>
    </w:p>
    <w:p w14:paraId="39DF5057" w14:textId="77777777" w:rsidR="001E6365" w:rsidRDefault="001E6365" w:rsidP="001E6365">
      <w:pPr>
        <w:spacing w:after="0" w:line="360" w:lineRule="auto"/>
        <w:jc w:val="both"/>
        <w:rPr>
          <w:rFonts w:ascii="Palatino Linotype" w:hAnsi="Palatino Linotype" w:cs="Tahoma"/>
          <w:b/>
        </w:rPr>
      </w:pPr>
    </w:p>
    <w:p w14:paraId="4719FF95" w14:textId="77777777" w:rsidR="001E6365" w:rsidRPr="00AA45A6" w:rsidRDefault="001E6365" w:rsidP="001E6365">
      <w:pPr>
        <w:spacing w:after="0" w:line="360" w:lineRule="auto"/>
        <w:jc w:val="both"/>
        <w:rPr>
          <w:rFonts w:ascii="Palatino Linotype" w:hAnsi="Palatino Linotype" w:cs="Tahoma"/>
        </w:rPr>
      </w:pPr>
      <w:r w:rsidRPr="00AA45A6">
        <w:rPr>
          <w:rFonts w:ascii="Palatino Linotype" w:hAnsi="Palatino Linotype" w:cs="Tahoma"/>
        </w:rPr>
        <w:t>No se omite manifestar que no existe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14:paraId="4B6ED922" w14:textId="77777777" w:rsidR="001E6365" w:rsidRPr="00AA45A6" w:rsidRDefault="001E6365" w:rsidP="001E6365">
      <w:pPr>
        <w:spacing w:after="0" w:line="360" w:lineRule="auto"/>
        <w:jc w:val="both"/>
        <w:rPr>
          <w:rFonts w:ascii="Palatino Linotype" w:hAnsi="Palatino Linotype" w:cs="Tahoma"/>
        </w:rPr>
      </w:pPr>
    </w:p>
    <w:p w14:paraId="768CDDAB" w14:textId="77777777" w:rsidR="001E6365" w:rsidRPr="00AA45A6" w:rsidRDefault="001E6365" w:rsidP="001E6365">
      <w:pPr>
        <w:spacing w:after="0" w:line="360" w:lineRule="auto"/>
        <w:jc w:val="both"/>
        <w:rPr>
          <w:rFonts w:ascii="Palatino Linotype" w:hAnsi="Palatino Linotype" w:cs="Tahoma"/>
        </w:rPr>
      </w:pPr>
      <w:r w:rsidRPr="00AA45A6">
        <w:rPr>
          <w:rFonts w:ascii="Palatino Linotype" w:hAnsi="Palatino Linotype" w:cs="Tahoma"/>
        </w:rPr>
        <w:t>Los fines recaudatorios son una limitante de la garantía constitucional del derecho de acceso a la información y contravienen su naturaleza general, ya que inhiben indebidamente el ejercicio amplio y completo del derecho de acceso a la información</w:t>
      </w:r>
      <w:r>
        <w:rPr>
          <w:rFonts w:ascii="Palatino Linotype" w:hAnsi="Palatino Linotype" w:cs="Tahoma"/>
        </w:rPr>
        <w:t>.</w:t>
      </w:r>
    </w:p>
    <w:p w14:paraId="1520CDAE" w14:textId="77777777" w:rsidR="001E6365" w:rsidRPr="00C569A8" w:rsidRDefault="001E6365" w:rsidP="001E6365">
      <w:pPr>
        <w:spacing w:after="0" w:line="360" w:lineRule="auto"/>
        <w:jc w:val="both"/>
        <w:rPr>
          <w:rFonts w:ascii="Palatino Linotype" w:hAnsi="Palatino Linotype" w:cs="Tahoma"/>
          <w:b/>
        </w:rPr>
      </w:pPr>
    </w:p>
    <w:p w14:paraId="2DAA8746" w14:textId="02146472" w:rsidR="00753084" w:rsidRPr="00C569A8" w:rsidRDefault="001E6365" w:rsidP="00753084">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 ---------------------------------------------------------------------------------------------------------------------------------------------------------------------------------------------------------------------------------------------------------------</w:t>
      </w:r>
      <w:r w:rsidR="00753084" w:rsidRPr="00C569A8">
        <w:rPr>
          <w:rFonts w:ascii="Palatino Linotype" w:hAnsi="Palatino Linotype" w:cs="Tahoma"/>
        </w:rPr>
        <w:t>----------------------------------------------------------------------------------------------------------------------------</w:t>
      </w:r>
    </w:p>
    <w:p w14:paraId="267F36B2" w14:textId="77777777" w:rsidR="001E6365" w:rsidRPr="00C569A8" w:rsidRDefault="001E6365" w:rsidP="001E6365">
      <w:pPr>
        <w:spacing w:after="0" w:line="360" w:lineRule="auto"/>
        <w:jc w:val="both"/>
        <w:rPr>
          <w:rFonts w:ascii="Palatino Linotype" w:hAnsi="Palatino Linotype" w:cs="Tahoma"/>
        </w:rPr>
      </w:pPr>
    </w:p>
    <w:p w14:paraId="79622420" w14:textId="77777777" w:rsidR="001E6365" w:rsidRPr="00C569A8" w:rsidRDefault="001E6365" w:rsidP="001E6365"/>
    <w:p w14:paraId="4510DB2F" w14:textId="77777777" w:rsidR="001E6365" w:rsidRPr="00C569A8" w:rsidRDefault="001E6365" w:rsidP="001E6365"/>
    <w:p w14:paraId="32B561C8" w14:textId="77777777" w:rsidR="001E6365" w:rsidRPr="00C569A8" w:rsidRDefault="001E6365" w:rsidP="001E6365"/>
    <w:p w14:paraId="737508F9" w14:textId="77777777" w:rsidR="001E6365" w:rsidRPr="00C569A8" w:rsidRDefault="001E6365" w:rsidP="001E6365"/>
    <w:p w14:paraId="6BE6380F" w14:textId="77777777" w:rsidR="001E6365" w:rsidRPr="00C569A8" w:rsidRDefault="001E6365" w:rsidP="001E6365"/>
    <w:p w14:paraId="7A017E2C" w14:textId="77777777" w:rsidR="001E6365" w:rsidRPr="00C569A8" w:rsidRDefault="001E6365" w:rsidP="001E6365"/>
    <w:p w14:paraId="26525F63" w14:textId="77777777" w:rsidR="001E6365" w:rsidRPr="00C569A8" w:rsidRDefault="001E6365" w:rsidP="001E6365"/>
    <w:p w14:paraId="4122271E" w14:textId="77777777" w:rsidR="001E6365" w:rsidRPr="00C569A8" w:rsidRDefault="001E6365" w:rsidP="001E6365"/>
    <w:p w14:paraId="56436EAE" w14:textId="77777777" w:rsidR="001E6365" w:rsidRPr="00C569A8" w:rsidRDefault="001E6365" w:rsidP="001E6365"/>
    <w:p w14:paraId="73F9FFAB" w14:textId="77777777" w:rsidR="001E6365" w:rsidRPr="00C569A8" w:rsidRDefault="001E6365" w:rsidP="001E6365"/>
    <w:p w14:paraId="58D249FE" w14:textId="77777777" w:rsidR="001E6365" w:rsidRPr="00C569A8" w:rsidRDefault="001E6365" w:rsidP="001E6365"/>
    <w:p w14:paraId="166D6D51" w14:textId="77777777" w:rsidR="001E6365" w:rsidRPr="00C569A8" w:rsidRDefault="001E6365" w:rsidP="001E6365"/>
    <w:p w14:paraId="7F07804F" w14:textId="77777777" w:rsidR="001E6365" w:rsidRPr="00C569A8" w:rsidRDefault="001E6365" w:rsidP="001E6365"/>
    <w:p w14:paraId="5DD24644" w14:textId="77777777" w:rsidR="001E6365" w:rsidRPr="00C569A8" w:rsidRDefault="001E6365" w:rsidP="001E6365"/>
    <w:p w14:paraId="66DE8A5F" w14:textId="77777777" w:rsidR="001E6365" w:rsidRPr="00C569A8" w:rsidRDefault="001E6365" w:rsidP="001E6365"/>
    <w:p w14:paraId="026F5F64" w14:textId="77777777" w:rsidR="001E6365" w:rsidRPr="00C569A8" w:rsidRDefault="001E6365" w:rsidP="001E6365"/>
    <w:p w14:paraId="05AB42FE" w14:textId="77777777" w:rsidR="001E6365" w:rsidRPr="00C569A8" w:rsidRDefault="001E6365" w:rsidP="001E6365"/>
    <w:p w14:paraId="1635BE94" w14:textId="77777777" w:rsidR="001E6365" w:rsidRPr="00C569A8" w:rsidRDefault="001E6365" w:rsidP="001E6365"/>
    <w:p w14:paraId="26DCF5FF" w14:textId="77777777" w:rsidR="001E6365" w:rsidRPr="00C569A8" w:rsidRDefault="001E6365" w:rsidP="001E6365"/>
    <w:sectPr w:rsidR="001E6365" w:rsidRPr="00C569A8" w:rsidSect="00753084">
      <w:headerReference w:type="even" r:id="rId7"/>
      <w:headerReference w:type="default" r:id="rId8"/>
      <w:footerReference w:type="default" r:id="rId9"/>
      <w:pgSz w:w="12240" w:h="15840"/>
      <w:pgMar w:top="926" w:right="1418" w:bottom="2552"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3439" w14:textId="77777777" w:rsidR="000F44A9" w:rsidRDefault="000F44A9" w:rsidP="001E6365">
      <w:pPr>
        <w:spacing w:after="0" w:line="240" w:lineRule="auto"/>
      </w:pPr>
      <w:r>
        <w:separator/>
      </w:r>
    </w:p>
  </w:endnote>
  <w:endnote w:type="continuationSeparator" w:id="0">
    <w:p w14:paraId="1540D44B" w14:textId="77777777" w:rsidR="000F44A9" w:rsidRDefault="000F44A9" w:rsidP="001E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23FF" w14:textId="77777777" w:rsidR="00000000" w:rsidRPr="00986599" w:rsidRDefault="001E6365"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726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7263">
      <w:rPr>
        <w:rFonts w:ascii="Arial" w:hAnsi="Arial" w:cs="Arial"/>
        <w:b/>
        <w:bCs/>
        <w:noProof/>
        <w:sz w:val="20"/>
        <w:szCs w:val="20"/>
      </w:rPr>
      <w:t>6</w:t>
    </w:r>
    <w:r w:rsidRPr="00986599">
      <w:rPr>
        <w:rFonts w:ascii="Arial" w:hAnsi="Arial" w:cs="Arial"/>
        <w:b/>
        <w:bCs/>
        <w:sz w:val="20"/>
        <w:szCs w:val="20"/>
      </w:rPr>
      <w:fldChar w:fldCharType="end"/>
    </w:r>
  </w:p>
  <w:p w14:paraId="7AC5EC7D" w14:textId="77777777" w:rsidR="00000000" w:rsidRDefault="00000000" w:rsidP="007F0307">
    <w:pPr>
      <w:pStyle w:val="Piedepgina"/>
      <w:jc w:val="right"/>
    </w:pPr>
  </w:p>
  <w:p w14:paraId="160E652F" w14:textId="77777777" w:rsidR="00000000" w:rsidRDefault="00000000"/>
  <w:p w14:paraId="414C739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55CE" w14:textId="77777777" w:rsidR="000F44A9" w:rsidRDefault="000F44A9" w:rsidP="001E6365">
      <w:pPr>
        <w:spacing w:after="0" w:line="240" w:lineRule="auto"/>
      </w:pPr>
      <w:r>
        <w:separator/>
      </w:r>
    </w:p>
  </w:footnote>
  <w:footnote w:type="continuationSeparator" w:id="0">
    <w:p w14:paraId="569F5EF5" w14:textId="77777777" w:rsidR="000F44A9" w:rsidRDefault="000F44A9" w:rsidP="001E6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1C8B" w14:textId="77777777" w:rsidR="00000000" w:rsidRDefault="001E6365">
    <w:pPr>
      <w:pStyle w:val="Encabezado"/>
    </w:pPr>
    <w:r>
      <w:rPr>
        <w:noProof/>
        <w:lang w:val="es-MX" w:eastAsia="es-MX"/>
      </w:rPr>
      <mc:AlternateContent>
        <mc:Choice Requires="wps">
          <w:drawing>
            <wp:anchor distT="0" distB="0" distL="114300" distR="114300" simplePos="0" relativeHeight="251659264" behindDoc="1" locked="0" layoutInCell="0" allowOverlap="1" wp14:anchorId="474091AD" wp14:editId="13217C4E">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A8397" w14:textId="77777777" w:rsidR="00000000" w:rsidRDefault="001E6365"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4091AD"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6EFA8397" w14:textId="77777777" w:rsidR="007F0307" w:rsidRDefault="001E6365"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132DC1B0" w14:textId="77777777" w:rsidR="00000000" w:rsidRDefault="00000000"/>
  <w:p w14:paraId="5D6C317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6521"/>
    </w:tblGrid>
    <w:tr w:rsidR="00282741" w:rsidRPr="003E102C" w14:paraId="7CC41716" w14:textId="77777777" w:rsidTr="00753084">
      <w:trPr>
        <w:trHeight w:val="1832"/>
      </w:trPr>
      <w:tc>
        <w:tcPr>
          <w:tcW w:w="4111" w:type="dxa"/>
          <w:vAlign w:val="bottom"/>
        </w:tcPr>
        <w:p w14:paraId="48749C92" w14:textId="77777777" w:rsidR="00000000" w:rsidRDefault="001E6365" w:rsidP="00282741">
          <w:pPr>
            <w:pStyle w:val="Encabezado"/>
            <w:tabs>
              <w:tab w:val="center" w:pos="2614"/>
            </w:tabs>
            <w:ind w:left="-255"/>
          </w:pPr>
          <w:r>
            <w:rPr>
              <w:noProof/>
              <w:sz w:val="10"/>
              <w:szCs w:val="10"/>
              <w:lang w:val="es-MX" w:eastAsia="es-MX"/>
            </w:rPr>
            <w:drawing>
              <wp:inline distT="0" distB="0" distL="0" distR="0" wp14:anchorId="06AA89BE" wp14:editId="73EB27EF">
                <wp:extent cx="1873633" cy="11265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CA76082" w14:textId="77777777" w:rsidR="00000000" w:rsidRDefault="00000000" w:rsidP="00282741">
          <w:pPr>
            <w:pStyle w:val="Encabezado"/>
            <w:tabs>
              <w:tab w:val="center" w:pos="2614"/>
            </w:tabs>
          </w:pPr>
        </w:p>
      </w:tc>
      <w:tc>
        <w:tcPr>
          <w:tcW w:w="6521" w:type="dxa"/>
          <w:vAlign w:val="center"/>
        </w:tcPr>
        <w:p w14:paraId="7C2E4266" w14:textId="77777777" w:rsidR="00000000" w:rsidRPr="00753084" w:rsidRDefault="001E6365" w:rsidP="00282741">
          <w:pPr>
            <w:pStyle w:val="Encabezado"/>
            <w:ind w:left="-108" w:right="-250"/>
            <w:jc w:val="both"/>
            <w:rPr>
              <w:rFonts w:ascii="Palatino Linotype" w:hAnsi="Palatino Linotype" w:cs="Tahoma"/>
              <w:b/>
              <w:sz w:val="22"/>
            </w:rPr>
          </w:pPr>
          <w:r w:rsidRPr="00753084">
            <w:rPr>
              <w:rFonts w:ascii="Palatino Linotype" w:hAnsi="Palatino Linotype" w:cs="Tahoma"/>
              <w:b/>
              <w:sz w:val="22"/>
            </w:rPr>
            <w:t>Voto Particular</w:t>
          </w:r>
        </w:p>
        <w:p w14:paraId="64C7C91B" w14:textId="77777777" w:rsidR="00D47073" w:rsidRDefault="001E6365" w:rsidP="00A072DB">
          <w:pPr>
            <w:pStyle w:val="Encabezado"/>
            <w:ind w:left="-108" w:right="-250"/>
            <w:jc w:val="both"/>
            <w:rPr>
              <w:rFonts w:ascii="Palatino Linotype" w:hAnsi="Palatino Linotype" w:cs="Arial"/>
              <w:sz w:val="22"/>
            </w:rPr>
          </w:pPr>
          <w:r w:rsidRPr="00753084">
            <w:rPr>
              <w:rFonts w:ascii="Palatino Linotype" w:hAnsi="Palatino Linotype" w:cs="Tahoma"/>
              <w:b/>
              <w:sz w:val="22"/>
            </w:rPr>
            <w:t xml:space="preserve">Recurso de Revisión: </w:t>
          </w:r>
          <w:r w:rsidR="00D47073" w:rsidRPr="00D47073">
            <w:rPr>
              <w:rFonts w:ascii="Palatino Linotype" w:hAnsi="Palatino Linotype" w:cs="Arial"/>
              <w:sz w:val="22"/>
            </w:rPr>
            <w:t xml:space="preserve">03339/INFOEM/IP/RR/2023 </w:t>
          </w:r>
        </w:p>
        <w:p w14:paraId="5B3161EB" w14:textId="77777777" w:rsidR="00D47073" w:rsidRPr="00D47073" w:rsidRDefault="001E6365" w:rsidP="00A072DB">
          <w:pPr>
            <w:pStyle w:val="Encabezado"/>
            <w:ind w:left="-108" w:right="-250"/>
            <w:jc w:val="both"/>
            <w:rPr>
              <w:rFonts w:ascii="Palatino Linotype" w:hAnsi="Palatino Linotype" w:cs="Tahoma"/>
              <w:sz w:val="22"/>
            </w:rPr>
          </w:pPr>
          <w:r w:rsidRPr="00753084">
            <w:rPr>
              <w:rFonts w:ascii="Palatino Linotype" w:hAnsi="Palatino Linotype" w:cs="Tahoma"/>
              <w:b/>
              <w:sz w:val="22"/>
            </w:rPr>
            <w:t>Sujeto Obligado</w:t>
          </w:r>
          <w:r w:rsidRPr="00D47073">
            <w:rPr>
              <w:rFonts w:ascii="Palatino Linotype" w:hAnsi="Palatino Linotype" w:cs="Tahoma"/>
              <w:sz w:val="22"/>
            </w:rPr>
            <w:t>:</w:t>
          </w:r>
          <w:r w:rsidRPr="00D47073">
            <w:rPr>
              <w:rFonts w:ascii="Palatino Linotype" w:eastAsia="Palatino Linotype" w:hAnsi="Palatino Linotype" w:cs="Palatino Linotype"/>
              <w:sz w:val="22"/>
            </w:rPr>
            <w:t xml:space="preserve"> </w:t>
          </w:r>
          <w:r w:rsidR="00D47073" w:rsidRPr="00D47073">
            <w:rPr>
              <w:rFonts w:ascii="Palatino Linotype" w:eastAsia="Palatino Linotype" w:hAnsi="Palatino Linotype" w:cs="Palatino Linotype"/>
            </w:rPr>
            <w:t>Ayuntamiento de Amanalco</w:t>
          </w:r>
          <w:r w:rsidR="00D47073" w:rsidRPr="00D47073">
            <w:rPr>
              <w:rFonts w:ascii="Palatino Linotype" w:hAnsi="Palatino Linotype" w:cs="Tahoma"/>
              <w:sz w:val="22"/>
            </w:rPr>
            <w:t xml:space="preserve"> </w:t>
          </w:r>
        </w:p>
        <w:p w14:paraId="77DD3841" w14:textId="10864B24" w:rsidR="00000000" w:rsidRPr="00DD6BEE" w:rsidRDefault="001E6365" w:rsidP="00A072DB">
          <w:pPr>
            <w:pStyle w:val="Encabezado"/>
            <w:ind w:left="-108" w:right="-250"/>
            <w:jc w:val="both"/>
            <w:rPr>
              <w:rFonts w:ascii="Palatino Linotype" w:hAnsi="Palatino Linotype" w:cs="Tahoma"/>
              <w:bCs/>
            </w:rPr>
          </w:pPr>
          <w:r w:rsidRPr="00753084">
            <w:rPr>
              <w:rFonts w:ascii="Palatino Linotype" w:hAnsi="Palatino Linotype" w:cs="Tahoma"/>
              <w:b/>
              <w:sz w:val="22"/>
            </w:rPr>
            <w:t xml:space="preserve">Comisionada Ponente: </w:t>
          </w:r>
          <w:r w:rsidRPr="00753084">
            <w:rPr>
              <w:rFonts w:ascii="Palatino Linotype" w:hAnsi="Palatino Linotype" w:cs="Tahoma"/>
              <w:bCs/>
              <w:sz w:val="22"/>
            </w:rPr>
            <w:t>Guadalupe Ramírez Peña</w:t>
          </w:r>
        </w:p>
      </w:tc>
    </w:tr>
  </w:tbl>
  <w:p w14:paraId="09B6A267" w14:textId="77777777" w:rsidR="00000000" w:rsidRDefault="00000000" w:rsidP="001F7B38">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335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65"/>
    <w:rsid w:val="000F44A9"/>
    <w:rsid w:val="001A75F0"/>
    <w:rsid w:val="001E6365"/>
    <w:rsid w:val="00264675"/>
    <w:rsid w:val="004D2B4E"/>
    <w:rsid w:val="00525F5E"/>
    <w:rsid w:val="00647263"/>
    <w:rsid w:val="00753084"/>
    <w:rsid w:val="00B15023"/>
    <w:rsid w:val="00CE7148"/>
    <w:rsid w:val="00D47073"/>
    <w:rsid w:val="00F92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AB93A"/>
  <w15:chartTrackingRefBased/>
  <w15:docId w15:val="{7103B319-4315-4C1B-A895-870B3C77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65"/>
    <w:pPr>
      <w:spacing w:line="25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36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E6365"/>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E636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E6365"/>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uiPriority w:val="99"/>
    <w:rsid w:val="001E636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6365"/>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6365"/>
    <w:rPr>
      <w:rFonts w:ascii="Times New Roman" w:eastAsia="Calibri" w:hAnsi="Times New Roman" w:cs="Times New Roman"/>
      <w:kern w:val="0"/>
      <w:sz w:val="24"/>
      <w:szCs w:val="24"/>
      <w:lang w:val="es-ES" w:eastAsia="es-ES"/>
      <w14:ligatures w14:val="none"/>
    </w:rPr>
  </w:style>
  <w:style w:type="table" w:styleId="Tablaconcuadrcula">
    <w:name w:val="Table Grid"/>
    <w:basedOn w:val="Tablanormal"/>
    <w:uiPriority w:val="39"/>
    <w:rsid w:val="001E63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1247</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Infoem600</cp:lastModifiedBy>
  <cp:revision>5</cp:revision>
  <cp:lastPrinted>2023-10-31T00:37:00Z</cp:lastPrinted>
  <dcterms:created xsi:type="dcterms:W3CDTF">2023-10-30T17:41:00Z</dcterms:created>
  <dcterms:modified xsi:type="dcterms:W3CDTF">2024-02-09T00:13:00Z</dcterms:modified>
</cp:coreProperties>
</file>