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662148</wp:posOffset>
            </wp:positionH>
            <wp:positionV relativeFrom="page">
              <wp:posOffset>361107</wp:posOffset>
            </wp:positionV>
            <wp:extent cx="6149361" cy="9604576"/>
            <wp:effectExtent b="0" l="0" r="0" t="0"/>
            <wp:wrapNone/>
            <wp:docPr id="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spacing w:before="30" w:line="360" w:lineRule="auto"/>
        <w:ind w:left="682" w:right="252" w:firstLine="0"/>
        <w:jc w:val="both"/>
        <w:rPr/>
      </w:pPr>
      <w:r w:rsidDel="00000000" w:rsidR="00000000" w:rsidRPr="00000000">
        <w:rPr>
          <w:rtl w:val="0"/>
        </w:rPr>
        <w:t xml:space="preserve">VOTO PARTICULAR CONCURRENTE QUE FORMULAN LAS COMISIONADAS SHARON CRISTINA MORALES MARTÍNEZ Y GUADALUPE RAMÍREZ PEÑA, EN RELACIÓN CON LA RESOLUCIÓN DEL RECURSO DE REVISIÓN 01170/INFOEM/IP/RR/2023, DICTADA POR EL PLENO DEL INSTITUTO DE TRANSPARENCIA, ACCESO A LA INFORMACIÓN PÚBLICA Y PROTECCIÓN DE DATOS PERSONALES DEL ESTADO DE MÉXICO Y MUNICIPIOS, EN LA CUADRAGÉSIMA CUARTA SESIÓN ORDINARIA CELEBRADA EL SEIS DE DICIEMBRE DE DOS MIL VEINTITRÉS.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spacing w:before="148" w:line="360" w:lineRule="auto"/>
        <w:ind w:left="682" w:right="252" w:firstLine="0"/>
        <w:jc w:val="both"/>
        <w:rPr>
          <w:sz w:val="22"/>
          <w:szCs w:val="22"/>
        </w:rPr>
      </w:pPr>
      <w:r w:rsidDel="00000000" w:rsidR="00000000" w:rsidRPr="00000000">
        <w:rPr>
          <w:sz w:val="22"/>
          <w:szCs w:val="22"/>
          <w:rtl w:val="0"/>
        </w:rPr>
        <w:t xml:space="preserve">Con fundamento en lo dispuesto por el artículo 14, fracciones X y XI, del Reglamento del Instituto de Transparencia, Acceso a la Información Pública y Protección de Datos Personales del Estado de México y Municipios, las que suscriben </w:t>
      </w:r>
      <w:r w:rsidDel="00000000" w:rsidR="00000000" w:rsidRPr="00000000">
        <w:rPr>
          <w:b w:val="1"/>
          <w:sz w:val="22"/>
          <w:szCs w:val="22"/>
          <w:rtl w:val="0"/>
        </w:rPr>
        <w:t xml:space="preserve">Sharon Cristina Morales Martínez y Guadalupe Ramírez Peña </w:t>
      </w:r>
      <w:r w:rsidDel="00000000" w:rsidR="00000000" w:rsidRPr="00000000">
        <w:rPr>
          <w:sz w:val="22"/>
          <w:szCs w:val="22"/>
          <w:rtl w:val="0"/>
        </w:rPr>
        <w:t xml:space="preserve">emiten </w:t>
      </w:r>
      <w:r w:rsidDel="00000000" w:rsidR="00000000" w:rsidRPr="00000000">
        <w:rPr>
          <w:b w:val="1"/>
          <w:sz w:val="22"/>
          <w:szCs w:val="22"/>
          <w:rtl w:val="0"/>
        </w:rPr>
        <w:t xml:space="preserve">VOTO PARTICULAR CONCURRENTE </w:t>
      </w:r>
      <w:r w:rsidDel="00000000" w:rsidR="00000000" w:rsidRPr="00000000">
        <w:rPr>
          <w:sz w:val="22"/>
          <w:szCs w:val="22"/>
          <w:rtl w:val="0"/>
        </w:rPr>
        <w:t xml:space="preserve">respecto a la resolución dictada del recurso de revisión </w:t>
      </w:r>
      <w:r w:rsidDel="00000000" w:rsidR="00000000" w:rsidRPr="00000000">
        <w:rPr>
          <w:b w:val="1"/>
          <w:sz w:val="22"/>
          <w:szCs w:val="22"/>
          <w:rtl w:val="0"/>
        </w:rPr>
        <w:t xml:space="preserve">01170/INFOEM/IP/RR/2023, </w:t>
      </w:r>
      <w:r w:rsidDel="00000000" w:rsidR="00000000" w:rsidRPr="00000000">
        <w:rPr>
          <w:sz w:val="22"/>
          <w:szCs w:val="22"/>
          <w:rtl w:val="0"/>
        </w:rPr>
        <w:t xml:space="preserve">pronunciada por el Pleno de este Instituto ante el proyecto presentado por el </w:t>
      </w:r>
      <w:r w:rsidDel="00000000" w:rsidR="00000000" w:rsidRPr="00000000">
        <w:rPr>
          <w:b w:val="1"/>
          <w:sz w:val="22"/>
          <w:szCs w:val="22"/>
          <w:rtl w:val="0"/>
        </w:rPr>
        <w:t xml:space="preserve">Comisionado José Martínez Vilchis</w:t>
      </w:r>
      <w:r w:rsidDel="00000000" w:rsidR="00000000" w:rsidRPr="00000000">
        <w:rPr>
          <w:sz w:val="22"/>
          <w:szCs w:val="22"/>
          <w:rtl w:val="0"/>
        </w:rPr>
        <w:t xml:space="preserve">, el cual fue resuelto conforme al criterio mayoritario que es del tenor siguiente: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2"/>
        <w:numPr>
          <w:ilvl w:val="0"/>
          <w:numId w:val="4"/>
        </w:numPr>
        <w:tabs>
          <w:tab w:val="left" w:leader="none" w:pos="1249"/>
        </w:tabs>
        <w:spacing w:after="0" w:before="0" w:line="240" w:lineRule="auto"/>
        <w:ind w:left="1248" w:right="0" w:hanging="283.9999999999999"/>
        <w:jc w:val="left"/>
        <w:rPr/>
      </w:pPr>
      <w:r w:rsidDel="00000000" w:rsidR="00000000" w:rsidRPr="00000000">
        <w:rPr>
          <w:rtl w:val="0"/>
        </w:rPr>
        <w:t xml:space="preserve">Antecedentes.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0">
      <w:pPr>
        <w:spacing w:before="0" w:line="360" w:lineRule="auto"/>
        <w:ind w:left="1248" w:right="116" w:firstLine="0"/>
        <w:jc w:val="both"/>
        <w:rPr>
          <w:sz w:val="22"/>
          <w:szCs w:val="22"/>
        </w:rPr>
      </w:pPr>
      <w:r w:rsidDel="00000000" w:rsidR="00000000" w:rsidRPr="00000000">
        <w:rPr>
          <w:sz w:val="22"/>
          <w:szCs w:val="22"/>
          <w:rtl w:val="0"/>
        </w:rPr>
        <w:t xml:space="preserve">A través de las solicitudes de acceso a la información que nos ocupan, la persona solicitante requirió del Ayuntamiento de Chalco </w:t>
      </w:r>
      <w:r w:rsidDel="00000000" w:rsidR="00000000" w:rsidRPr="00000000">
        <w:rPr>
          <w:b w:val="1"/>
          <w:sz w:val="22"/>
          <w:szCs w:val="22"/>
          <w:rtl w:val="0"/>
        </w:rPr>
        <w:t xml:space="preserve">(SUJETO OBLIGADO </w:t>
      </w:r>
      <w:r w:rsidDel="00000000" w:rsidR="00000000" w:rsidRPr="00000000">
        <w:rPr>
          <w:sz w:val="22"/>
          <w:szCs w:val="22"/>
          <w:rtl w:val="0"/>
        </w:rPr>
        <w:t xml:space="preserve">en adelante), lo siguiente:</w:t>
      </w:r>
    </w:p>
    <w:p w:rsidR="00000000" w:rsidDel="00000000" w:rsidP="00000000" w:rsidRDefault="00000000" w:rsidRPr="00000000" w14:paraId="00000011">
      <w:pPr>
        <w:spacing w:before="0" w:line="240" w:lineRule="auto"/>
        <w:ind w:left="1248" w:right="120" w:firstLine="0"/>
        <w:jc w:val="both"/>
        <w:rPr>
          <w:i w:val="1"/>
          <w:sz w:val="24"/>
          <w:szCs w:val="24"/>
        </w:rPr>
        <w:sectPr>
          <w:pgSz w:h="15840" w:w="12240" w:orient="portrait"/>
          <w:pgMar w:bottom="0" w:top="560" w:left="1020" w:right="1580" w:header="360" w:footer="360"/>
          <w:pgNumType w:start="1"/>
        </w:sectPr>
      </w:pPr>
      <w:r w:rsidDel="00000000" w:rsidR="00000000" w:rsidRPr="00000000">
        <w:rPr>
          <w:i w:val="1"/>
          <w:sz w:val="24"/>
          <w:szCs w:val="24"/>
          <w:rtl w:val="0"/>
        </w:rPr>
        <w:t xml:space="preserve">Copia simple de los documentos que acrediten el último grado de estudios y la experiencia laboral de todos los Titulares de las Direcciones que de acuerdo a su</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662148</wp:posOffset>
            </wp:positionH>
            <wp:positionV relativeFrom="page">
              <wp:posOffset>361107</wp:posOffset>
            </wp:positionV>
            <wp:extent cx="6149361" cy="9604576"/>
            <wp:effectExtent b="0" l="0" r="0" t="0"/>
            <wp:wrapNone/>
            <wp:docPr id="2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9">
      <w:pPr>
        <w:spacing w:before="24" w:lineRule="auto"/>
        <w:ind w:left="1248" w:right="0" w:firstLine="0"/>
        <w:jc w:val="left"/>
        <w:rPr>
          <w:i w:val="1"/>
          <w:sz w:val="24"/>
          <w:szCs w:val="24"/>
        </w:rPr>
      </w:pPr>
      <w:r w:rsidDel="00000000" w:rsidR="00000000" w:rsidRPr="00000000">
        <w:rPr>
          <w:i w:val="1"/>
          <w:sz w:val="24"/>
          <w:szCs w:val="24"/>
          <w:rtl w:val="0"/>
        </w:rPr>
        <w:t xml:space="preserve">organigrama integran el Gobierno Municipal de Chalco 2022-2024, Incluyendo Presidente Municipal, Síndico, Regidores y Secretario del Ayuntamiento. (Sic).</w:t>
      </w:r>
    </w:p>
    <w:p w:rsidR="00000000" w:rsidDel="00000000" w:rsidP="00000000" w:rsidRDefault="00000000" w:rsidRPr="00000000" w14:paraId="0000001A">
      <w:pPr>
        <w:spacing w:before="185" w:line="360" w:lineRule="auto"/>
        <w:ind w:left="682" w:right="0" w:firstLine="0"/>
        <w:jc w:val="left"/>
        <w:rPr>
          <w:sz w:val="22"/>
          <w:szCs w:val="22"/>
        </w:rPr>
      </w:pPr>
      <w:r w:rsidDel="00000000" w:rsidR="00000000" w:rsidRPr="00000000">
        <w:rPr>
          <w:sz w:val="22"/>
          <w:szCs w:val="22"/>
          <w:rtl w:val="0"/>
        </w:rPr>
        <w:t xml:space="preserve">Una vez conocida la respuesta del </w:t>
      </w:r>
      <w:r w:rsidDel="00000000" w:rsidR="00000000" w:rsidRPr="00000000">
        <w:rPr>
          <w:b w:val="1"/>
          <w:sz w:val="22"/>
          <w:szCs w:val="22"/>
          <w:rtl w:val="0"/>
        </w:rPr>
        <w:t xml:space="preserve">SUJETO OBLIGADO</w:t>
      </w:r>
      <w:r w:rsidDel="00000000" w:rsidR="00000000" w:rsidRPr="00000000">
        <w:rPr>
          <w:sz w:val="22"/>
          <w:szCs w:val="22"/>
          <w:rtl w:val="0"/>
        </w:rPr>
        <w:t xml:space="preserve">, la parte </w:t>
      </w:r>
      <w:r w:rsidDel="00000000" w:rsidR="00000000" w:rsidRPr="00000000">
        <w:rPr>
          <w:b w:val="1"/>
          <w:sz w:val="22"/>
          <w:szCs w:val="22"/>
          <w:rtl w:val="0"/>
        </w:rPr>
        <w:t xml:space="preserve">RECURRENTE </w:t>
      </w:r>
      <w:r w:rsidDel="00000000" w:rsidR="00000000" w:rsidRPr="00000000">
        <w:rPr>
          <w:sz w:val="22"/>
          <w:szCs w:val="22"/>
          <w:rtl w:val="0"/>
        </w:rPr>
        <w:t xml:space="preserve">interpuso el medio de impugnación, en los siguientes términos: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02"/>
        </w:tabs>
        <w:spacing w:after="0" w:before="0" w:line="240" w:lineRule="auto"/>
        <w:ind w:left="1402" w:right="0" w:hanging="360.99999999999994"/>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Acto Impugnado: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34"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me entregaron la información solicitada” [Sic].</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2"/>
        <w:numPr>
          <w:ilvl w:val="0"/>
          <w:numId w:val="3"/>
        </w:numPr>
        <w:tabs>
          <w:tab w:val="left" w:leader="none" w:pos="1402"/>
        </w:tabs>
        <w:spacing w:after="0" w:before="0" w:line="240" w:lineRule="auto"/>
        <w:ind w:left="1402" w:right="0" w:hanging="360.99999999999994"/>
        <w:jc w:val="both"/>
        <w:rPr>
          <w:b w:val="0"/>
        </w:rPr>
      </w:pPr>
      <w:r w:rsidDel="00000000" w:rsidR="00000000" w:rsidRPr="00000000">
        <w:rPr>
          <w:rtl w:val="0"/>
        </w:rPr>
        <w:t xml:space="preserve">Razones o Motivos de Inconformidad</w:t>
      </w:r>
      <w:r w:rsidDel="00000000" w:rsidR="00000000" w:rsidRPr="00000000">
        <w:rPr>
          <w:b w:val="0"/>
          <w:rtl w:val="0"/>
        </w:rPr>
        <w:t xml:space="preser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90" w:right="689" w:firstLine="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me entregaron los documentos requeridos, me proporcionan un link donde describen actividades y trayectoria laboral, pero solicité los documentos que acrediten la experiencia laboral” </w:t>
      </w: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[Sic].</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1"/>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2">
      <w:pPr>
        <w:spacing w:before="0" w:lineRule="auto"/>
        <w:ind w:left="682" w:right="0" w:firstLine="0"/>
        <w:jc w:val="left"/>
        <w:rPr>
          <w:sz w:val="22"/>
          <w:szCs w:val="22"/>
        </w:rPr>
      </w:pPr>
      <w:r w:rsidDel="00000000" w:rsidR="00000000" w:rsidRPr="00000000">
        <w:rPr>
          <w:sz w:val="22"/>
          <w:szCs w:val="22"/>
          <w:rtl w:val="0"/>
        </w:rPr>
        <w:t xml:space="preserve">Las partes fueron omisas en rendir manifestaciones.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spacing w:before="0" w:line="360" w:lineRule="auto"/>
        <w:ind w:left="682" w:right="115" w:firstLine="0"/>
        <w:jc w:val="both"/>
        <w:rPr>
          <w:sz w:val="22"/>
          <w:szCs w:val="22"/>
        </w:rPr>
      </w:pPr>
      <w:r w:rsidDel="00000000" w:rsidR="00000000" w:rsidRPr="00000000">
        <w:rPr>
          <w:sz w:val="22"/>
          <w:szCs w:val="22"/>
          <w:rtl w:val="0"/>
        </w:rPr>
        <w:t xml:space="preserve">Así las cosas, el Instituto consideró que las razones o motivos de inconformidad hechos valer por la parte </w:t>
      </w:r>
      <w:r w:rsidDel="00000000" w:rsidR="00000000" w:rsidRPr="00000000">
        <w:rPr>
          <w:b w:val="1"/>
          <w:sz w:val="22"/>
          <w:szCs w:val="22"/>
          <w:rtl w:val="0"/>
        </w:rPr>
        <w:t xml:space="preserve">RECURRENTE </w:t>
      </w:r>
      <w:r w:rsidDel="00000000" w:rsidR="00000000" w:rsidRPr="00000000">
        <w:rPr>
          <w:sz w:val="22"/>
          <w:szCs w:val="22"/>
          <w:rtl w:val="0"/>
        </w:rPr>
        <w:t xml:space="preserve">resultaban fundados, y determinó </w:t>
      </w:r>
      <w:r w:rsidDel="00000000" w:rsidR="00000000" w:rsidRPr="00000000">
        <w:rPr>
          <w:b w:val="1"/>
          <w:sz w:val="22"/>
          <w:szCs w:val="22"/>
          <w:rtl w:val="0"/>
        </w:rPr>
        <w:t xml:space="preserve">modificar </w:t>
      </w:r>
      <w:r w:rsidDel="00000000" w:rsidR="00000000" w:rsidRPr="00000000">
        <w:rPr>
          <w:sz w:val="22"/>
          <w:szCs w:val="22"/>
          <w:rtl w:val="0"/>
        </w:rPr>
        <w:t xml:space="preserve">la respuesta del </w:t>
      </w:r>
      <w:r w:rsidDel="00000000" w:rsidR="00000000" w:rsidRPr="00000000">
        <w:rPr>
          <w:b w:val="1"/>
          <w:sz w:val="22"/>
          <w:szCs w:val="22"/>
          <w:rtl w:val="0"/>
        </w:rPr>
        <w:t xml:space="preserve">SUJETO OBLIGADO</w:t>
      </w:r>
      <w:r w:rsidDel="00000000" w:rsidR="00000000" w:rsidRPr="00000000">
        <w:rPr>
          <w:sz w:val="22"/>
          <w:szCs w:val="22"/>
          <w:rtl w:val="0"/>
        </w:rPr>
        <w:t xml:space="preserve">, ordenando lo siguiente: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4" w:right="734"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“SEGUNDO.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ORDENA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al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haga entrega a la parte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Recurrente</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en términos del Considerando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CUARTO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 esta resolución, a través del Sistema de Acceso a la Información Mexiquense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SAIMEX</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previa búsqueda exhaustiva y razonable, en versión pública, del documento o documentos donde conste lo siguiente: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4" w:right="73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 los Titulares de las Direcciones que integran el Ayuntamiento de Chalco 2022- 2024, incluyendo Presidente Municipal, Síndico, Regidores y Secretario del Ayuntamiento, en funciones al veintiuno de marzo del dos mil veintitrés, lo siguiente: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spacing w:before="0" w:lineRule="auto"/>
        <w:ind w:left="1534" w:right="0" w:firstLine="0"/>
        <w:jc w:val="both"/>
        <w:rPr>
          <w:b w:val="1"/>
          <w:i w:val="1"/>
          <w:sz w:val="22"/>
          <w:szCs w:val="22"/>
        </w:rPr>
        <w:sectPr>
          <w:type w:val="nextPage"/>
          <w:pgSz w:h="15840" w:w="12240" w:orient="portrait"/>
          <w:pgMar w:bottom="0" w:top="560" w:left="1020" w:right="1580" w:header="360" w:footer="360"/>
        </w:sectPr>
      </w:pPr>
      <w:r w:rsidDel="00000000" w:rsidR="00000000" w:rsidRPr="00000000">
        <w:rPr>
          <w:b w:val="1"/>
          <w:i w:val="1"/>
          <w:sz w:val="22"/>
          <w:szCs w:val="22"/>
          <w:rtl w:val="0"/>
        </w:rPr>
        <w:t xml:space="preserve">Documentos que acrediten su experiencia laboral.</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662148</wp:posOffset>
            </wp:positionH>
            <wp:positionV relativeFrom="page">
              <wp:posOffset>361107</wp:posOffset>
            </wp:positionV>
            <wp:extent cx="6149361" cy="9604576"/>
            <wp:effectExtent b="0" l="0" r="0" t="0"/>
            <wp:wrapNone/>
            <wp:docPr id="2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1"/>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534" w:right="7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Recurrente</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4" w:right="735"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Para el que en caso de que después de haber realizado una búsqueda exhaustiva y razonable, no se haya generado la información requerida, se deberá hacer del conocimiento a la Recurrente de manera motivada, en concordancia con el párrafo segundo del artículo 19 de la Ley de Transparencia y Acceso a la Información Pública del Estado de México y Municipios.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589"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2"/>
        <w:numPr>
          <w:ilvl w:val="0"/>
          <w:numId w:val="4"/>
        </w:numPr>
        <w:tabs>
          <w:tab w:val="left" w:leader="none" w:pos="1761"/>
          <w:tab w:val="left" w:leader="none" w:pos="1762"/>
        </w:tabs>
        <w:spacing w:after="0" w:before="0" w:line="240" w:lineRule="auto"/>
        <w:ind w:left="1762" w:right="0" w:hanging="721"/>
        <w:jc w:val="left"/>
        <w:rPr/>
      </w:pPr>
      <w:r w:rsidDel="00000000" w:rsidR="00000000" w:rsidRPr="00000000">
        <w:rPr>
          <w:rtl w:val="0"/>
        </w:rPr>
        <w:t xml:space="preserve">Razones del Voto Particular Concurrente.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39">
      <w:pPr>
        <w:spacing w:before="0" w:line="360" w:lineRule="auto"/>
        <w:ind w:left="682" w:right="255" w:firstLine="0"/>
        <w:jc w:val="both"/>
        <w:rPr>
          <w:b w:val="1"/>
          <w:sz w:val="22"/>
          <w:szCs w:val="22"/>
        </w:rPr>
      </w:pPr>
      <w:r w:rsidDel="00000000" w:rsidR="00000000" w:rsidRPr="00000000">
        <w:rPr>
          <w:sz w:val="22"/>
          <w:szCs w:val="22"/>
          <w:rtl w:val="0"/>
        </w:rPr>
        <w:t xml:space="preserve">Ahora bien, si bien se comparte en esencia el estudio realizado por la Ponencia, sin embargo, en cuanto a los documentos que acrediten su experiencia laboral del Presidente Municipal, Síndico y Regidores, que se ordenan en el resolutivo segundo, las suscritas </w:t>
      </w:r>
      <w:r w:rsidDel="00000000" w:rsidR="00000000" w:rsidRPr="00000000">
        <w:rPr>
          <w:b w:val="1"/>
          <w:sz w:val="22"/>
          <w:szCs w:val="22"/>
          <w:rtl w:val="0"/>
        </w:rPr>
        <w:t xml:space="preserve">no comparten las consideraciones que fueron vertidas en la presente resolución</w:t>
      </w:r>
      <w:r w:rsidDel="00000000" w:rsidR="00000000" w:rsidRPr="00000000">
        <w:rPr>
          <w:sz w:val="22"/>
          <w:szCs w:val="22"/>
          <w:rtl w:val="0"/>
        </w:rPr>
        <w:t xml:space="preserve">, en virtud de que, para las emisoras del voto en el presente caso, los documentos ordenados de manera particular, </w:t>
      </w:r>
      <w:r w:rsidDel="00000000" w:rsidR="00000000" w:rsidRPr="00000000">
        <w:rPr>
          <w:b w:val="1"/>
          <w:sz w:val="22"/>
          <w:szCs w:val="22"/>
          <w:rtl w:val="0"/>
        </w:rPr>
        <w:t xml:space="preserve">no son requisitos necesarios respecto del presidente municipal, síndico y regidores, pues al tratarse de cargos públicos designado por elección popular, no se requiere acreditar determinado grado de estudios e información curricular, por lo tanto, en el caso de los Ayuntamientos, no hay manera de dar satisfacción a la información específica requerida.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B">
      <w:pPr>
        <w:spacing w:before="1" w:line="360" w:lineRule="auto"/>
        <w:ind w:left="682" w:right="0" w:firstLine="0"/>
        <w:jc w:val="left"/>
        <w:rPr>
          <w:sz w:val="22"/>
          <w:szCs w:val="22"/>
        </w:rPr>
        <w:sectPr>
          <w:type w:val="nextPage"/>
          <w:pgSz w:h="15840" w:w="12240" w:orient="portrait"/>
          <w:pgMar w:bottom="0" w:top="560" w:left="1020" w:right="1580" w:header="360" w:footer="360"/>
        </w:sectPr>
      </w:pPr>
      <w:r w:rsidDel="00000000" w:rsidR="00000000" w:rsidRPr="00000000">
        <w:rPr>
          <w:sz w:val="22"/>
          <w:szCs w:val="22"/>
          <w:rtl w:val="0"/>
        </w:rPr>
        <w:t xml:space="preserve">Determinado lo anterior, es pertinente mencionar que en estas circunstancias no resulta exigible al </w:t>
      </w:r>
      <w:r w:rsidDel="00000000" w:rsidR="00000000" w:rsidRPr="00000000">
        <w:rPr>
          <w:b w:val="1"/>
          <w:sz w:val="22"/>
          <w:szCs w:val="22"/>
          <w:rtl w:val="0"/>
        </w:rPr>
        <w:t xml:space="preserve">SUJETO OBLIGADO </w:t>
      </w:r>
      <w:r w:rsidDel="00000000" w:rsidR="00000000" w:rsidRPr="00000000">
        <w:rPr>
          <w:sz w:val="22"/>
          <w:szCs w:val="22"/>
          <w:rtl w:val="0"/>
        </w:rPr>
        <w:t xml:space="preserve">requerirle la entrega de información que no obra en sus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662148</wp:posOffset>
            </wp:positionH>
            <wp:positionV relativeFrom="page">
              <wp:posOffset>361107</wp:posOffset>
            </wp:positionV>
            <wp:extent cx="6149361" cy="9604576"/>
            <wp:effectExtent b="0" l="0" r="0" t="0"/>
            <wp:wrapNone/>
            <wp:docPr id="2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3">
      <w:pPr>
        <w:spacing w:before="31" w:line="360" w:lineRule="auto"/>
        <w:ind w:left="682" w:right="112" w:firstLine="0"/>
        <w:jc w:val="both"/>
        <w:rPr>
          <w:sz w:val="22"/>
          <w:szCs w:val="22"/>
        </w:rPr>
      </w:pPr>
      <w:r w:rsidDel="00000000" w:rsidR="00000000" w:rsidRPr="00000000">
        <w:rPr>
          <w:sz w:val="22"/>
          <w:szCs w:val="22"/>
          <w:rtl w:val="0"/>
        </w:rPr>
        <w:t xml:space="preserve">archivos, toda vez que de conformidad con los artículos 117, 118, 119 y 120 de la Constitución Política del Estado Libre y Soberano de México, los integrantes del ayuntamiento, propietarios o suplentes deberán cumplir una serie de requisitos, de las cuales no se advierte la obligación de entregar los Títulos y cédulas que acrediten sus grados académicos, sirve de ilustración la siguiente cita:</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5">
      <w:pPr>
        <w:spacing w:before="0" w:line="276" w:lineRule="auto"/>
        <w:ind w:left="1248" w:right="729" w:firstLine="0"/>
        <w:jc w:val="both"/>
        <w:rPr>
          <w:i w:val="1"/>
          <w:sz w:val="22"/>
          <w:szCs w:val="22"/>
        </w:rPr>
      </w:pPr>
      <w:r w:rsidDel="00000000" w:rsidR="00000000" w:rsidRPr="00000000">
        <w:rPr>
          <w:i w:val="1"/>
          <w:sz w:val="22"/>
          <w:szCs w:val="22"/>
          <w:rtl w:val="0"/>
        </w:rPr>
        <w:t xml:space="preserve">“Artículo 117.- </w:t>
      </w:r>
      <w:r w:rsidDel="00000000" w:rsidR="00000000" w:rsidRPr="00000000">
        <w:rPr>
          <w:b w:val="1"/>
          <w:i w:val="1"/>
          <w:sz w:val="22"/>
          <w:szCs w:val="22"/>
          <w:rtl w:val="0"/>
        </w:rPr>
        <w:t xml:space="preserve">Los ayuntamientos se integrarán con una jefa o jefe de asamblea que se denominará Presidenta o Presidente Municipal, respectivamente</w:t>
      </w:r>
      <w:r w:rsidDel="00000000" w:rsidR="00000000" w:rsidRPr="00000000">
        <w:rPr>
          <w:i w:val="1"/>
          <w:sz w:val="22"/>
          <w:szCs w:val="22"/>
          <w:rtl w:val="0"/>
        </w:rPr>
        <w:t xml:space="preserve">, </w:t>
      </w:r>
      <w:r w:rsidDel="00000000" w:rsidR="00000000" w:rsidRPr="00000000">
        <w:rPr>
          <w:b w:val="1"/>
          <w:i w:val="1"/>
          <w:sz w:val="22"/>
          <w:szCs w:val="22"/>
          <w:rtl w:val="0"/>
        </w:rPr>
        <w:t xml:space="preserve">y con varios miembros más llamados Síndicas o Síndicos y Regidoras o Regidores</w:t>
      </w:r>
      <w:r w:rsidDel="00000000" w:rsidR="00000000" w:rsidRPr="00000000">
        <w:rPr>
          <w:i w:val="1"/>
          <w:sz w:val="22"/>
          <w:szCs w:val="22"/>
          <w:rtl w:val="0"/>
        </w:rPr>
        <w:t xml:space="preserve">,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7">
      <w:pPr>
        <w:spacing w:before="0" w:lineRule="auto"/>
        <w:ind w:left="1248" w:right="0" w:firstLine="0"/>
        <w:jc w:val="both"/>
        <w:rPr>
          <w:b w:val="1"/>
          <w:i w:val="1"/>
          <w:sz w:val="22"/>
          <w:szCs w:val="22"/>
        </w:rPr>
      </w:pPr>
      <w:r w:rsidDel="00000000" w:rsidR="00000000" w:rsidRPr="00000000">
        <w:rPr>
          <w:b w:val="1"/>
          <w:i w:val="1"/>
          <w:sz w:val="22"/>
          <w:szCs w:val="22"/>
          <w:rtl w:val="0"/>
        </w:rPr>
        <w:t xml:space="preserve">CAPÍTULO SEGUNDO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spacing w:before="0" w:lineRule="auto"/>
        <w:ind w:left="1248" w:right="0" w:firstLine="0"/>
        <w:jc w:val="both"/>
        <w:rPr>
          <w:b w:val="1"/>
          <w:i w:val="1"/>
          <w:sz w:val="22"/>
          <w:szCs w:val="22"/>
        </w:rPr>
      </w:pPr>
      <w:r w:rsidDel="00000000" w:rsidR="00000000" w:rsidRPr="00000000">
        <w:rPr>
          <w:b w:val="1"/>
          <w:i w:val="1"/>
          <w:sz w:val="22"/>
          <w:szCs w:val="22"/>
          <w:rtl w:val="0"/>
        </w:rPr>
        <w:t xml:space="preserve">De los Miembros de los Ayuntamientos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76" w:lineRule="auto"/>
        <w:ind w:left="1248" w:right="735"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118.-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Los miembros de un ayuntamiento serán designados en una sola elección.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3"/>
        <w:spacing w:line="276" w:lineRule="auto"/>
        <w:ind w:right="735" w:firstLine="1248"/>
        <w:rPr/>
        <w:sectPr>
          <w:type w:val="nextPage"/>
          <w:pgSz w:h="15840" w:w="12240" w:orient="portrait"/>
          <w:pgMar w:bottom="0" w:top="560" w:left="1020" w:right="1580" w:header="360" w:footer="360"/>
        </w:sectPr>
      </w:pPr>
      <w:r w:rsidDel="00000000" w:rsidR="00000000" w:rsidRPr="00000000">
        <w:rPr>
          <w:rtl w:val="0"/>
        </w:rPr>
        <w:t xml:space="preserve">Artículo 119.- Para ser miembro propietario o suplente de un ayuntamiento se requiere: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662148</wp:posOffset>
            </wp:positionH>
            <wp:positionV relativeFrom="page">
              <wp:posOffset>361107</wp:posOffset>
            </wp:positionV>
            <wp:extent cx="6149361" cy="9604576"/>
            <wp:effectExtent b="0" l="0" r="0" t="0"/>
            <wp:wrapNone/>
            <wp:docPr id="2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458"/>
        </w:tabs>
        <w:spacing w:after="0" w:before="31" w:line="276" w:lineRule="auto"/>
        <w:ind w:left="1248" w:right="736"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Ser mexicana o mexicano, ciudadana o ciudadano del Estado, en pleno ejercicio de sus derechos;</w:t>
      </w:r>
    </w:p>
    <w:p w:rsidR="00000000" w:rsidDel="00000000" w:rsidP="00000000" w:rsidRDefault="00000000" w:rsidRPr="00000000" w14:paraId="00000055">
      <w:pPr>
        <w:pStyle w:val="Heading3"/>
        <w:numPr>
          <w:ilvl w:val="1"/>
          <w:numId w:val="4"/>
        </w:numPr>
        <w:tabs>
          <w:tab w:val="left" w:leader="none" w:pos="1534"/>
        </w:tabs>
        <w:spacing w:after="0" w:before="0" w:line="276" w:lineRule="auto"/>
        <w:ind w:left="1248" w:right="736" w:firstLine="0"/>
        <w:jc w:val="both"/>
        <w:rPr/>
      </w:pPr>
      <w:r w:rsidDel="00000000" w:rsidR="00000000" w:rsidRPr="00000000">
        <w:rPr>
          <w:rtl w:val="0"/>
        </w:rPr>
        <w:t xml:space="preserve">Ser mexiquense con residencia efectiva en el municipio no menor a un año o vecino del mismo, con residencia efectiva en su territorio no menor a tres años, anteriores al día de la elección; y</w:t>
      </w:r>
    </w:p>
    <w:p w:rsidR="00000000" w:rsidDel="00000000" w:rsidP="00000000" w:rsidRDefault="00000000" w:rsidRPr="00000000" w14:paraId="0000005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618"/>
        </w:tabs>
        <w:spacing w:after="0" w:before="1" w:line="240" w:lineRule="auto"/>
        <w:ind w:left="1617" w:right="0" w:hanging="37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Ser de reconocida probidad y buena fama pública.</w:t>
      </w:r>
    </w:p>
    <w:p w:rsidR="00000000" w:rsidDel="00000000" w:rsidP="00000000" w:rsidRDefault="00000000" w:rsidRPr="00000000" w14:paraId="00000057">
      <w:pPr>
        <w:pStyle w:val="Heading3"/>
        <w:numPr>
          <w:ilvl w:val="1"/>
          <w:numId w:val="4"/>
        </w:numPr>
        <w:tabs>
          <w:tab w:val="left" w:leader="none" w:pos="1587"/>
        </w:tabs>
        <w:spacing w:after="0" w:before="43" w:line="276" w:lineRule="auto"/>
        <w:ind w:left="1248" w:right="730" w:firstLine="0"/>
        <w:jc w:val="left"/>
        <w:rPr/>
      </w:pPr>
      <w:r w:rsidDel="00000000" w:rsidR="00000000" w:rsidRPr="00000000">
        <w:rPr>
          <w:rtl w:val="0"/>
        </w:rPr>
        <w:t xml:space="preserve">No estar condenada o condenado por sentencia ejecutoriada por el delito de violencia política contra las mujeres en razón de género;</w:t>
      </w:r>
    </w:p>
    <w:p w:rsidR="00000000" w:rsidDel="00000000" w:rsidP="00000000" w:rsidRDefault="00000000" w:rsidRPr="00000000" w14:paraId="0000005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534"/>
        </w:tabs>
        <w:spacing w:after="0" w:before="2" w:line="276" w:lineRule="auto"/>
        <w:ind w:left="1248" w:right="737" w:firstLine="0"/>
        <w:jc w:val="left"/>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No estar inscrito en el Registro de Deudores Alimentarios Morosos en el Estado, ni en otra entidad federativa, y</w:t>
      </w:r>
    </w:p>
    <w:p w:rsidR="00000000" w:rsidDel="00000000" w:rsidP="00000000" w:rsidRDefault="00000000" w:rsidRPr="00000000" w14:paraId="00000059">
      <w:pPr>
        <w:pStyle w:val="Heading3"/>
        <w:numPr>
          <w:ilvl w:val="1"/>
          <w:numId w:val="4"/>
        </w:numPr>
        <w:tabs>
          <w:tab w:val="left" w:leader="none" w:pos="1585"/>
        </w:tabs>
        <w:spacing w:after="0" w:before="0" w:line="276" w:lineRule="auto"/>
        <w:ind w:left="1248" w:right="736" w:firstLine="0"/>
        <w:jc w:val="left"/>
        <w:rPr/>
      </w:pPr>
      <w:r w:rsidDel="00000000" w:rsidR="00000000" w:rsidRPr="00000000">
        <w:rPr>
          <w:rtl w:val="0"/>
        </w:rPr>
        <w:t xml:space="preserve">No estar condenada o condenado por sentencia ejecutoriada por delitos de violencia familiar, contra la libertad sexual o de violencia de género.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48"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120.- No pueden ser miembros propietarios o suplentes de los ayuntamientos:</w:t>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8"/>
        </w:tabs>
        <w:spacing w:after="0" w:before="44" w:line="276" w:lineRule="auto"/>
        <w:ind w:left="1248" w:right="731"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diputadas o diputados y senadoras o senadores al Congreso de la Unión que se encuentren en ejercicio de su cargo;</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10"/>
        </w:tabs>
        <w:spacing w:after="0" w:before="0" w:line="278.00000000000006" w:lineRule="auto"/>
        <w:ind w:left="1248" w:right="737"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diputadas o diputados a la Legislatura del Estado que se encuentren en ejercicio de su cargo;</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623"/>
        </w:tabs>
        <w:spacing w:after="0" w:before="0" w:line="276" w:lineRule="auto"/>
        <w:ind w:left="1248" w:right="731"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juezas o jueces, magistradas o magistrados o consejeras o consejeros de la Judicatura del Poder Judicial del Estado o de la Federación;</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627"/>
        </w:tabs>
        <w:spacing w:after="0" w:before="0" w:line="276" w:lineRule="auto"/>
        <w:ind w:left="1248" w:right="737"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y los servidores públicos federales, estatales o municipales en ejercicio de autoridad;</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15"/>
        </w:tabs>
        <w:spacing w:after="0" w:before="0" w:line="276" w:lineRule="auto"/>
        <w:ind w:left="1248" w:right="73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y los militares y los miembros de las fuerzas de seguridad pública del Estado y los de los municipios que ejerzan mando en el territorio de la elección; y</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94"/>
        </w:tabs>
        <w:spacing w:after="0" w:before="0" w:line="276" w:lineRule="auto"/>
        <w:ind w:left="1248" w:right="734"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sectPr>
          <w:type w:val="nextPage"/>
          <w:pgSz w:h="15840" w:w="12240" w:orient="portrait"/>
          <w:pgMar w:bottom="0" w:top="560" w:left="1020" w:right="1580" w:header="360" w:footer="360"/>
        </w:sect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y los ministros de cualquier culto, a menos que se separen formal, material y definitivamente de su ministerio, cuando menos cinco años antes del día de la elección. Las y los servidores públicos a que se refieren las fracciones de la I a la V serán exceptuados del impedimento si se separan de sus respectivos cargos por lo menos, veinticuatro horas antes del inicio de las campañas, conforme al calendario electoral vigente</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662148</wp:posOffset>
            </wp:positionH>
            <wp:positionV relativeFrom="page">
              <wp:posOffset>361107</wp:posOffset>
            </wp:positionV>
            <wp:extent cx="6149361" cy="9604576"/>
            <wp:effectExtent b="0" l="0" r="0" t="0"/>
            <wp:wrapNone/>
            <wp:docPr id="2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1"/>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69">
      <w:pPr>
        <w:spacing w:before="31" w:lineRule="auto"/>
        <w:ind w:left="785" w:right="0" w:firstLine="0"/>
        <w:jc w:val="left"/>
        <w:rPr>
          <w:sz w:val="22"/>
          <w:szCs w:val="22"/>
        </w:rPr>
      </w:pPr>
      <w:r w:rsidDel="00000000" w:rsidR="00000000" w:rsidRPr="00000000">
        <w:rPr>
          <w:sz w:val="22"/>
          <w:szCs w:val="22"/>
          <w:rtl w:val="0"/>
        </w:rPr>
        <w:t xml:space="preserve">De igual forma, el Código Electoral del Estado de México señala:</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48" w:right="731"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48" w:right="73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17. Además de los requisitos señalados en el artículo anterior, las ciudadanas y los ciudadanos que aspiren a las candidaturas a Gobernadora o Gobernador, Diputada, Diputado o integrante de los ayuntamientos deberán satisfacer lo siguiente: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53"/>
        </w:tabs>
        <w:spacing w:after="0" w:before="0" w:line="278.00000000000006" w:lineRule="auto"/>
        <w:ind w:left="1248" w:right="73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Estar inscrito en el padrón electoral correspondiente, la lista nominal y contar con credencial para votar vigente.</w:t>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2"/>
        </w:tabs>
        <w:spacing w:after="0" w:before="0" w:line="276" w:lineRule="auto"/>
        <w:ind w:left="1248" w:right="738"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magistrada o magistrado del Tribunal Superior de Justicia o del Tribunal Electoral o funcionario de este, salvo que se separe del cargo dos años antes de la fecha de inicio del proceso electoral de que se trate.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90"/>
        </w:tabs>
        <w:spacing w:after="0" w:before="0" w:line="276" w:lineRule="auto"/>
        <w:ind w:left="1248" w:right="738"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formar parte del servicio profesional electoral del Instituto, salvo que se separe del cargo dos años antes de la fecha de inicio del proceso electoral de que se trate.</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06"/>
        </w:tabs>
        <w:spacing w:after="0" w:before="0" w:line="276" w:lineRule="auto"/>
        <w:ind w:left="1248" w:right="73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consejera o consejero electoral en el consejo general, del Instituto ni secretario ejecutivo, salvo que se separe del cargo dos años antes de la fecha de inicio del proceso electoral de que se trate.</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06"/>
        </w:tabs>
        <w:spacing w:after="0" w:before="0" w:line="276" w:lineRule="auto"/>
        <w:ind w:left="1248" w:right="7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sectPr>
          <w:type w:val="nextPage"/>
          <w:pgSz w:h="15840" w:w="12240" w:orient="portrait"/>
          <w:pgMar w:bottom="0" w:top="560" w:left="1020" w:right="1580" w:header="360" w:footer="360"/>
        </w:sect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consejera o consejero electoral en los consejos distritales o municipales del Instituto ni director del mismo, salvo que se haya separado del cargo dos años antes de la fecha de inicio del proceso electoral de que se trate.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662148</wp:posOffset>
            </wp:positionH>
            <wp:positionV relativeFrom="page">
              <wp:posOffset>361107</wp:posOffset>
            </wp:positionV>
            <wp:extent cx="6149361" cy="9604576"/>
            <wp:effectExtent b="0" l="0" r="0" t="0"/>
            <wp:wrapNone/>
            <wp:docPr id="2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66"/>
        </w:tabs>
        <w:spacing w:after="0" w:before="31" w:line="276" w:lineRule="auto"/>
        <w:ind w:left="1248" w:right="735"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integrante del órgano de dirección de los organismos a los que la Constitución Local otorga autonomía, salvo que se separe del cargo dos años antes de la fecha de inicio del proceso electoral de que se trate;</w:t>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47"/>
        </w:tabs>
        <w:spacing w:after="0" w:before="0" w:line="276" w:lineRule="auto"/>
        <w:ind w:left="1248" w:right="73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secretaria, secretario o subsecretaria o subsecretario de Estado, ni titular de los organismos públicos desconcentrados o descentralizados de la administración pública estatal, a menos que se separen noventa días antes de la elección, y</w:t>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29"/>
        </w:tabs>
        <w:spacing w:after="0" w:before="0" w:line="240" w:lineRule="auto"/>
        <w:ind w:left="1828" w:right="0" w:hanging="581"/>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Ser electo o designado candidata o candidato, de conformidad con los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1248"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procedimientos democráticos internos del partido político que lo postule”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81">
      <w:pPr>
        <w:spacing w:before="1" w:line="360" w:lineRule="auto"/>
        <w:ind w:left="682" w:right="184" w:firstLine="0"/>
        <w:jc w:val="both"/>
        <w:rPr>
          <w:sz w:val="22"/>
          <w:szCs w:val="22"/>
        </w:rPr>
      </w:pPr>
      <w:r w:rsidDel="00000000" w:rsidR="00000000" w:rsidRPr="00000000">
        <w:rPr>
          <w:sz w:val="22"/>
          <w:szCs w:val="22"/>
          <w:rtl w:val="0"/>
        </w:rPr>
        <w:t xml:space="preserve">En relación a estos preceptos, la Ley Orgánica Municipal en su artículo 18, fracción I dispone que una vez rendidos los informes de los ayuntamientos en funciones, previa convocatoria a sesión solemne, </w:t>
      </w:r>
      <w:r w:rsidDel="00000000" w:rsidR="00000000" w:rsidRPr="00000000">
        <w:rPr>
          <w:b w:val="1"/>
          <w:sz w:val="22"/>
          <w:szCs w:val="22"/>
          <w:rtl w:val="0"/>
        </w:rPr>
        <w:t xml:space="preserve">deberán presentarse los ciudadanos que en términos de ley resultaron electos para rendir protesta y ocupar los cargos de presidente municipal, síndico o síndicos y regidores</w:t>
      </w:r>
      <w:r w:rsidDel="00000000" w:rsidR="00000000" w:rsidRPr="00000000">
        <w:rPr>
          <w:sz w:val="22"/>
          <w:szCs w:val="22"/>
          <w:rtl w:val="0"/>
        </w:rPr>
        <w:t xml:space="preserve">, sin que dicho plazo exceda el mes de diciembre del último año de la gestión del ayuntamiento saliente, </w:t>
      </w:r>
      <w:r w:rsidDel="00000000" w:rsidR="00000000" w:rsidRPr="00000000">
        <w:rPr>
          <w:b w:val="1"/>
          <w:sz w:val="22"/>
          <w:szCs w:val="22"/>
          <w:rtl w:val="0"/>
        </w:rPr>
        <w:t xml:space="preserve">dicha reunión tendrá por objeto que los miembros del ayuntamiento entrante, rindan la protesta en términos de lo dispuesto por el artículo 144 de la Constitución Política del Estado Libre y Soberano de México</w:t>
      </w:r>
      <w:r w:rsidDel="00000000" w:rsidR="00000000" w:rsidRPr="00000000">
        <w:rPr>
          <w:sz w:val="22"/>
          <w:szCs w:val="22"/>
          <w:rtl w:val="0"/>
        </w:rPr>
        <w:t xml:space="preserve">, por lo que el Presidente Municipal electo para el período siguiente lo hará ante el representante designado por el Ejecutivo del Estado y a su vez, hará de inmediato lo propio con los demás miembros del ayuntamiento electo.</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spacing w:before="149" w:line="360" w:lineRule="auto"/>
        <w:ind w:left="682" w:right="182" w:firstLine="0"/>
        <w:jc w:val="both"/>
        <w:rPr>
          <w:sz w:val="22"/>
          <w:szCs w:val="22"/>
        </w:rPr>
        <w:sectPr>
          <w:type w:val="nextPage"/>
          <w:pgSz w:h="15840" w:w="12240" w:orient="portrait"/>
          <w:pgMar w:bottom="0" w:top="560" w:left="1020" w:right="1580" w:header="360" w:footer="360"/>
        </w:sectPr>
      </w:pPr>
      <w:r w:rsidDel="00000000" w:rsidR="00000000" w:rsidRPr="00000000">
        <w:rPr>
          <w:sz w:val="22"/>
          <w:szCs w:val="22"/>
          <w:rtl w:val="0"/>
        </w:rPr>
        <w:t xml:space="preserve">De tal suerte que la Constitución y la Ley Orgánica Municipal considera a las y los Regidores como servidores que ostentan un cargo de elección popular, por lo tanto, se reitera que </w:t>
      </w:r>
      <w:r w:rsidDel="00000000" w:rsidR="00000000" w:rsidRPr="00000000">
        <w:rPr>
          <w:b w:val="1"/>
          <w:sz w:val="22"/>
          <w:szCs w:val="22"/>
          <w:rtl w:val="0"/>
        </w:rPr>
        <w:t xml:space="preserve">no se encuentran constreñidos a entregar los documentos solicitados por la PARTE RECURRENTE, </w:t>
      </w:r>
      <w:r w:rsidDel="00000000" w:rsidR="00000000" w:rsidRPr="00000000">
        <w:rPr>
          <w:sz w:val="22"/>
          <w:szCs w:val="22"/>
          <w:rtl w:val="0"/>
        </w:rPr>
        <w:t xml:space="preserve">toda vez que por la naturaleza de su designación, estaríamos ante una excepción</w:t>
      </w:r>
      <w:r w:rsidDel="00000000" w:rsidR="00000000" w:rsidRPr="00000000">
        <w:rPr>
          <w:b w:val="1"/>
          <w:sz w:val="22"/>
          <w:szCs w:val="22"/>
          <w:rtl w:val="0"/>
        </w:rPr>
        <w:t xml:space="preserve">, </w:t>
      </w:r>
      <w:r w:rsidDel="00000000" w:rsidR="00000000" w:rsidRPr="00000000">
        <w:rPr>
          <w:sz w:val="22"/>
          <w:szCs w:val="22"/>
          <w:rtl w:val="0"/>
        </w:rPr>
        <w:t xml:space="preserve">por lo que no es posible entregar la información solicitada, en virtud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662148</wp:posOffset>
            </wp:positionH>
            <wp:positionV relativeFrom="page">
              <wp:posOffset>361107</wp:posOffset>
            </wp:positionV>
            <wp:extent cx="6149361" cy="9604576"/>
            <wp:effectExtent b="0" l="0" r="0" t="0"/>
            <wp:wrapNone/>
            <wp:docPr id="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B">
      <w:pPr>
        <w:spacing w:before="31" w:line="360" w:lineRule="auto"/>
        <w:ind w:left="682" w:right="188" w:firstLine="0"/>
        <w:jc w:val="both"/>
        <w:rPr>
          <w:sz w:val="22"/>
          <w:szCs w:val="22"/>
        </w:rPr>
      </w:pPr>
      <w:r w:rsidDel="00000000" w:rsidR="00000000" w:rsidRPr="00000000">
        <w:rPr>
          <w:rtl w:val="0"/>
        </w:rPr>
        <w:t xml:space="preserve">de que </w:t>
      </w:r>
      <w:r w:rsidDel="00000000" w:rsidR="00000000" w:rsidRPr="00000000">
        <w:rPr>
          <w:sz w:val="22"/>
          <w:szCs w:val="22"/>
          <w:rtl w:val="0"/>
        </w:rPr>
        <w:t xml:space="preserve">como se analizó en líneas anteriores, no se encuentran obligados a generarla, poseerla o administrarla.</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D">
      <w:pPr>
        <w:spacing w:before="0" w:line="360" w:lineRule="auto"/>
        <w:ind w:left="682" w:right="115" w:firstLine="0"/>
        <w:jc w:val="both"/>
        <w:rPr>
          <w:sz w:val="22"/>
          <w:szCs w:val="22"/>
        </w:rPr>
      </w:pPr>
      <w:r w:rsidDel="00000000" w:rsidR="00000000" w:rsidRPr="00000000">
        <w:rPr>
          <w:sz w:val="22"/>
          <w:szCs w:val="22"/>
          <w:rtl w:val="0"/>
        </w:rPr>
        <w:t xml:space="preserve">En este contexto, </w:t>
      </w:r>
      <w:r w:rsidDel="00000000" w:rsidR="00000000" w:rsidRPr="00000000">
        <w:rPr>
          <w:b w:val="1"/>
          <w:sz w:val="22"/>
          <w:szCs w:val="22"/>
          <w:rtl w:val="0"/>
        </w:rPr>
        <w:t xml:space="preserve">EL SUJETO OBLIGADO </w:t>
      </w:r>
      <w:r w:rsidDel="00000000" w:rsidR="00000000" w:rsidRPr="00000000">
        <w:rPr>
          <w:sz w:val="22"/>
          <w:szCs w:val="22"/>
          <w:rtl w:val="0"/>
        </w:rPr>
        <w:t xml:space="preserve">no está obligado a generar documento ad hoc para satisfacer el derecho de acceso a la información,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8" w:right="73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No existe obligación de elaborar documentos ad hoc para atender las solicitudes de acceso a la información.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91">
      <w:pPr>
        <w:spacing w:before="0" w:line="360" w:lineRule="auto"/>
        <w:ind w:left="682" w:right="116" w:firstLine="0"/>
        <w:jc w:val="both"/>
        <w:rPr>
          <w:sz w:val="24"/>
          <w:szCs w:val="24"/>
        </w:rPr>
        <w:sectPr>
          <w:type w:val="nextPage"/>
          <w:pgSz w:h="15840" w:w="12240" w:orient="portrait"/>
          <w:pgMar w:bottom="0" w:top="560" w:left="1020" w:right="1580" w:header="360" w:footer="360"/>
        </w:sectPr>
      </w:pPr>
      <w:r w:rsidDel="00000000" w:rsidR="00000000" w:rsidRPr="00000000">
        <w:rPr>
          <w:sz w:val="24"/>
          <w:szCs w:val="24"/>
          <w:rtl w:val="0"/>
        </w:rPr>
        <w:t xml:space="preserve">Es por las razones antes expuestas que las suscritas no comparten la resolución dictada y, por ende, se emite el presente </w:t>
      </w:r>
      <w:r w:rsidDel="00000000" w:rsidR="00000000" w:rsidRPr="00000000">
        <w:rPr>
          <w:b w:val="1"/>
          <w:sz w:val="24"/>
          <w:szCs w:val="24"/>
          <w:rtl w:val="0"/>
        </w:rPr>
        <w:t xml:space="preserve">Voto Particular Concurrente</w:t>
      </w:r>
      <w:r w:rsidDel="00000000" w:rsidR="00000000" w:rsidRPr="00000000">
        <w:rPr>
          <w:sz w:val="24"/>
          <w:szCs w:val="24"/>
          <w:rtl w:val="0"/>
        </w:rPr>
        <w:t xml:space="preserve">, pues consideramos que no </w:t>
      </w:r>
      <w:r w:rsidDel="00000000" w:rsidR="00000000" w:rsidRPr="00000000">
        <w:rPr>
          <w:b w:val="1"/>
          <w:sz w:val="24"/>
          <w:szCs w:val="24"/>
          <w:u w:val="single"/>
          <w:rtl w:val="0"/>
        </w:rPr>
        <w:t xml:space="preserve">se debió ordenar los documentos que acrediten la</w:t>
      </w:r>
      <w:r w:rsidDel="00000000" w:rsidR="00000000" w:rsidRPr="00000000">
        <w:rPr>
          <w:b w:val="1"/>
          <w:sz w:val="24"/>
          <w:szCs w:val="24"/>
          <w:rtl w:val="0"/>
        </w:rPr>
        <w:t xml:space="preserve"> </w:t>
      </w:r>
      <w:r w:rsidDel="00000000" w:rsidR="00000000" w:rsidRPr="00000000">
        <w:rPr>
          <w:b w:val="1"/>
          <w:sz w:val="24"/>
          <w:szCs w:val="24"/>
          <w:u w:val="single"/>
          <w:rtl w:val="0"/>
        </w:rPr>
        <w:t xml:space="preserve">experiencia laboral del Presidente Municipal, Síndico y Regidores</w:t>
      </w:r>
      <w:r w:rsidDel="00000000" w:rsidR="00000000" w:rsidRPr="00000000">
        <w:rPr>
          <w:sz w:val="24"/>
          <w:szCs w:val="24"/>
          <w:rtl w:val="0"/>
        </w:rPr>
        <w:t xml:space="preserve">, pues no existe fuente obligacional para ordenar dicha documentación.</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Pr>
        <w:drawing>
          <wp:inline distB="0" distT="0" distL="0" distR="0">
            <wp:extent cx="1486757" cy="700944"/>
            <wp:effectExtent b="0" l="0" r="0" t="0"/>
            <wp:docPr id="2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86757" cy="700944"/>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spacing w:before="42" w:lineRule="auto"/>
        <w:ind w:left="1900" w:right="0" w:firstLine="0"/>
        <w:jc w:val="left"/>
        <w:rPr>
          <w:sz w:val="18"/>
          <w:szCs w:val="18"/>
        </w:rPr>
      </w:pPr>
      <w:r w:rsidDel="00000000" w:rsidR="00000000" w:rsidRPr="00000000">
        <w:rPr>
          <w:rtl w:val="0"/>
        </w:rPr>
      </w:r>
    </w:p>
    <w:sectPr>
      <w:type w:val="nextPage"/>
      <w:pgSz w:h="15840" w:w="12240" w:orient="portrait"/>
      <w:pgMar w:bottom="0" w:top="620" w:left="1020" w:right="158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248" w:hanging="204"/>
      </w:pPr>
      <w:rPr>
        <w:rFonts w:ascii="Palatino Linotype" w:cs="Palatino Linotype" w:eastAsia="Palatino Linotype" w:hAnsi="Palatino Linotype"/>
        <w:i w:val="1"/>
        <w:sz w:val="22"/>
        <w:szCs w:val="22"/>
      </w:rPr>
    </w:lvl>
    <w:lvl w:ilvl="1">
      <w:start w:val="0"/>
      <w:numFmt w:val="bullet"/>
      <w:lvlText w:val="•"/>
      <w:lvlJc w:val="left"/>
      <w:pPr>
        <w:ind w:left="2080" w:hanging="204"/>
      </w:pPr>
      <w:rPr/>
    </w:lvl>
    <w:lvl w:ilvl="2">
      <w:start w:val="0"/>
      <w:numFmt w:val="bullet"/>
      <w:lvlText w:val="•"/>
      <w:lvlJc w:val="left"/>
      <w:pPr>
        <w:ind w:left="2920" w:hanging="204"/>
      </w:pPr>
      <w:rPr/>
    </w:lvl>
    <w:lvl w:ilvl="3">
      <w:start w:val="0"/>
      <w:numFmt w:val="bullet"/>
      <w:lvlText w:val="•"/>
      <w:lvlJc w:val="left"/>
      <w:pPr>
        <w:ind w:left="3760" w:hanging="204"/>
      </w:pPr>
      <w:rPr/>
    </w:lvl>
    <w:lvl w:ilvl="4">
      <w:start w:val="0"/>
      <w:numFmt w:val="bullet"/>
      <w:lvlText w:val="•"/>
      <w:lvlJc w:val="left"/>
      <w:pPr>
        <w:ind w:left="4600" w:hanging="204"/>
      </w:pPr>
      <w:rPr/>
    </w:lvl>
    <w:lvl w:ilvl="5">
      <w:start w:val="0"/>
      <w:numFmt w:val="bullet"/>
      <w:lvlText w:val="•"/>
      <w:lvlJc w:val="left"/>
      <w:pPr>
        <w:ind w:left="5440" w:hanging="204"/>
      </w:pPr>
      <w:rPr/>
    </w:lvl>
    <w:lvl w:ilvl="6">
      <w:start w:val="0"/>
      <w:numFmt w:val="bullet"/>
      <w:lvlText w:val="•"/>
      <w:lvlJc w:val="left"/>
      <w:pPr>
        <w:ind w:left="6280" w:hanging="204"/>
      </w:pPr>
      <w:rPr/>
    </w:lvl>
    <w:lvl w:ilvl="7">
      <w:start w:val="0"/>
      <w:numFmt w:val="bullet"/>
      <w:lvlText w:val="•"/>
      <w:lvlJc w:val="left"/>
      <w:pPr>
        <w:ind w:left="7120" w:hanging="204"/>
      </w:pPr>
      <w:rPr/>
    </w:lvl>
    <w:lvl w:ilvl="8">
      <w:start w:val="0"/>
      <w:numFmt w:val="bullet"/>
      <w:lvlText w:val="•"/>
      <w:lvlJc w:val="left"/>
      <w:pPr>
        <w:ind w:left="7960" w:hanging="204"/>
      </w:pPr>
      <w:rPr/>
    </w:lvl>
  </w:abstractNum>
  <w:abstractNum w:abstractNumId="2">
    <w:lvl w:ilvl="0">
      <w:start w:val="1"/>
      <w:numFmt w:val="upperRoman"/>
      <w:lvlText w:val="%1."/>
      <w:lvlJc w:val="left"/>
      <w:pPr>
        <w:ind w:left="1248" w:hanging="199"/>
      </w:pPr>
      <w:rPr>
        <w:rFonts w:ascii="Palatino Linotype" w:cs="Palatino Linotype" w:eastAsia="Palatino Linotype" w:hAnsi="Palatino Linotype"/>
        <w:i w:val="1"/>
        <w:sz w:val="22"/>
        <w:szCs w:val="22"/>
      </w:rPr>
    </w:lvl>
    <w:lvl w:ilvl="1">
      <w:start w:val="0"/>
      <w:numFmt w:val="bullet"/>
      <w:lvlText w:val="•"/>
      <w:lvlJc w:val="left"/>
      <w:pPr>
        <w:ind w:left="2080" w:hanging="199"/>
      </w:pPr>
      <w:rPr/>
    </w:lvl>
    <w:lvl w:ilvl="2">
      <w:start w:val="0"/>
      <w:numFmt w:val="bullet"/>
      <w:lvlText w:val="•"/>
      <w:lvlJc w:val="left"/>
      <w:pPr>
        <w:ind w:left="2920" w:hanging="199"/>
      </w:pPr>
      <w:rPr/>
    </w:lvl>
    <w:lvl w:ilvl="3">
      <w:start w:val="0"/>
      <w:numFmt w:val="bullet"/>
      <w:lvlText w:val="•"/>
      <w:lvlJc w:val="left"/>
      <w:pPr>
        <w:ind w:left="3760" w:hanging="199"/>
      </w:pPr>
      <w:rPr/>
    </w:lvl>
    <w:lvl w:ilvl="4">
      <w:start w:val="0"/>
      <w:numFmt w:val="bullet"/>
      <w:lvlText w:val="•"/>
      <w:lvlJc w:val="left"/>
      <w:pPr>
        <w:ind w:left="4600" w:hanging="199"/>
      </w:pPr>
      <w:rPr/>
    </w:lvl>
    <w:lvl w:ilvl="5">
      <w:start w:val="0"/>
      <w:numFmt w:val="bullet"/>
      <w:lvlText w:val="•"/>
      <w:lvlJc w:val="left"/>
      <w:pPr>
        <w:ind w:left="5440" w:hanging="199"/>
      </w:pPr>
      <w:rPr/>
    </w:lvl>
    <w:lvl w:ilvl="6">
      <w:start w:val="0"/>
      <w:numFmt w:val="bullet"/>
      <w:lvlText w:val="•"/>
      <w:lvlJc w:val="left"/>
      <w:pPr>
        <w:ind w:left="6280" w:hanging="199"/>
      </w:pPr>
      <w:rPr/>
    </w:lvl>
    <w:lvl w:ilvl="7">
      <w:start w:val="0"/>
      <w:numFmt w:val="bullet"/>
      <w:lvlText w:val="•"/>
      <w:lvlJc w:val="left"/>
      <w:pPr>
        <w:ind w:left="7120" w:hanging="199"/>
      </w:pPr>
      <w:rPr/>
    </w:lvl>
    <w:lvl w:ilvl="8">
      <w:start w:val="0"/>
      <w:numFmt w:val="bullet"/>
      <w:lvlText w:val="•"/>
      <w:lvlJc w:val="left"/>
      <w:pPr>
        <w:ind w:left="7960" w:hanging="199"/>
      </w:pPr>
      <w:rPr/>
    </w:lvl>
  </w:abstractNum>
  <w:abstractNum w:abstractNumId="3">
    <w:lvl w:ilvl="0">
      <w:start w:val="1"/>
      <w:numFmt w:val="lowerLetter"/>
      <w:lvlText w:val="%1)"/>
      <w:lvlJc w:val="left"/>
      <w:pPr>
        <w:ind w:left="1402" w:hanging="360"/>
      </w:pPr>
      <w:rPr>
        <w:rFonts w:ascii="Palatino Linotype" w:cs="Palatino Linotype" w:eastAsia="Palatino Linotype" w:hAnsi="Palatino Linotype"/>
        <w:b w:val="1"/>
        <w:sz w:val="22"/>
        <w:szCs w:val="22"/>
      </w:rPr>
    </w:lvl>
    <w:lvl w:ilvl="1">
      <w:start w:val="0"/>
      <w:numFmt w:val="bullet"/>
      <w:lvlText w:val="•"/>
      <w:lvlJc w:val="left"/>
      <w:pPr>
        <w:ind w:left="2224" w:hanging="360"/>
      </w:pPr>
      <w:rPr/>
    </w:lvl>
    <w:lvl w:ilvl="2">
      <w:start w:val="0"/>
      <w:numFmt w:val="bullet"/>
      <w:lvlText w:val="•"/>
      <w:lvlJc w:val="left"/>
      <w:pPr>
        <w:ind w:left="3048" w:hanging="360"/>
      </w:pPr>
      <w:rPr/>
    </w:lvl>
    <w:lvl w:ilvl="3">
      <w:start w:val="0"/>
      <w:numFmt w:val="bullet"/>
      <w:lvlText w:val="•"/>
      <w:lvlJc w:val="left"/>
      <w:pPr>
        <w:ind w:left="3872" w:hanging="360"/>
      </w:pPr>
      <w:rPr/>
    </w:lvl>
    <w:lvl w:ilvl="4">
      <w:start w:val="0"/>
      <w:numFmt w:val="bullet"/>
      <w:lvlText w:val="•"/>
      <w:lvlJc w:val="left"/>
      <w:pPr>
        <w:ind w:left="4696" w:hanging="360"/>
      </w:pPr>
      <w:rPr/>
    </w:lvl>
    <w:lvl w:ilvl="5">
      <w:start w:val="0"/>
      <w:numFmt w:val="bullet"/>
      <w:lvlText w:val="•"/>
      <w:lvlJc w:val="left"/>
      <w:pPr>
        <w:ind w:left="5520" w:hanging="360"/>
      </w:pPr>
      <w:rPr/>
    </w:lvl>
    <w:lvl w:ilvl="6">
      <w:start w:val="0"/>
      <w:numFmt w:val="bullet"/>
      <w:lvlText w:val="•"/>
      <w:lvlJc w:val="left"/>
      <w:pPr>
        <w:ind w:left="6344" w:hanging="360"/>
      </w:pPr>
      <w:rPr/>
    </w:lvl>
    <w:lvl w:ilvl="7">
      <w:start w:val="0"/>
      <w:numFmt w:val="bullet"/>
      <w:lvlText w:val="•"/>
      <w:lvlJc w:val="left"/>
      <w:pPr>
        <w:ind w:left="7168" w:hanging="360"/>
      </w:pPr>
      <w:rPr/>
    </w:lvl>
    <w:lvl w:ilvl="8">
      <w:start w:val="0"/>
      <w:numFmt w:val="bullet"/>
      <w:lvlText w:val="•"/>
      <w:lvlJc w:val="left"/>
      <w:pPr>
        <w:ind w:left="7992" w:hanging="360"/>
      </w:pPr>
      <w:rPr/>
    </w:lvl>
  </w:abstractNum>
  <w:abstractNum w:abstractNumId="4">
    <w:lvl w:ilvl="0">
      <w:start w:val="1"/>
      <w:numFmt w:val="upperRoman"/>
      <w:lvlText w:val="%1."/>
      <w:lvlJc w:val="left"/>
      <w:pPr>
        <w:ind w:left="1248" w:hanging="284"/>
      </w:pPr>
      <w:rPr>
        <w:rFonts w:ascii="Palatino Linotype" w:cs="Palatino Linotype" w:eastAsia="Palatino Linotype" w:hAnsi="Palatino Linotype"/>
        <w:sz w:val="22"/>
        <w:szCs w:val="22"/>
      </w:rPr>
    </w:lvl>
    <w:lvl w:ilvl="1">
      <w:start w:val="1"/>
      <w:numFmt w:val="upperRoman"/>
      <w:lvlText w:val="%2."/>
      <w:lvlJc w:val="left"/>
      <w:pPr>
        <w:ind w:left="1248" w:hanging="209"/>
      </w:pPr>
      <w:rPr>
        <w:b w:val="1"/>
        <w:i w:val="1"/>
      </w:rPr>
    </w:lvl>
    <w:lvl w:ilvl="2">
      <w:start w:val="0"/>
      <w:numFmt w:val="bullet"/>
      <w:lvlText w:val="•"/>
      <w:lvlJc w:val="left"/>
      <w:pPr>
        <w:ind w:left="2920" w:hanging="209"/>
      </w:pPr>
      <w:rPr/>
    </w:lvl>
    <w:lvl w:ilvl="3">
      <w:start w:val="0"/>
      <w:numFmt w:val="bullet"/>
      <w:lvlText w:val="•"/>
      <w:lvlJc w:val="left"/>
      <w:pPr>
        <w:ind w:left="3760" w:hanging="209"/>
      </w:pPr>
      <w:rPr/>
    </w:lvl>
    <w:lvl w:ilvl="4">
      <w:start w:val="0"/>
      <w:numFmt w:val="bullet"/>
      <w:lvlText w:val="•"/>
      <w:lvlJc w:val="left"/>
      <w:pPr>
        <w:ind w:left="4600" w:hanging="209"/>
      </w:pPr>
      <w:rPr/>
    </w:lvl>
    <w:lvl w:ilvl="5">
      <w:start w:val="0"/>
      <w:numFmt w:val="bullet"/>
      <w:lvlText w:val="•"/>
      <w:lvlJc w:val="left"/>
      <w:pPr>
        <w:ind w:left="5440" w:hanging="209"/>
      </w:pPr>
      <w:rPr/>
    </w:lvl>
    <w:lvl w:ilvl="6">
      <w:start w:val="0"/>
      <w:numFmt w:val="bullet"/>
      <w:lvlText w:val="•"/>
      <w:lvlJc w:val="left"/>
      <w:pPr>
        <w:ind w:left="6280" w:hanging="209"/>
      </w:pPr>
      <w:rPr/>
    </w:lvl>
    <w:lvl w:ilvl="7">
      <w:start w:val="0"/>
      <w:numFmt w:val="bullet"/>
      <w:lvlText w:val="•"/>
      <w:lvlJc w:val="left"/>
      <w:pPr>
        <w:ind w:left="7120" w:hanging="209"/>
      </w:pPr>
      <w:rPr/>
    </w:lvl>
    <w:lvl w:ilvl="8">
      <w:start w:val="0"/>
      <w:numFmt w:val="bullet"/>
      <w:lvlText w:val="•"/>
      <w:lvlJc w:val="left"/>
      <w:pPr>
        <w:ind w:left="7960" w:hanging="209"/>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2" w:lineRule="auto"/>
      <w:ind w:left="20"/>
    </w:pPr>
    <w:rPr>
      <w:rFonts w:ascii="Arial" w:cs="Arial" w:eastAsia="Arial" w:hAnsi="Arial"/>
      <w:sz w:val="24"/>
      <w:szCs w:val="24"/>
    </w:rPr>
  </w:style>
  <w:style w:type="paragraph" w:styleId="Heading2">
    <w:name w:val="heading 2"/>
    <w:basedOn w:val="Normal"/>
    <w:next w:val="Normal"/>
    <w:pPr>
      <w:ind w:left="1402" w:hanging="360.99999999999994"/>
    </w:pPr>
    <w:rPr>
      <w:rFonts w:ascii="Palatino Linotype" w:cs="Palatino Linotype" w:eastAsia="Palatino Linotype" w:hAnsi="Palatino Linotype"/>
      <w:b w:val="1"/>
      <w:sz w:val="22"/>
      <w:szCs w:val="22"/>
    </w:rPr>
  </w:style>
  <w:style w:type="paragraph" w:styleId="Heading3">
    <w:name w:val="heading 3"/>
    <w:basedOn w:val="Normal"/>
    <w:next w:val="Normal"/>
    <w:pPr>
      <w:ind w:left="1248"/>
      <w:jc w:val="both"/>
    </w:pPr>
    <w:rPr>
      <w:rFonts w:ascii="Palatino Linotype" w:cs="Palatino Linotype" w:eastAsia="Palatino Linotype" w:hAnsi="Palatino Linotype"/>
      <w:b w:val="1"/>
      <w:i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i w:val="1"/>
      <w:iCs w:val="1"/>
      <w:sz w:val="22"/>
      <w:szCs w:val="22"/>
      <w:lang w:bidi="ar-SA" w:eastAsia="en-US" w:val="es-ES"/>
    </w:rPr>
  </w:style>
  <w:style w:type="paragraph" w:styleId="Heading1">
    <w:name w:val="Heading 1"/>
    <w:basedOn w:val="Normal"/>
    <w:uiPriority w:val="1"/>
    <w:qFormat w:val="1"/>
    <w:pPr>
      <w:spacing w:before="12"/>
      <w:ind w:left="20"/>
      <w:outlineLvl w:val="1"/>
    </w:pPr>
    <w:rPr>
      <w:rFonts w:ascii="Arial MT" w:cs="Arial MT" w:eastAsia="Arial MT" w:hAnsi="Arial MT"/>
      <w:sz w:val="24"/>
      <w:szCs w:val="24"/>
      <w:lang w:bidi="ar-SA" w:eastAsia="en-US" w:val="es-ES"/>
    </w:rPr>
  </w:style>
  <w:style w:type="paragraph" w:styleId="Heading2">
    <w:name w:val="Heading 2"/>
    <w:basedOn w:val="Normal"/>
    <w:uiPriority w:val="1"/>
    <w:qFormat w:val="1"/>
    <w:pPr>
      <w:ind w:left="1402" w:hanging="361"/>
      <w:outlineLvl w:val="2"/>
    </w:pPr>
    <w:rPr>
      <w:rFonts w:ascii="Palatino Linotype" w:cs="Palatino Linotype" w:eastAsia="Palatino Linotype" w:hAnsi="Palatino Linotype"/>
      <w:b w:val="1"/>
      <w:bCs w:val="1"/>
      <w:sz w:val="22"/>
      <w:szCs w:val="22"/>
      <w:lang w:bidi="ar-SA" w:eastAsia="en-US" w:val="es-ES"/>
    </w:rPr>
  </w:style>
  <w:style w:type="paragraph" w:styleId="Heading3">
    <w:name w:val="Heading 3"/>
    <w:basedOn w:val="Normal"/>
    <w:uiPriority w:val="1"/>
    <w:qFormat w:val="1"/>
    <w:pPr>
      <w:ind w:left="1248"/>
      <w:jc w:val="both"/>
      <w:outlineLvl w:val="3"/>
    </w:pPr>
    <w:rPr>
      <w:rFonts w:ascii="Palatino Linotype" w:cs="Palatino Linotype" w:eastAsia="Palatino Linotype" w:hAnsi="Palatino Linotype"/>
      <w:b w:val="1"/>
      <w:bCs w:val="1"/>
      <w:i w:val="1"/>
      <w:iCs w:val="1"/>
      <w:sz w:val="22"/>
      <w:szCs w:val="22"/>
      <w:lang w:bidi="ar-SA" w:eastAsia="en-US" w:val="es-ES"/>
    </w:rPr>
  </w:style>
  <w:style w:type="paragraph" w:styleId="ListParagraph">
    <w:name w:val="List Paragraph"/>
    <w:basedOn w:val="Normal"/>
    <w:uiPriority w:val="1"/>
    <w:qFormat w:val="1"/>
    <w:pPr>
      <w:ind w:left="1248"/>
      <w:jc w:val="both"/>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0Cr2B0vpfO9Sf9/3H9YvfPQXw==">CgMxLjA4AHIhMS1sMmNVb2htRnJHQmRGdFVvQndaRHVxcy1mbWxNRGxN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2024-08-30T00:14:20Z</dcterms:created>
  <dc:creator>HP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para Microsoft 365</vt:lpwstr>
  </property>
  <property fmtid="{D5CDD505-2E9C-101B-9397-08002B2CF9AE}" pid="4" name="LastSaved">
    <vt:filetime>2024-08-30T00:00:00Z</vt:filetime>
  </property>
</Properties>
</file>