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27"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spacing w:before="36" w:lineRule="auto"/>
        <w:ind w:left="4465" w:right="387" w:firstLine="3034"/>
        <w:jc w:val="left"/>
        <w:rPr>
          <w:b w:val="1"/>
          <w:sz w:val="20"/>
          <w:szCs w:val="20"/>
        </w:rPr>
      </w:pPr>
      <w:r w:rsidDel="00000000" w:rsidR="00000000" w:rsidRPr="00000000">
        <w:rPr>
          <w:b w:val="1"/>
          <w:sz w:val="20"/>
          <w:szCs w:val="20"/>
          <w:rtl w:val="0"/>
        </w:rPr>
        <w:t xml:space="preserve">VOTO PARTICULAR RECURSOS DE REVISIÓN 01075/INFOEM/IP/RR/2023</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8">
      <w:pPr>
        <w:pStyle w:val="Heading1"/>
        <w:spacing w:before="24" w:line="360" w:lineRule="auto"/>
        <w:ind w:right="396" w:firstLine="708.6614173228347"/>
        <w:rPr/>
      </w:pPr>
      <w:r w:rsidDel="00000000" w:rsidR="00000000" w:rsidRPr="00000000">
        <w:rPr>
          <w:rtl w:val="0"/>
        </w:rPr>
        <w:t xml:space="preserve">VOTO PARTICULAR QUE FORMULA LA COMISIONADA GUADALUPE RAMÍREZ PEÑA, EN RELACIÓN CON LA RESOLUCIÓN DICTADA POR EL PLENO DEL INSTITUTO DE TRANSPARENCIA, ACCESO A LA INFORMACIÓN PÚBLICA Y PROTECCIÓN DE DATOS PERSONALES DEL ESTADO DE MÉXICO Y MUNICIPIOS, EN LA CUADRAGÉSIMA SEGUNDA SESIÓN ORDINARIA DEL VEINTITRÉS DE NOVIEMBRE DE DOS MIL VEINTITRÉS, EN EL RECURSO DE REVISIÓN 01075/INFOEM/IP/RR/2023.</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395"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fundamento en lo dispuesto por el artículo 14, fracciones X y XI, del Reglamento del Instituto de Transparencia, Acceso a la Información Pública y Protección de Datos Personales del Estado de México, la suscrita emite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VOTO PARTICULAR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respecto a la resolución dictada en el recurso de revisión número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01075/INFOEM/IP/RR/2023</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pronunciada por el Pleno de este Instituto ante el proyecto presentado por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Comisionado Presidente José Martínez Vilchis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el cual es al tenor siguiente: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0C">
      <w:pPr>
        <w:pStyle w:val="Heading1"/>
        <w:numPr>
          <w:ilvl w:val="0"/>
          <w:numId w:val="5"/>
        </w:numPr>
        <w:tabs>
          <w:tab w:val="left" w:leader="none" w:pos="1249"/>
        </w:tabs>
        <w:spacing w:after="0" w:before="0" w:line="240" w:lineRule="auto"/>
        <w:ind w:left="1248" w:right="0" w:hanging="283.9999999999999"/>
        <w:jc w:val="both"/>
        <w:rPr/>
      </w:pPr>
      <w:r w:rsidDel="00000000" w:rsidR="00000000" w:rsidRPr="00000000">
        <w:rPr>
          <w:rtl w:val="0"/>
        </w:rPr>
        <w:t xml:space="preserve">Antecedentes.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360" w:lineRule="auto"/>
        <w:ind w:left="682" w:right="395"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el asunto que nos ocupa, la parte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solicitó 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le </w:t>
      </w:r>
      <w:r w:rsidDel="00000000" w:rsidR="00000000" w:rsidRPr="00000000">
        <w:rPr>
          <w:sz w:val="24"/>
          <w:szCs w:val="24"/>
          <w:rtl w:val="0"/>
        </w:rPr>
        <w:t xml:space="preserve">proporcionará</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entre otra información, la siguiente:</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0F">
      <w:pPr>
        <w:spacing w:before="0" w:lineRule="auto"/>
        <w:ind w:left="0" w:right="49" w:firstLine="0"/>
        <w:jc w:val="center"/>
        <w:rPr>
          <w:i w:val="1"/>
          <w:sz w:val="22"/>
          <w:szCs w:val="22"/>
        </w:rPr>
      </w:pPr>
      <w:r w:rsidDel="00000000" w:rsidR="00000000" w:rsidRPr="00000000">
        <w:rPr>
          <w:i w:val="1"/>
          <w:sz w:val="22"/>
          <w:szCs w:val="22"/>
          <w:rtl w:val="0"/>
        </w:rPr>
        <w:t xml:space="preserve">“…copia de la nomina del mes de diciembre de la primer quincena del año 2022…”</w:t>
      </w:r>
    </w:p>
    <w:p w:rsidR="00000000" w:rsidDel="00000000" w:rsidP="00000000" w:rsidRDefault="00000000" w:rsidRPr="00000000" w14:paraId="00000010">
      <w:pPr>
        <w:tabs>
          <w:tab w:val="left" w:leader="none" w:pos="7429"/>
        </w:tabs>
        <w:spacing w:before="45" w:lineRule="auto"/>
        <w:ind w:left="0" w:right="49" w:firstLine="0"/>
        <w:jc w:val="center"/>
        <w:rPr>
          <w:i w:val="1"/>
          <w:sz w:val="22"/>
          <w:szCs w:val="22"/>
        </w:rPr>
      </w:pPr>
      <w:r w:rsidDel="00000000" w:rsidR="00000000" w:rsidRPr="00000000">
        <w:rPr>
          <w:i w:val="1"/>
          <w:sz w:val="22"/>
          <w:szCs w:val="22"/>
          <w:highlight w:val="white"/>
          <w:rtl w:val="0"/>
        </w:rPr>
        <w:t xml:space="preserve"> (Sic)</w:t>
        <w:tab/>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1"/>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018" w:right="400" w:hanging="9019"/>
        <w:jc w:val="right"/>
        <w:rPr>
          <w:rFonts w:ascii="Arial" w:cs="Arial" w:eastAsia="Arial" w:hAnsi="Arial"/>
          <w:b w:val="1"/>
          <w:i w:val="0"/>
          <w:smallCaps w:val="0"/>
          <w:strike w:val="0"/>
          <w:color w:val="000000"/>
          <w:sz w:val="20"/>
          <w:szCs w:val="20"/>
          <w:u w:val="none"/>
          <w:shd w:fill="auto" w:val="clear"/>
          <w:vertAlign w:val="baseline"/>
        </w:rPr>
        <w:sectPr>
          <w:pgSz w:h="15840" w:w="12240" w:orient="portrait"/>
          <w:pgMar w:bottom="0" w:top="580" w:left="1020" w:right="1300" w:header="360" w:footer="360"/>
          <w:pgNumType w:start="1"/>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30"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spacing w:before="36" w:lineRule="auto"/>
        <w:ind w:left="4465" w:right="387" w:firstLine="3034"/>
        <w:jc w:val="left"/>
        <w:rPr>
          <w:b w:val="1"/>
          <w:sz w:val="20"/>
          <w:szCs w:val="20"/>
        </w:rPr>
      </w:pPr>
      <w:r w:rsidDel="00000000" w:rsidR="00000000" w:rsidRPr="00000000">
        <w:rPr>
          <w:b w:val="1"/>
          <w:sz w:val="20"/>
          <w:szCs w:val="20"/>
          <w:rtl w:val="0"/>
        </w:rPr>
        <w:t xml:space="preserve">VOTO PARTICULAR RECURSOS DE REVISIÓN 01075/INFOEM/IP/RR/2023</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682" w:right="40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su respuesta,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 se pronunció respecto a ese punto de la solicitud y únicamente remitió el oficio de turno emitido por el Director de Transparencia al Tesorero Municipal para solicitarle la información requerida.</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682" w:right="397"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Una vez conocida la respuesta, la parte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señaló como motivos de inconformidad, los siguientes:</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Palatino Linotype" w:cs="Palatino Linotype" w:eastAsia="Palatino Linotype" w:hAnsi="Palatino Linotype"/>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25">
      <w:pPr>
        <w:spacing w:before="0" w:lineRule="auto"/>
        <w:ind w:left="1248" w:right="0" w:firstLine="0"/>
        <w:jc w:val="both"/>
        <w:rPr>
          <w:b w:val="1"/>
          <w:i w:val="1"/>
          <w:sz w:val="22"/>
          <w:szCs w:val="22"/>
        </w:rPr>
      </w:pPr>
      <w:r w:rsidDel="00000000" w:rsidR="00000000" w:rsidRPr="00000000">
        <w:rPr>
          <w:b w:val="1"/>
          <w:i w:val="1"/>
          <w:sz w:val="22"/>
          <w:szCs w:val="22"/>
          <w:rtl w:val="0"/>
        </w:rPr>
        <w:t xml:space="preserve">“ACTO IMPUGNADO</w:t>
      </w:r>
    </w:p>
    <w:p w:rsidR="00000000" w:rsidDel="00000000" w:rsidP="00000000" w:rsidRDefault="00000000" w:rsidRPr="00000000" w14:paraId="00000026">
      <w:pPr>
        <w:spacing w:before="44" w:line="276" w:lineRule="auto"/>
        <w:ind w:left="1248" w:right="1303" w:firstLine="0"/>
        <w:jc w:val="both"/>
        <w:rPr>
          <w:i w:val="1"/>
          <w:sz w:val="22"/>
          <w:szCs w:val="22"/>
        </w:rPr>
      </w:pPr>
      <w:r w:rsidDel="00000000" w:rsidR="00000000" w:rsidRPr="00000000">
        <w:rPr>
          <w:i w:val="1"/>
          <w:sz w:val="22"/>
          <w:szCs w:val="22"/>
          <w:rtl w:val="0"/>
        </w:rPr>
        <w:t xml:space="preserve">“la inforamción solicitada no fue entregada, por lo que es indispensable que se entregue todo lo que fue requerido, pues in informaicón publica que la entidad esta obligada a entregar.” (Sic.)</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Palatino Linotype" w:cs="Palatino Linotype" w:eastAsia="Palatino Linotype" w:hAnsi="Palatino Linotype"/>
          <w:b w:val="0"/>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28">
      <w:pPr>
        <w:spacing w:before="0" w:lineRule="auto"/>
        <w:ind w:left="1248" w:right="0" w:firstLine="0"/>
        <w:jc w:val="both"/>
        <w:rPr>
          <w:b w:val="1"/>
          <w:i w:val="1"/>
          <w:sz w:val="22"/>
          <w:szCs w:val="22"/>
        </w:rPr>
      </w:pPr>
      <w:r w:rsidDel="00000000" w:rsidR="00000000" w:rsidRPr="00000000">
        <w:rPr>
          <w:b w:val="1"/>
          <w:i w:val="1"/>
          <w:sz w:val="22"/>
          <w:szCs w:val="22"/>
          <w:rtl w:val="0"/>
        </w:rPr>
        <w:t xml:space="preserve">“RAZONES O MOTIVOS DE LA INCONFORMIDAD</w:t>
      </w:r>
    </w:p>
    <w:p w:rsidR="00000000" w:rsidDel="00000000" w:rsidP="00000000" w:rsidRDefault="00000000" w:rsidRPr="00000000" w14:paraId="00000029">
      <w:pPr>
        <w:spacing w:before="41" w:line="276" w:lineRule="auto"/>
        <w:ind w:left="1248" w:right="1297" w:firstLine="0"/>
        <w:jc w:val="both"/>
        <w:rPr>
          <w:i w:val="1"/>
          <w:sz w:val="22"/>
          <w:szCs w:val="22"/>
        </w:rPr>
      </w:pPr>
      <w:r w:rsidDel="00000000" w:rsidR="00000000" w:rsidRPr="00000000">
        <w:rPr>
          <w:i w:val="1"/>
          <w:sz w:val="22"/>
          <w:szCs w:val="22"/>
          <w:rtl w:val="0"/>
        </w:rPr>
        <w:t xml:space="preserve">“la información que entrega la entidad es un oficio mas no lo que fue solicitado.” (Sic.)</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395"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Una vez interpuesto el recurso de revisión de mérito, en uso de su derecho,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el periodo de instrucción, entregó diversos documentos relacionados con los otros puntos de la solicitud; sin embargo, no se advirtió pronunciamiento respecto la nómina de la primera quincena de diciembre de dos mil veintidós.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394"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Así las cosas, el Comisionado Ponente consideró que los motivos de inconformidad aducidos por la parte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resultan fundados y determinó revocar y ordenar la entrega en versión pública, de lo siguiente:</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018" w:right="40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30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34"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spacing w:before="36" w:lineRule="auto"/>
        <w:ind w:left="4465" w:right="387" w:firstLine="3034"/>
        <w:jc w:val="left"/>
        <w:rPr>
          <w:b w:val="1"/>
          <w:sz w:val="20"/>
          <w:szCs w:val="20"/>
        </w:rPr>
      </w:pPr>
      <w:r w:rsidDel="00000000" w:rsidR="00000000" w:rsidRPr="00000000">
        <w:rPr>
          <w:b w:val="1"/>
          <w:sz w:val="20"/>
          <w:szCs w:val="20"/>
          <w:rtl w:val="0"/>
        </w:rPr>
        <w:t xml:space="preserve">VOTO PARTICULAR RECURSOS DE REVISIÓN 01075/INFOEM/IP/RR/2023</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C">
      <w:pPr>
        <w:spacing w:before="31" w:line="276" w:lineRule="auto"/>
        <w:ind w:left="965" w:right="1010" w:firstLine="0"/>
        <w:jc w:val="both"/>
        <w:rPr>
          <w:i w:val="1"/>
          <w:sz w:val="22"/>
          <w:szCs w:val="22"/>
        </w:rPr>
      </w:pPr>
      <w:r w:rsidDel="00000000" w:rsidR="00000000" w:rsidRPr="00000000">
        <w:rPr>
          <w:b w:val="1"/>
          <w:i w:val="1"/>
          <w:sz w:val="22"/>
          <w:szCs w:val="22"/>
          <w:rtl w:val="0"/>
        </w:rPr>
        <w:t xml:space="preserve">“SEGUNDO. </w:t>
      </w:r>
      <w:r w:rsidDel="00000000" w:rsidR="00000000" w:rsidRPr="00000000">
        <w:rPr>
          <w:i w:val="1"/>
          <w:sz w:val="22"/>
          <w:szCs w:val="22"/>
          <w:rtl w:val="0"/>
        </w:rPr>
        <w:t xml:space="preserve">Se ordena al Sujeto Obligado, haga entrega a la recurrente en términos del Considerando </w:t>
      </w:r>
      <w:r w:rsidDel="00000000" w:rsidR="00000000" w:rsidRPr="00000000">
        <w:rPr>
          <w:b w:val="1"/>
          <w:i w:val="1"/>
          <w:sz w:val="22"/>
          <w:szCs w:val="22"/>
          <w:rtl w:val="0"/>
        </w:rPr>
        <w:t xml:space="preserve">CUARTO </w:t>
      </w:r>
      <w:r w:rsidDel="00000000" w:rsidR="00000000" w:rsidRPr="00000000">
        <w:rPr>
          <w:i w:val="1"/>
          <w:sz w:val="22"/>
          <w:szCs w:val="22"/>
          <w:rtl w:val="0"/>
        </w:rPr>
        <w:t xml:space="preserve">de la presente resolución, a través del Sistema de Acceso a la Información Mexiquense </w:t>
      </w:r>
      <w:r w:rsidDel="00000000" w:rsidR="00000000" w:rsidRPr="00000000">
        <w:rPr>
          <w:b w:val="1"/>
          <w:i w:val="1"/>
          <w:sz w:val="22"/>
          <w:szCs w:val="22"/>
          <w:rtl w:val="0"/>
        </w:rPr>
        <w:t xml:space="preserve">(SAIMEX)</w:t>
      </w:r>
      <w:r w:rsidDel="00000000" w:rsidR="00000000" w:rsidRPr="00000000">
        <w:rPr>
          <w:i w:val="1"/>
          <w:sz w:val="22"/>
          <w:szCs w:val="22"/>
          <w:rtl w:val="0"/>
        </w:rPr>
        <w:t xml:space="preserve">, en versión pública, de lo siguiente:</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Palatino Linotype" w:cs="Palatino Linotype" w:eastAsia="Palatino Linotype" w:hAnsi="Palatino Linotype"/>
          <w:b w:val="0"/>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534"/>
        </w:tabs>
        <w:spacing w:after="0" w:before="0" w:line="276" w:lineRule="auto"/>
        <w:ind w:left="1534" w:right="967" w:hanging="492"/>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Las Conciliaciones bancarias de los programas federales del FISMDF y FORTAMUNDF, de enero a diciembre dos mil veintidós.</w:t>
      </w:r>
    </w:p>
    <w:p w:rsidR="00000000" w:rsidDel="00000000" w:rsidP="00000000" w:rsidRDefault="00000000" w:rsidRPr="00000000" w14:paraId="0000003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534"/>
        </w:tabs>
        <w:spacing w:after="0" w:before="0" w:line="278.00000000000006" w:lineRule="auto"/>
        <w:ind w:left="1534" w:right="963" w:hanging="492"/>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Los Estados de cuenta bancarios de los programas federales del FISMDF y FORTAMUNDF, del mes de diciembre dos mil veintidós.</w:t>
      </w:r>
    </w:p>
    <w:p w:rsidR="00000000" w:rsidDel="00000000" w:rsidP="00000000" w:rsidRDefault="00000000" w:rsidRPr="00000000" w14:paraId="0000004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534"/>
        </w:tabs>
        <w:spacing w:after="0" w:before="0" w:line="276" w:lineRule="auto"/>
        <w:ind w:left="1534" w:right="968" w:hanging="492"/>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Actas de cabildo en donde se autorizó la aplicación del recurso FORTAMUNDF del ejercicio dos mil veintidós</w:t>
      </w:r>
    </w:p>
    <w:p w:rsidR="00000000" w:rsidDel="00000000" w:rsidP="00000000" w:rsidRDefault="00000000" w:rsidRPr="00000000" w14:paraId="0000004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534"/>
        </w:tabs>
        <w:spacing w:after="0" w:before="0" w:line="276" w:lineRule="auto"/>
        <w:ind w:left="1534" w:right="966" w:hanging="492"/>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Décima Octava Sesión Ordinaria de Cabildo que tuvo verificativo el doce de mayo de dos mil veintidós en la que se discutió la contratación de un crédito en infraestructura del Municipio de Joquicingo, del Fondo de Aportaciones para la Infraestructura Social Municipal y de las Demarcaciones Territoriales del Distrito Federal (FISMDF)</w:t>
      </w:r>
    </w:p>
    <w:p w:rsidR="00000000" w:rsidDel="00000000" w:rsidP="00000000" w:rsidRDefault="00000000" w:rsidRPr="00000000" w14:paraId="0000004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534"/>
        </w:tabs>
        <w:spacing w:after="0" w:before="0" w:line="278.00000000000006" w:lineRule="auto"/>
        <w:ind w:left="1534" w:right="966" w:hanging="492"/>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Actas de Cabildo donde conste la distribución de los recursos del FEFOM del ejercicio dos mil veintidós.</w:t>
      </w:r>
    </w:p>
    <w:p w:rsidR="00000000" w:rsidDel="00000000" w:rsidP="00000000" w:rsidRDefault="00000000" w:rsidRPr="00000000" w14:paraId="0000004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534"/>
        </w:tabs>
        <w:spacing w:after="0" w:before="0" w:line="276" w:lineRule="auto"/>
        <w:ind w:left="1534" w:right="963" w:hanging="492"/>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Las Actas de fallo (adjudicación) de los procedimientos de obra pública que se hayan realizado durante el ejercicio dos mil veintidós, de todos los recursos con que cuenta el ayuntamiento.</w:t>
      </w:r>
    </w:p>
    <w:p w:rsidR="00000000" w:rsidDel="00000000" w:rsidP="00000000" w:rsidRDefault="00000000" w:rsidRPr="00000000" w14:paraId="0000004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534"/>
        </w:tabs>
        <w:spacing w:after="0" w:before="0" w:line="276" w:lineRule="auto"/>
        <w:ind w:left="1534" w:right="963" w:hanging="492"/>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Documento donde conste el nombre de los despachos sea persona física o moral de quien se obtienen servicios profesionales, así como los contratos que se hayan celebrado con ellos, montos de los mismos y forma de adjudicación o bajo la modalidad de las contrataciones de servicios profesionales por honorarios, del dieciséis de enero de dos mil veintidós al dieciséis de enero de dos mil veintitrés.</w:t>
      </w:r>
    </w:p>
    <w:p w:rsidR="00000000" w:rsidDel="00000000" w:rsidP="00000000" w:rsidRDefault="00000000" w:rsidRPr="00000000" w14:paraId="0000004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534"/>
        </w:tabs>
        <w:spacing w:after="0" w:before="0" w:line="276" w:lineRule="auto"/>
        <w:ind w:left="1534" w:right="962" w:hanging="492"/>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Las actas de entrega-recepción de las obras que se hayan entregado al Ayuntamiento en el ejercicio dos mil veintidós.</w:t>
      </w:r>
    </w:p>
    <w:p w:rsidR="00000000" w:rsidDel="00000000" w:rsidP="00000000" w:rsidRDefault="00000000" w:rsidRPr="00000000" w14:paraId="0000004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534"/>
        </w:tabs>
        <w:spacing w:after="0" w:before="0" w:line="276" w:lineRule="auto"/>
        <w:ind w:left="1534" w:right="967" w:hanging="492"/>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Conciliación de Nómina de la primera quincena de diciembre del año dos mil</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veintidós, correspondiente al personal adscrito al sujeto obligado.</w:t>
      </w: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534"/>
        </w:tabs>
        <w:spacing w:after="0" w:before="0" w:line="296" w:lineRule="auto"/>
        <w:ind w:left="1534" w:right="0" w:hanging="493"/>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 lista de raya de la primera quincena de diciembre del año dos mil veintidós.</w:t>
      </w:r>
    </w:p>
    <w:p w:rsidR="00000000" w:rsidDel="00000000" w:rsidP="00000000" w:rsidRDefault="00000000" w:rsidRPr="00000000" w14:paraId="0000004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534"/>
        </w:tabs>
        <w:spacing w:after="0" w:before="35" w:line="276" w:lineRule="auto"/>
        <w:ind w:left="1534" w:right="967" w:hanging="492"/>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Recibo de nómina del Primer Regidor y del Titular de la Unidad de Transparencia y Acceso a la Información de las dos quincenas del mes de diciembre de dos mil</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Palatino Linotype" w:cs="Palatino Linotype" w:eastAsia="Palatino Linotype" w:hAnsi="Palatino Linotype"/>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9018" w:right="40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30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37"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3">
      <w:pPr>
        <w:spacing w:before="36" w:lineRule="auto"/>
        <w:ind w:left="4465" w:right="387" w:firstLine="3034"/>
        <w:jc w:val="left"/>
        <w:rPr>
          <w:b w:val="1"/>
          <w:sz w:val="20"/>
          <w:szCs w:val="20"/>
        </w:rPr>
      </w:pPr>
      <w:r w:rsidDel="00000000" w:rsidR="00000000" w:rsidRPr="00000000">
        <w:rPr>
          <w:b w:val="1"/>
          <w:sz w:val="20"/>
          <w:szCs w:val="20"/>
          <w:rtl w:val="0"/>
        </w:rPr>
        <w:t xml:space="preserve">VOTO PARTICULAR RECURSOS DE REVISIÓN 01075/INFOEM/IP/RR/2023</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5">
      <w:pPr>
        <w:spacing w:before="31" w:line="276" w:lineRule="auto"/>
        <w:ind w:left="1534" w:right="387" w:firstLine="0"/>
        <w:jc w:val="left"/>
        <w:rPr>
          <w:i w:val="1"/>
          <w:sz w:val="22"/>
          <w:szCs w:val="22"/>
        </w:rPr>
      </w:pPr>
      <w:r w:rsidDel="00000000" w:rsidR="00000000" w:rsidRPr="00000000">
        <w:rPr>
          <w:i w:val="1"/>
          <w:sz w:val="22"/>
          <w:szCs w:val="22"/>
          <w:rtl w:val="0"/>
        </w:rPr>
        <w:t xml:space="preserve">veintidós, así como recibo de pago de aguinaldo y prima vacacional del año dos mil veintidós.</w:t>
      </w:r>
    </w:p>
    <w:p w:rsidR="00000000" w:rsidDel="00000000" w:rsidP="00000000" w:rsidRDefault="00000000" w:rsidRPr="00000000" w14:paraId="0000005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533"/>
          <w:tab w:val="left" w:leader="none" w:pos="1534"/>
        </w:tabs>
        <w:spacing w:after="0" w:before="1" w:line="276" w:lineRule="auto"/>
        <w:ind w:left="1534" w:right="964" w:hanging="492"/>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Documento donde conste el fundamento o autorización de cabildo para la eliminación del goce del periodo vacacional de diciembre del año dos mil veintidós.</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Palatino Linotype" w:cs="Palatino Linotype" w:eastAsia="Palatino Linotype" w:hAnsi="Palatino Linotype"/>
          <w:b w:val="0"/>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58">
      <w:pPr>
        <w:spacing w:before="0" w:line="276" w:lineRule="auto"/>
        <w:ind w:left="1109" w:right="963" w:firstLine="0"/>
        <w:jc w:val="both"/>
        <w:rPr>
          <w:i w:val="1"/>
          <w:sz w:val="22"/>
          <w:szCs w:val="22"/>
        </w:rPr>
      </w:pPr>
      <w:r w:rsidDel="00000000" w:rsidR="00000000" w:rsidRPr="00000000">
        <w:rPr>
          <w:i w:val="1"/>
          <w:sz w:val="22"/>
          <w:szCs w:val="22"/>
          <w:rtl w:val="0"/>
        </w:rPr>
        <w:t xml:space="preserve">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Palatino Linotype" w:cs="Palatino Linotype" w:eastAsia="Palatino Linotype" w:hAnsi="Palatino Linotype"/>
          <w:b w:val="0"/>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5A">
      <w:pPr>
        <w:spacing w:before="0" w:line="276" w:lineRule="auto"/>
        <w:ind w:left="1109" w:right="965" w:firstLine="0"/>
        <w:jc w:val="both"/>
        <w:rPr>
          <w:i w:val="1"/>
          <w:sz w:val="22"/>
          <w:szCs w:val="22"/>
        </w:rPr>
      </w:pPr>
      <w:r w:rsidDel="00000000" w:rsidR="00000000" w:rsidRPr="00000000">
        <w:rPr>
          <w:i w:val="1"/>
          <w:sz w:val="22"/>
          <w:szCs w:val="22"/>
          <w:rtl w:val="0"/>
        </w:rPr>
        <w:t xml:space="preserve">Para el caso de los puntos siete (7), diez (10) y doce (12), en el que no cuente con la información bastara que así lo haga saber al hoy recurrente en términos del párrafo segundo del artículo 19 de la Ley de Transparencia y Acceso a la Información Pública del Estado de México y Municipios.</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spacing w:before="1" w:lineRule="auto"/>
        <w:ind w:left="1534" w:right="0" w:firstLine="0"/>
        <w:jc w:val="left"/>
        <w:rPr>
          <w:i w:val="1"/>
          <w:sz w:val="22"/>
          <w:szCs w:val="22"/>
        </w:rPr>
      </w:pPr>
      <w:r w:rsidDel="00000000" w:rsidR="00000000" w:rsidRPr="00000000">
        <w:rPr>
          <w:i w:val="1"/>
          <w:sz w:val="22"/>
          <w:szCs w:val="22"/>
          <w:rtl w:val="0"/>
        </w:rPr>
        <w:t xml:space="preserve">.”</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pStyle w:val="Heading1"/>
        <w:numPr>
          <w:ilvl w:val="0"/>
          <w:numId w:val="5"/>
        </w:numPr>
        <w:tabs>
          <w:tab w:val="left" w:leader="none" w:pos="989"/>
        </w:tabs>
        <w:spacing w:after="0" w:before="1" w:line="240" w:lineRule="auto"/>
        <w:ind w:left="988" w:right="0" w:hanging="307"/>
        <w:jc w:val="left"/>
        <w:rPr/>
      </w:pPr>
      <w:r w:rsidDel="00000000" w:rsidR="00000000" w:rsidRPr="00000000">
        <w:rPr>
          <w:rtl w:val="0"/>
        </w:rPr>
        <w:t xml:space="preserve">Razones del Voto Particular.</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397"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este orden de ideas, por cuanto hace a la información que se ordena en el numeral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9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del resolutivo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SEGUNDO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relativo a la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Conciliación de Nómina de la primera quincena de diciembre del año dos mil veintidós, correspondiente al personal adscrito al 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resulta importante señalar que coincido con los términos generales planteados en la Resolución toda vez que por regla general la publicidad de las remuneraciones a las que se hacen acreedores los servidores públicos en el ejercicio de la función pública, se encuentran establecidas como una obligación de transparencia común, tanto en la Ley General como en la Ley Local, y de manera específica, el artículo 92, fracción VIII de la Ley de Transparencia y Acceso a la Información Pública del Estado de México y Municipios; no obstante lo anterior,</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018" w:right="40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30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32"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8">
      <w:pPr>
        <w:spacing w:before="36" w:lineRule="auto"/>
        <w:ind w:left="4465" w:right="387" w:firstLine="3034"/>
        <w:jc w:val="left"/>
        <w:rPr>
          <w:b w:val="1"/>
          <w:sz w:val="20"/>
          <w:szCs w:val="20"/>
        </w:rPr>
      </w:pPr>
      <w:r w:rsidDel="00000000" w:rsidR="00000000" w:rsidRPr="00000000">
        <w:rPr>
          <w:b w:val="1"/>
          <w:sz w:val="20"/>
          <w:szCs w:val="20"/>
          <w:rtl w:val="0"/>
        </w:rPr>
        <w:t xml:space="preserve">VOTO PARTICULAR RECURSOS DE REVISIÓN 01075/INFOEM/IP/RR/2023</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682" w:right="40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considero que dicha regla está sujeta a claro régimen de excepción, la cual concretamente se aprecia en el caso de las remuneraciones de personal que se encuentra adscrito a instituciones de seguridad pública con funciones operativas en atención a los consideraciones que a continuación se exponen.</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C">
      <w:pPr>
        <w:spacing w:before="0" w:line="360" w:lineRule="auto"/>
        <w:ind w:left="682" w:right="396" w:firstLine="0"/>
        <w:jc w:val="both"/>
        <w:rPr>
          <w:sz w:val="24"/>
          <w:szCs w:val="24"/>
        </w:rPr>
      </w:pPr>
      <w:r w:rsidDel="00000000" w:rsidR="00000000" w:rsidRPr="00000000">
        <w:rPr>
          <w:sz w:val="24"/>
          <w:szCs w:val="24"/>
          <w:rtl w:val="0"/>
        </w:rPr>
        <w:t xml:space="preserve">Sobre este punto, debemos partir desde la máxima establecida en nuestro texto Constitucional Federal pues el artículo 21 en su párrafo noveno reconoce que la seguridad pública es una función del Estado a cargo de la Federación, las Entidades Federativas y </w:t>
      </w:r>
      <w:r w:rsidDel="00000000" w:rsidR="00000000" w:rsidRPr="00000000">
        <w:rPr>
          <w:b w:val="1"/>
          <w:sz w:val="24"/>
          <w:szCs w:val="24"/>
          <w:rtl w:val="0"/>
        </w:rPr>
        <w:t xml:space="preserve">los Municipios</w:t>
      </w:r>
      <w:r w:rsidDel="00000000" w:rsidR="00000000" w:rsidRPr="00000000">
        <w:rPr>
          <w:sz w:val="24"/>
          <w:szCs w:val="24"/>
          <w:rtl w:val="0"/>
        </w:rPr>
        <w:t xml:space="preserve">, </w:t>
      </w:r>
      <w:r w:rsidDel="00000000" w:rsidR="00000000" w:rsidRPr="00000000">
        <w:rPr>
          <w:b w:val="1"/>
          <w:sz w:val="24"/>
          <w:szCs w:val="24"/>
          <w:rtl w:val="0"/>
        </w:rPr>
        <w:t xml:space="preserve">cuyos fines son salvaguardar la vida, las libertades, la integridad y el patrimonio de las personas, así como contribuir a la generación y preservación del orden público y la paz social</w:t>
      </w:r>
      <w:r w:rsidDel="00000000" w:rsidR="00000000" w:rsidRPr="00000000">
        <w:rPr>
          <w:sz w:val="24"/>
          <w:szCs w:val="24"/>
          <w:rtl w:val="0"/>
        </w:rPr>
        <w:t xml:space="preserve">. Asimismo, señala que la actuación de las instituciones de seguridad pública se regirá por los principios de legalidad, objetividad, eficiencia, profesionalismo, honradez y respeto a los derechos humanos.</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396"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Dicha circunstancia es replicada por la Ley de Seguridad del Estado de México en su artículo 1, fracciones II, III y V, las cuales señalan que dicho ordenamiento es de orden público, de interés social y de observancia general en todo el territorio del Estado de México y tiene por objeto establecer las bases de coordinación del Estado y los Municipios con la Federación, las Entidades Federativas, Municipios y Alcaldías de la Ciudad de México; integrar el Sistema Estatal de Seguridad Pública, que a su vez contribuirá con el Sistema Nacional de Seguridad Pública; para la construcción de las bases para una plena seguridad ciudadana.</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40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tal suerte que con lo señalado hasta este punto se advierte que la finalidad de la función de seguridad pública indudablemente tienen como eje central a la persona</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018" w:right="40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30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29"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9">
      <w:pPr>
        <w:spacing w:before="36" w:lineRule="auto"/>
        <w:ind w:left="4465" w:right="387" w:firstLine="3034"/>
        <w:jc w:val="left"/>
        <w:rPr>
          <w:b w:val="1"/>
          <w:sz w:val="20"/>
          <w:szCs w:val="20"/>
        </w:rPr>
      </w:pPr>
      <w:r w:rsidDel="00000000" w:rsidR="00000000" w:rsidRPr="00000000">
        <w:rPr>
          <w:b w:val="1"/>
          <w:sz w:val="20"/>
          <w:szCs w:val="20"/>
          <w:rtl w:val="0"/>
        </w:rPr>
        <w:t xml:space="preserve">VOTO PARTICULAR RECURSOS DE REVISIÓN 01075/INFOEM/IP/RR/2023</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682" w:right="40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humana y, por ende, contribuyen al establecimiento de la seguridad ciudadana, la cual tiene por objeto proteger a las personas; asegurar el ejercicio de su ciudadanía, sus libertades y derechos fundamentales; establecer espacios de participación social corresponsable y armónica; propiciar la solución pacífica de los conflictos interpersonales y sociales; fortalecer a las instituciones, y propiciar condiciones durables que permitan a los ciudadanos desarrollar sus capacidades, en un ambiente de paz y democracia.</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40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Una vez acreditado el objeto de la seguridad pública, así como los sujetos encargados de ejecutar las acciones para consumar esta función, podemos observar con claridad la importancia de los elementos operativos que ejecutan estas acciones encaminadas a preservar el orden dentro de la dinámica social y podemos partir de este punto para determinar el riesgo de la divulgación de esta información y por ende, la procedencia de su clasificación como información reservada.</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40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primer momento podemos vislumbrar que el artículo 81, fracción II de la Ley de Seguridad del Estado de México dispone de manera expresa que toda información para la seguridad pública generada o en poder de Instituciones de Seguridad Pública o de cualquier instancia del Sistema Estatal debe clasificarse, sirve de referencia la siguiente cita:</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81">
      <w:pPr>
        <w:spacing w:before="0" w:lineRule="auto"/>
        <w:ind w:left="1534" w:right="1299" w:firstLine="0"/>
        <w:jc w:val="both"/>
        <w:rPr>
          <w:i w:val="1"/>
          <w:sz w:val="22"/>
          <w:szCs w:val="22"/>
        </w:rPr>
      </w:pPr>
      <w:r w:rsidDel="00000000" w:rsidR="00000000" w:rsidRPr="00000000">
        <w:rPr>
          <w:i w:val="1"/>
          <w:sz w:val="22"/>
          <w:szCs w:val="22"/>
          <w:rtl w:val="0"/>
        </w:rPr>
        <w:t xml:space="preserve">“</w:t>
      </w:r>
      <w:r w:rsidDel="00000000" w:rsidR="00000000" w:rsidRPr="00000000">
        <w:rPr>
          <w:b w:val="1"/>
          <w:i w:val="1"/>
          <w:sz w:val="22"/>
          <w:szCs w:val="22"/>
          <w:rtl w:val="0"/>
        </w:rPr>
        <w:t xml:space="preserve">Artículo 81.- </w:t>
      </w:r>
      <w:r w:rsidDel="00000000" w:rsidR="00000000" w:rsidRPr="00000000">
        <w:rPr>
          <w:i w:val="1"/>
          <w:sz w:val="22"/>
          <w:szCs w:val="22"/>
          <w:rtl w:val="0"/>
        </w:rPr>
        <w:t xml:space="preserve">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000000" w:rsidDel="00000000" w:rsidP="00000000" w:rsidRDefault="00000000" w:rsidRPr="00000000" w14:paraId="00000082">
      <w:pPr>
        <w:spacing w:before="0" w:line="297" w:lineRule="auto"/>
        <w:ind w:left="1534" w:right="0" w:firstLine="0"/>
        <w:jc w:val="left"/>
        <w:rPr>
          <w:i w:val="1"/>
          <w:sz w:val="22"/>
          <w:szCs w:val="22"/>
        </w:rPr>
      </w:pPr>
      <w:r w:rsidDel="00000000" w:rsidR="00000000" w:rsidRPr="00000000">
        <w:rPr>
          <w:i w:val="1"/>
          <w:sz w:val="22"/>
          <w:szCs w:val="22"/>
          <w:rtl w:val="0"/>
        </w:rPr>
        <w:t xml:space="preserve">…</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0"/>
          <w:i w:val="1"/>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018" w:right="40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30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33"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B">
      <w:pPr>
        <w:spacing w:before="36" w:lineRule="auto"/>
        <w:ind w:left="4465" w:right="387" w:firstLine="3034"/>
        <w:jc w:val="left"/>
        <w:rPr>
          <w:b w:val="1"/>
          <w:sz w:val="20"/>
          <w:szCs w:val="20"/>
        </w:rPr>
      </w:pPr>
      <w:r w:rsidDel="00000000" w:rsidR="00000000" w:rsidRPr="00000000">
        <w:rPr>
          <w:b w:val="1"/>
          <w:sz w:val="20"/>
          <w:szCs w:val="20"/>
          <w:rtl w:val="0"/>
        </w:rPr>
        <w:t xml:space="preserve">VOTO PARTICULAR RECURSOS DE REVISIÓN 01075/INFOEM/IP/RR/2023</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901"/>
        </w:tabs>
        <w:spacing w:after="0" w:before="31" w:line="240" w:lineRule="auto"/>
        <w:ind w:left="1534" w:right="12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Aquella cuya revelación pueda ser utilizada para actualizar o</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potenciar una amenaza a la seguridad pública o a las instituciones del</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Estado de México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360" w:lineRule="auto"/>
        <w:ind w:left="682" w:right="40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armonía con esta disposición normativa, la Ley General de Transparencia y Acceso a la Información Pública, en su artículo 113, fracción I señala que deberá reservarse la información que con su publicación se comprometa a la seguridad pública y cuente con un efecto demostrable, posteriormente el artículo 140 fracción I de la Ley de Transparencia Local replica esta circunstancia de reserva, que señalan:</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2">
      <w:pPr>
        <w:spacing w:before="1" w:lineRule="auto"/>
        <w:ind w:left="1534" w:right="0" w:firstLine="0"/>
        <w:jc w:val="both"/>
        <w:rPr>
          <w:b w:val="1"/>
          <w:sz w:val="22"/>
          <w:szCs w:val="22"/>
        </w:rPr>
      </w:pPr>
      <w:r w:rsidDel="00000000" w:rsidR="00000000" w:rsidRPr="00000000">
        <w:rPr>
          <w:b w:val="1"/>
          <w:sz w:val="22"/>
          <w:szCs w:val="22"/>
          <w:rtl w:val="0"/>
        </w:rPr>
        <w:t xml:space="preserve">“Ley General de Transparencia y Acceso a la Información Pública:</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4">
      <w:pPr>
        <w:spacing w:before="1" w:line="278.00000000000006" w:lineRule="auto"/>
        <w:ind w:left="1534" w:right="1299" w:firstLine="0"/>
        <w:jc w:val="both"/>
        <w:rPr>
          <w:i w:val="1"/>
          <w:sz w:val="22"/>
          <w:szCs w:val="22"/>
        </w:rPr>
      </w:pPr>
      <w:r w:rsidDel="00000000" w:rsidR="00000000" w:rsidRPr="00000000">
        <w:rPr>
          <w:b w:val="1"/>
          <w:i w:val="1"/>
          <w:sz w:val="22"/>
          <w:szCs w:val="22"/>
          <w:rtl w:val="0"/>
        </w:rPr>
        <w:t xml:space="preserve">Artículo 113</w:t>
      </w:r>
      <w:r w:rsidDel="00000000" w:rsidR="00000000" w:rsidRPr="00000000">
        <w:rPr>
          <w:i w:val="1"/>
          <w:sz w:val="22"/>
          <w:szCs w:val="22"/>
          <w:rtl w:val="0"/>
        </w:rPr>
        <w:t xml:space="preserve">. Como información reservada podrá clasificarse aquella cuya publicación:</w:t>
      </w:r>
    </w:p>
    <w:p w:rsidR="00000000" w:rsidDel="00000000" w:rsidP="00000000" w:rsidRDefault="00000000" w:rsidRPr="00000000" w14:paraId="0000009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081"/>
        </w:tabs>
        <w:spacing w:after="0" w:before="118" w:line="273" w:lineRule="auto"/>
        <w:ind w:left="1814" w:right="12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Comprometa la seguridad nacional, la seguridad pública o la defensa nacional y cuente con un propósito genuino y un efecto demostrable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6">
      <w:pPr>
        <w:spacing w:before="127" w:line="276" w:lineRule="auto"/>
        <w:ind w:left="1534" w:right="1299" w:firstLine="0"/>
        <w:jc w:val="both"/>
        <w:rPr>
          <w:b w:val="1"/>
          <w:sz w:val="22"/>
          <w:szCs w:val="22"/>
        </w:rPr>
      </w:pPr>
      <w:r w:rsidDel="00000000" w:rsidR="00000000" w:rsidRPr="00000000">
        <w:rPr>
          <w:b w:val="1"/>
          <w:sz w:val="22"/>
          <w:szCs w:val="22"/>
          <w:rtl w:val="0"/>
        </w:rPr>
        <w:t xml:space="preserve">“Ley de Transparencia y Acceso a la Información Pública del Estado de México y Municipios:</w:t>
      </w:r>
    </w:p>
    <w:p w:rsidR="00000000" w:rsidDel="00000000" w:rsidP="00000000" w:rsidRDefault="00000000" w:rsidRPr="00000000" w14:paraId="00000097">
      <w:pPr>
        <w:spacing w:before="119" w:line="276" w:lineRule="auto"/>
        <w:ind w:left="1534" w:right="1300" w:firstLine="0"/>
        <w:jc w:val="both"/>
        <w:rPr>
          <w:i w:val="1"/>
          <w:sz w:val="22"/>
          <w:szCs w:val="22"/>
        </w:rPr>
      </w:pPr>
      <w:r w:rsidDel="00000000" w:rsidR="00000000" w:rsidRPr="00000000">
        <w:rPr>
          <w:b w:val="1"/>
          <w:i w:val="1"/>
          <w:sz w:val="22"/>
          <w:szCs w:val="22"/>
          <w:rtl w:val="0"/>
        </w:rPr>
        <w:t xml:space="preserve">Artículo 140</w:t>
      </w:r>
      <w:r w:rsidDel="00000000" w:rsidR="00000000" w:rsidRPr="00000000">
        <w:rPr>
          <w:i w:val="1"/>
          <w:sz w:val="22"/>
          <w:szCs w:val="22"/>
          <w:rtl w:val="0"/>
        </w:rPr>
        <w:t xml:space="preserve">. 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98">
      <w:pPr>
        <w:spacing w:before="123" w:line="273" w:lineRule="auto"/>
        <w:ind w:left="1814" w:right="1296" w:firstLine="0"/>
        <w:jc w:val="both"/>
        <w:rPr>
          <w:i w:val="1"/>
          <w:sz w:val="22"/>
          <w:szCs w:val="22"/>
        </w:rPr>
      </w:pPr>
      <w:r w:rsidDel="00000000" w:rsidR="00000000" w:rsidRPr="00000000">
        <w:rPr>
          <w:b w:val="1"/>
          <w:i w:val="1"/>
          <w:sz w:val="22"/>
          <w:szCs w:val="22"/>
          <w:rtl w:val="0"/>
        </w:rPr>
        <w:t xml:space="preserve">I. Comprometa la seguridad pública y cuente con un propósito genuino y un efecto demostrable</w:t>
      </w:r>
      <w:r w:rsidDel="00000000" w:rsidR="00000000" w:rsidRPr="00000000">
        <w:rPr>
          <w:i w:val="1"/>
          <w:sz w:val="22"/>
          <w:szCs w:val="22"/>
          <w:rtl w:val="0"/>
        </w:rPr>
        <w:t xml:space="preserve">;”</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Palatino Linotype" w:cs="Palatino Linotype" w:eastAsia="Palatino Linotype" w:hAnsi="Palatino Linotype"/>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39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Correlativo a lo anterior, Lineamientos Generales en Materia de Clasificación y Desclasificación de la Información, así como para la Elaboración de Versiones</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018" w:right="40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30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35"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3">
      <w:pPr>
        <w:spacing w:before="36" w:lineRule="auto"/>
        <w:ind w:left="4465" w:right="387" w:firstLine="3034"/>
        <w:jc w:val="left"/>
        <w:rPr>
          <w:b w:val="1"/>
          <w:sz w:val="20"/>
          <w:szCs w:val="20"/>
        </w:rPr>
      </w:pPr>
      <w:r w:rsidDel="00000000" w:rsidR="00000000" w:rsidRPr="00000000">
        <w:rPr>
          <w:b w:val="1"/>
          <w:sz w:val="20"/>
          <w:szCs w:val="20"/>
          <w:rtl w:val="0"/>
        </w:rPr>
        <w:t xml:space="preserve">VOTO PARTICULAR RECURSOS DE REVISIÓN 01075/INFOEM/IP/RR/2023</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682" w:right="394"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Públicas, publicados el 16 de abril de 2016 y reformados el 18 de noviembre de 2022 señalan en su numeral décimo octavo que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A7">
      <w:pPr>
        <w:spacing w:before="0" w:line="360" w:lineRule="auto"/>
        <w:ind w:left="682" w:right="399" w:firstLine="0"/>
        <w:jc w:val="both"/>
        <w:rPr>
          <w:sz w:val="24"/>
          <w:szCs w:val="24"/>
        </w:rPr>
      </w:pPr>
      <w:r w:rsidDel="00000000" w:rsidR="00000000" w:rsidRPr="00000000">
        <w:rPr>
          <w:sz w:val="24"/>
          <w:szCs w:val="24"/>
          <w:rtl w:val="0"/>
        </w:rPr>
        <w:t xml:space="preserve">Es crucial señalar que estos Lineamientos señalan </w:t>
      </w:r>
      <w:r w:rsidDel="00000000" w:rsidR="00000000" w:rsidRPr="00000000">
        <w:rPr>
          <w:b w:val="1"/>
          <w:sz w:val="24"/>
          <w:szCs w:val="24"/>
          <w:u w:val="single"/>
          <w:rtl w:val="0"/>
        </w:rPr>
        <w:t xml:space="preserve">que es susceptible de</w:t>
      </w:r>
      <w:r w:rsidDel="00000000" w:rsidR="00000000" w:rsidRPr="00000000">
        <w:rPr>
          <w:b w:val="1"/>
          <w:sz w:val="24"/>
          <w:szCs w:val="24"/>
          <w:rtl w:val="0"/>
        </w:rPr>
        <w:t xml:space="preserve"> </w:t>
      </w:r>
      <w:r w:rsidDel="00000000" w:rsidR="00000000" w:rsidRPr="00000000">
        <w:rPr>
          <w:b w:val="1"/>
          <w:sz w:val="24"/>
          <w:szCs w:val="24"/>
          <w:u w:val="single"/>
          <w:rtl w:val="0"/>
        </w:rPr>
        <w:t xml:space="preserve">considerarse como reservada aquella que revele datos que pudieran ser</w:t>
      </w:r>
      <w:r w:rsidDel="00000000" w:rsidR="00000000" w:rsidRPr="00000000">
        <w:rPr>
          <w:b w:val="1"/>
          <w:sz w:val="24"/>
          <w:szCs w:val="24"/>
          <w:rtl w:val="0"/>
        </w:rPr>
        <w:t xml:space="preserve"> </w:t>
      </w:r>
      <w:r w:rsidDel="00000000" w:rsidR="00000000" w:rsidRPr="00000000">
        <w:rPr>
          <w:b w:val="1"/>
          <w:sz w:val="24"/>
          <w:szCs w:val="24"/>
          <w:u w:val="single"/>
          <w:rtl w:val="0"/>
        </w:rPr>
        <w:t xml:space="preserve">aprovechados para conocer la capacidad de reacción de las instituciones</w:t>
      </w:r>
      <w:r w:rsidDel="00000000" w:rsidR="00000000" w:rsidRPr="00000000">
        <w:rPr>
          <w:b w:val="1"/>
          <w:sz w:val="24"/>
          <w:szCs w:val="24"/>
          <w:rtl w:val="0"/>
        </w:rPr>
        <w:t xml:space="preserve"> </w:t>
      </w:r>
      <w:r w:rsidDel="00000000" w:rsidR="00000000" w:rsidRPr="00000000">
        <w:rPr>
          <w:b w:val="1"/>
          <w:sz w:val="24"/>
          <w:szCs w:val="24"/>
          <w:u w:val="single"/>
          <w:rtl w:val="0"/>
        </w:rPr>
        <w:t xml:space="preserve">encargadas de la seguridad pública</w:t>
      </w:r>
      <w:r w:rsidDel="00000000" w:rsidR="00000000" w:rsidRPr="00000000">
        <w:rPr>
          <w:sz w:val="24"/>
          <w:szCs w:val="24"/>
          <w:rtl w:val="0"/>
        </w:rPr>
        <w:t xml:space="preserve">, sus planes, estrategias, tecnología, información, sistemas de comunicaciones.</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40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Hasta este punto tenemos que los instrumentos normativos que debemos observar en estricto sentido disponen puntualmente la reserva de información para los casos en los que se revele información que pueda ser empleada para conocer la capacidad de reacción, es decir, todo lo relativo a servidores públicos operativos que integran las instituciones de seguridad pública, ya que su divulgación podría ser utilizada para actualizar o potenciar una amenaza para la seguridad pública de la sociedad; teniendo esto en cuenta y trasladando estas premisas al caso particular se estima que con la entrega de información de los servidores públicos con funciones operativas adscritos a instituciones de seguridad pública, revela información actualizada sobre el número de policías operativos en activo a la fecha de la solicitud de información</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Palatino Linotype" w:cs="Palatino Linotype" w:eastAsia="Palatino Linotype" w:hAnsi="Palatino Linotyp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018" w:right="40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30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31"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3">
      <w:pPr>
        <w:spacing w:before="36" w:lineRule="auto"/>
        <w:ind w:left="4465" w:right="387" w:firstLine="3034"/>
        <w:jc w:val="left"/>
        <w:rPr>
          <w:b w:val="1"/>
          <w:sz w:val="20"/>
          <w:szCs w:val="20"/>
        </w:rPr>
      </w:pPr>
      <w:r w:rsidDel="00000000" w:rsidR="00000000" w:rsidRPr="00000000">
        <w:rPr>
          <w:b w:val="1"/>
          <w:sz w:val="20"/>
          <w:szCs w:val="20"/>
          <w:rtl w:val="0"/>
        </w:rPr>
        <w:t xml:space="preserve">VOTO PARTICULAR RECURSOS DE REVISIÓN 01075/INFOEM/IP/RR/2023</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682" w:right="40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y en consecuencia su estado de fuerza vigente, lo cual no sólo contraviene lo dispuesto expresamente por las disposiciones previamente insertadas, sino que, además, pone en riesgo los valores jurídicos y los principios bajo los cuales de las instituciones de seguridad pública se debe regir como son la legalidad, objetividad, eficiencia, profesionalismo, honradez y respeto a los derechos humanos reconocidos en la Constitución General.</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2"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conclusión, la reserva del personal operativo procede por dos circunstancias:</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58"/>
        </w:tabs>
        <w:spacing w:after="0" w:before="0" w:line="360" w:lineRule="auto"/>
        <w:ind w:left="965" w:right="40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identifica en términos concretos cómo es que la información requerida podría comprometer el ejercicio de sus facultades constitucionales y, con ello, la seguridad pública, en virtud de que:</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561"/>
        </w:tabs>
        <w:spacing w:after="0" w:before="0" w:line="360" w:lineRule="auto"/>
        <w:ind w:left="1248" w:right="39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información podría ser aprovechada por los grupos criminales para conocer la capacidad de reacción</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522"/>
        </w:tabs>
        <w:spacing w:after="0" w:before="0" w:line="360" w:lineRule="auto"/>
        <w:ind w:left="1248" w:right="396"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dicha información se revelarían a detalle las características funcionales del personal y con ello, su organización para el cumplimiento de sus funciones; y</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56"/>
        </w:tabs>
        <w:spacing w:after="0" w:before="1" w:line="360" w:lineRule="auto"/>
        <w:ind w:left="965" w:right="39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Existe una relación causal general entre la entrega de la información y la afectación a la seguridad pública, pues los grupos criminales estarían en posibilidad de obstaculizar o bloquear actividades encaminadas a preservar el orden dentro de la dinámica social.</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Palatino Linotype" w:cs="Palatino Linotype" w:eastAsia="Palatino Linotype" w:hAnsi="Palatino Linotype"/>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6"/>
        </w:tabs>
        <w:spacing w:after="0" w:before="92" w:line="240" w:lineRule="auto"/>
        <w:ind w:left="9018" w:right="40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30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38"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B">
      <w:pPr>
        <w:spacing w:before="36" w:lineRule="auto"/>
        <w:ind w:left="4465" w:right="387" w:firstLine="3034"/>
        <w:jc w:val="left"/>
        <w:rPr>
          <w:b w:val="1"/>
          <w:sz w:val="20"/>
          <w:szCs w:val="20"/>
        </w:rPr>
      </w:pPr>
      <w:r w:rsidDel="00000000" w:rsidR="00000000" w:rsidRPr="00000000">
        <w:rPr>
          <w:b w:val="1"/>
          <w:sz w:val="20"/>
          <w:szCs w:val="20"/>
          <w:rtl w:val="0"/>
        </w:rPr>
        <w:t xml:space="preserve">VOTO PARTICULAR RECURSOS DE REVISIÓN 01075/INFOEM/IP/RR/2023</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682" w:right="393"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tanto, entre mayor información se dé a conocer respecto del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estado de fuerza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que cuentan el Estado y Municipios, mayor es la probabilidad de que la información pueda implementarse como medio para actualizar o potenciar una amenaza en contra de la seguridad pública de los mismos.</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54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 pasa inadvertido para la suscrita que en los casos en los que se publiciten diversas notas o documentos en los que se dé a conocer información estadística sobre el número de elementos de policía con los que cuentan los ayuntamientos, esta información no se encuentra actualizada, aunado a que no se hace una distinción entre el número de personal operativo y administrativo.</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395"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consecuencia, la información de los elementos operativos adscrito a instituciones de seguridad pública, deben recibir un tratamiento de carácter excepcional, y esto es en razón de que, son los responsables de procurar el orden, la estabilidad y la defensa de la sociedad a la que pertenecen, por lo que, se estima que al proporcionar documentales en las que se aprecie dicha información dicha información se revela el número de servidores públicos operativos con funciones de seguridad pública activos en el Sujeto obligado; información con la que se da a conocer el estado de fuerza y la capacidad de reacción del órgano público.</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40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Ahora bien, la suscrita considera que es de vital importancia señalar que para los casos en los que los particulares deseen conocer las remuneraciones de los elementos operativos de las instituciones de seguridad pública, estas se pueden otorgar mediante el tabulador de sueldos, pues en este soporte se asientan los puestos funcionales y las remuneraciones, lo anterior encuentra sustento en el Instructivo</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6"/>
        </w:tabs>
        <w:spacing w:after="0" w:before="92" w:line="240" w:lineRule="auto"/>
        <w:ind w:left="9018" w:right="40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30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pict>
          <v:group style="position:absolute;margin-left:0.0pt;margin-top:-0.05pt;width:484.5pt;height:756.3pt;mso-position-horizontal-relative:margin;mso-position-vertical-relative:text;z-index:-16000000;mso-position-horizontal:absolute;mso-position-vertical:absolute;" coordsize="9690,15126" coordorigin="1664,572">
            <v:shape style="position:absolute;left:1664;top:571;width:9690;height:15126" stroked="false" type="#_x0000_t75">
              <v:imagedata r:id="rId1" o:title=""/>
            </v:shape>
            <v:shape style="position:absolute;left:1701;top:4385;width:8787;height:8588" stroked="false" type="#_x0000_t75">
              <v:imagedata r:id="rId2" o:title=""/>
            </v:shape>
          </v:group>
        </w:pic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C">
      <w:pPr>
        <w:spacing w:before="36" w:lineRule="auto"/>
        <w:ind w:left="4465" w:right="387" w:firstLine="3034"/>
        <w:jc w:val="left"/>
        <w:rPr>
          <w:b w:val="1"/>
          <w:sz w:val="20"/>
          <w:szCs w:val="20"/>
        </w:rPr>
      </w:pPr>
      <w:r w:rsidDel="00000000" w:rsidR="00000000" w:rsidRPr="00000000">
        <w:rPr>
          <w:b w:val="1"/>
          <w:sz w:val="20"/>
          <w:szCs w:val="20"/>
          <w:rtl w:val="0"/>
        </w:rPr>
        <w:t xml:space="preserve">VOTO PARTICULAR RECURSOS DE REVISIÓN 01075/INFOEM/IP/RR/2023</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682" w:right="387"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del módulo 4 para la entrega del informe trimestral 2023, en dicho documento obran los siguientes elementos:</w:t>
      </w:r>
      <w:r w:rsidDel="00000000" w:rsidR="00000000" w:rsidRPr="00000000"/>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9018" w:right="40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30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pict>
          <v:group style="position:absolute;margin-left:5.1pt;margin-top:-0.05pt;width:489.65pt;height:756.3pt;mso-position-horizontal-relative:margin;mso-position-vertical-relative:text;z-index:-15998976;mso-position-horizontal:absolute;mso-position-vertical:absolute;" coordsize="9793,15126" coordorigin="1562,572">
            <v:shape style="position:absolute;left:1664;top:571;width:9690;height:15126" stroked="false" type="#_x0000_t75">
              <v:imagedata r:id="rId3" o:title=""/>
            </v:shape>
            <v:shape style="position:absolute;left:1562;top:2238;width:8776;height:11133" stroked="false" type="#_x0000_t75">
              <v:imagedata r:id="rId4" o:title=""/>
            </v:shape>
          </v:group>
        </w:pict>
      </w:r>
      <w:r w:rsidDel="00000000" w:rsidR="00000000" w:rsidRPr="00000000"/>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E">
      <w:pPr>
        <w:spacing w:before="36" w:lineRule="auto"/>
        <w:ind w:left="4465" w:right="387" w:firstLine="3034"/>
        <w:jc w:val="left"/>
        <w:rPr>
          <w:b w:val="1"/>
          <w:sz w:val="20"/>
          <w:szCs w:val="20"/>
        </w:rPr>
      </w:pPr>
      <w:r w:rsidDel="00000000" w:rsidR="00000000" w:rsidRPr="00000000">
        <w:rPr>
          <w:b w:val="1"/>
          <w:sz w:val="20"/>
          <w:szCs w:val="20"/>
          <w:rtl w:val="0"/>
        </w:rPr>
        <w:t xml:space="preserve">VOTO PARTICULAR RECURSOS DE REVISIÓN 01075/INFOEM/IP/RR/2023</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9018" w:right="40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30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005915" cy="9371458"/>
            <wp:effectExtent b="0" l="0" r="0" t="0"/>
            <wp:wrapNone/>
            <wp:docPr id="28"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005915" cy="9371458"/>
                    </a:xfrm>
                    <a:prstGeom prst="rect"/>
                    <a:ln/>
                  </pic:spPr>
                </pic:pic>
              </a:graphicData>
            </a:graphic>
          </wp:anchor>
        </w:drawing>
      </w: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2">
      <w:pPr>
        <w:spacing w:before="36" w:lineRule="auto"/>
        <w:ind w:left="4465" w:right="387" w:firstLine="3034"/>
        <w:jc w:val="left"/>
        <w:rPr>
          <w:b w:val="1"/>
          <w:sz w:val="20"/>
          <w:szCs w:val="20"/>
        </w:rPr>
      </w:pPr>
      <w:r w:rsidDel="00000000" w:rsidR="00000000" w:rsidRPr="00000000">
        <w:rPr>
          <w:b w:val="1"/>
          <w:sz w:val="20"/>
          <w:szCs w:val="20"/>
          <w:rtl w:val="0"/>
        </w:rPr>
        <w:t xml:space="preserve">VOTO PARTICULAR RECURSOS DE REVISIÓN 01075/INFOEM/IP/RR/2023</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4">
      <w:pPr>
        <w:spacing w:before="24" w:line="360" w:lineRule="auto"/>
        <w:ind w:left="682" w:right="536"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sz w:val="24"/>
          <w:szCs w:val="24"/>
          <w:rtl w:val="0"/>
        </w:rPr>
        <w:t xml:space="preserve">De manera que con la consulta de este documento podrá visualizarse con claridad el cargo y la remuneración sin conocer el estado de fuerza de las entidades públicas y así no se restringe el derecho de acceso a la información de los particulares; es por todo lo anteriormente expuesto que considero que en las líneas argumentativas que anteceden, se acreditó de manera fehaciente que esta información debe ser reservada pues su entrega revela datos que pudieran ser aprovechados para conocer la capacidad de reacción de las instituciones encargadas de la seguridad pública y </w:t>
      </w:r>
      <w:r w:rsidDel="00000000" w:rsidR="00000000" w:rsidRPr="00000000">
        <w:rPr>
          <w:b w:val="1"/>
          <w:sz w:val="24"/>
          <w:szCs w:val="24"/>
          <w:u w:val="single"/>
          <w:rtl w:val="0"/>
        </w:rPr>
        <w:t xml:space="preserve">facilitaría a las células delictivas el neutralizar las acciones</w:t>
      </w:r>
      <w:r w:rsidDel="00000000" w:rsidR="00000000" w:rsidRPr="00000000">
        <w:rPr>
          <w:b w:val="1"/>
          <w:sz w:val="24"/>
          <w:szCs w:val="24"/>
          <w:rtl w:val="0"/>
        </w:rPr>
        <w:t xml:space="preserve"> </w:t>
      </w:r>
      <w:r w:rsidDel="00000000" w:rsidR="00000000" w:rsidRPr="00000000">
        <w:rPr>
          <w:b w:val="1"/>
          <w:sz w:val="24"/>
          <w:szCs w:val="24"/>
          <w:u w:val="single"/>
          <w:rtl w:val="0"/>
        </w:rPr>
        <w:t xml:space="preserve">implementadas o por implementar para la preservación de la paz pública,</w:t>
      </w:r>
      <w:r w:rsidDel="00000000" w:rsidR="00000000" w:rsidRPr="00000000">
        <w:rPr>
          <w:b w:val="1"/>
          <w:sz w:val="24"/>
          <w:szCs w:val="24"/>
          <w:rtl w:val="0"/>
        </w:rPr>
        <w:t xml:space="preserve"> </w:t>
      </w:r>
      <w:r w:rsidDel="00000000" w:rsidR="00000000" w:rsidRPr="00000000">
        <w:rPr>
          <w:b w:val="1"/>
          <w:sz w:val="24"/>
          <w:szCs w:val="24"/>
          <w:u w:val="single"/>
          <w:rtl w:val="0"/>
        </w:rPr>
        <w:t xml:space="preserve">afectando así su estado de fuerza, o bien les permita</w:t>
      </w:r>
      <w:r w:rsidDel="00000000" w:rsidR="00000000" w:rsidRPr="00000000">
        <w:rPr>
          <w:b w:val="1"/>
          <w:sz w:val="24"/>
          <w:szCs w:val="24"/>
          <w:rtl w:val="0"/>
        </w:rPr>
        <w:t xml:space="preserve"> </w:t>
      </w:r>
      <w:r w:rsidDel="00000000" w:rsidR="00000000" w:rsidRPr="00000000">
        <w:rPr>
          <w:sz w:val="24"/>
          <w:szCs w:val="24"/>
          <w:rtl w:val="0"/>
        </w:rPr>
        <w:t xml:space="preserve">realizar actos para amenazar,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inhibir, extorsionar o corromper las funciones del personal operativo, lo que causaría una vulneración a la Seguridad Municipal, por lo tanto la suscrita no comparte las consideraciones vertidas en la resolución respecto del tratamiento que se le da a la información relativa a elementos operativos de instituciones de seguridad pública, y por ende formula el presente voto particular</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018" w:right="40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30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9250254</wp:posOffset>
                </wp:positionV>
                <wp:extent cx="7379334" cy="808355"/>
                <wp:effectExtent b="0" l="0" r="0" t="0"/>
                <wp:wrapNone/>
                <wp:docPr id="26" name=""/>
                <a:graphic>
                  <a:graphicData uri="http://schemas.microsoft.com/office/word/2010/wordprocessingGroup">
                    <wpg:wgp>
                      <wpg:cNvGrpSpPr/>
                      <wpg:grpSpPr>
                        <a:xfrm>
                          <a:off x="1656325" y="3375800"/>
                          <a:ext cx="7379334" cy="808355"/>
                          <a:chOff x="1656325" y="3375800"/>
                          <a:chExt cx="7379350" cy="808375"/>
                        </a:xfrm>
                      </wpg:grpSpPr>
                      <wpg:grpSp>
                        <wpg:cNvGrpSpPr/>
                        <wpg:grpSpPr>
                          <a:xfrm>
                            <a:off x="1656333" y="3375823"/>
                            <a:ext cx="7379325" cy="808350"/>
                            <a:chOff x="0" y="0"/>
                            <a:chExt cx="7379325" cy="808350"/>
                          </a:xfrm>
                        </wpg:grpSpPr>
                        <wps:wsp>
                          <wps:cNvSpPr/>
                          <wps:cNvPr id="3" name="Shape 3"/>
                          <wps:spPr>
                            <a:xfrm>
                              <a:off x="0" y="0"/>
                              <a:ext cx="7379325" cy="808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6045199" y="0"/>
                              <a:ext cx="929639" cy="135255"/>
                            </a:xfrm>
                            <a:custGeom>
                              <a:rect b="b" l="l" r="r" t="t"/>
                              <a:pathLst>
                                <a:path extrusionOk="0" h="135255" w="929639">
                                  <a:moveTo>
                                    <a:pt x="0" y="0"/>
                                  </a:moveTo>
                                  <a:lnTo>
                                    <a:pt x="0" y="135255"/>
                                  </a:lnTo>
                                  <a:lnTo>
                                    <a:pt x="929639" y="135255"/>
                                  </a:lnTo>
                                  <a:lnTo>
                                    <a:pt x="929639" y="0"/>
                                  </a:lnTo>
                                  <a:close/>
                                </a:path>
                              </a:pathLst>
                            </a:custGeom>
                            <a:solidFill>
                              <a:srgbClr val="FFFFFF"/>
                            </a:solidFill>
                            <a:ln>
                              <a:noFill/>
                            </a:ln>
                          </wps:spPr>
                          <wps:txbx>
                            <w:txbxContent>
                              <w:p w:rsidR="00000000" w:rsidDel="00000000" w:rsidP="00000000" w:rsidRDefault="00000000" w:rsidRPr="00000000">
                                <w:pPr>
                                  <w:spacing w:after="0" w:before="0" w:line="212.0000123977661"/>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21"/>
                                    <w:vertAlign w:val="baseline"/>
                                  </w:rPr>
                                  <w:t xml:space="preserve">Página 14 de 14</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9250254</wp:posOffset>
                </wp:positionV>
                <wp:extent cx="7379334" cy="808355"/>
                <wp:effectExtent b="0" l="0" r="0" t="0"/>
                <wp:wrapNone/>
                <wp:docPr id="26"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7379334" cy="80835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486757" cy="700944"/>
            <wp:effectExtent b="0" l="0" r="0" t="0"/>
            <wp:docPr id="3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486757" cy="700944"/>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C">
      <w:pPr>
        <w:spacing w:before="42" w:lineRule="auto"/>
        <w:ind w:left="1900" w:right="0" w:firstLine="0"/>
        <w:jc w:val="left"/>
        <w:rPr>
          <w:sz w:val="18"/>
          <w:szCs w:val="18"/>
        </w:rPr>
      </w:pPr>
      <w:r w:rsidDel="00000000" w:rsidR="00000000" w:rsidRPr="00000000">
        <w:rPr>
          <w:rtl w:val="0"/>
        </w:rPr>
      </w:r>
    </w:p>
    <w:sectPr>
      <w:type w:val="nextPage"/>
      <w:pgSz w:h="15840" w:w="12240" w:orient="portrait"/>
      <w:pgMar w:bottom="0" w:top="620" w:left="1020" w:right="130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965" w:hanging="293"/>
      </w:pPr>
      <w:rPr>
        <w:rFonts w:ascii="Palatino Linotype" w:cs="Palatino Linotype" w:eastAsia="Palatino Linotype" w:hAnsi="Palatino Linotype"/>
        <w:sz w:val="24"/>
        <w:szCs w:val="24"/>
      </w:rPr>
    </w:lvl>
    <w:lvl w:ilvl="1">
      <w:start w:val="1"/>
      <w:numFmt w:val="lowerLetter"/>
      <w:lvlText w:val="%2)"/>
      <w:lvlJc w:val="left"/>
      <w:pPr>
        <w:ind w:left="1248" w:hanging="312"/>
      </w:pPr>
      <w:rPr>
        <w:rFonts w:ascii="Palatino Linotype" w:cs="Palatino Linotype" w:eastAsia="Palatino Linotype" w:hAnsi="Palatino Linotype"/>
        <w:sz w:val="24"/>
        <w:szCs w:val="24"/>
      </w:rPr>
    </w:lvl>
    <w:lvl w:ilvl="2">
      <w:start w:val="0"/>
      <w:numFmt w:val="bullet"/>
      <w:lvlText w:val="•"/>
      <w:lvlJc w:val="left"/>
      <w:pPr>
        <w:ind w:left="2204" w:hanging="311.9999999999998"/>
      </w:pPr>
      <w:rPr/>
    </w:lvl>
    <w:lvl w:ilvl="3">
      <w:start w:val="0"/>
      <w:numFmt w:val="bullet"/>
      <w:lvlText w:val="•"/>
      <w:lvlJc w:val="left"/>
      <w:pPr>
        <w:ind w:left="3168" w:hanging="312"/>
      </w:pPr>
      <w:rPr/>
    </w:lvl>
    <w:lvl w:ilvl="4">
      <w:start w:val="0"/>
      <w:numFmt w:val="bullet"/>
      <w:lvlText w:val="•"/>
      <w:lvlJc w:val="left"/>
      <w:pPr>
        <w:ind w:left="4133" w:hanging="312"/>
      </w:pPr>
      <w:rPr/>
    </w:lvl>
    <w:lvl w:ilvl="5">
      <w:start w:val="0"/>
      <w:numFmt w:val="bullet"/>
      <w:lvlText w:val="•"/>
      <w:lvlJc w:val="left"/>
      <w:pPr>
        <w:ind w:left="5097" w:hanging="312"/>
      </w:pPr>
      <w:rPr/>
    </w:lvl>
    <w:lvl w:ilvl="6">
      <w:start w:val="0"/>
      <w:numFmt w:val="bullet"/>
      <w:lvlText w:val="•"/>
      <w:lvlJc w:val="left"/>
      <w:pPr>
        <w:ind w:left="6062" w:hanging="312"/>
      </w:pPr>
      <w:rPr/>
    </w:lvl>
    <w:lvl w:ilvl="7">
      <w:start w:val="0"/>
      <w:numFmt w:val="bullet"/>
      <w:lvlText w:val="•"/>
      <w:lvlJc w:val="left"/>
      <w:pPr>
        <w:ind w:left="7026" w:hanging="312"/>
      </w:pPr>
      <w:rPr/>
    </w:lvl>
    <w:lvl w:ilvl="8">
      <w:start w:val="0"/>
      <w:numFmt w:val="bullet"/>
      <w:lvlText w:val="•"/>
      <w:lvlJc w:val="left"/>
      <w:pPr>
        <w:ind w:left="7991" w:hanging="312"/>
      </w:pPr>
      <w:rPr/>
    </w:lvl>
  </w:abstractNum>
  <w:abstractNum w:abstractNumId="2">
    <w:lvl w:ilvl="0">
      <w:start w:val="2"/>
      <w:numFmt w:val="upperRoman"/>
      <w:lvlText w:val="%1."/>
      <w:lvlJc w:val="left"/>
      <w:pPr>
        <w:ind w:left="1534" w:hanging="367"/>
      </w:pPr>
      <w:rPr>
        <w:rFonts w:ascii="Palatino Linotype" w:cs="Palatino Linotype" w:eastAsia="Palatino Linotype" w:hAnsi="Palatino Linotype"/>
        <w:b w:val="1"/>
        <w:i w:val="1"/>
        <w:sz w:val="22"/>
        <w:szCs w:val="22"/>
        <w:u w:val="single"/>
      </w:rPr>
    </w:lvl>
    <w:lvl w:ilvl="1">
      <w:start w:val="1"/>
      <w:numFmt w:val="upperRoman"/>
      <w:lvlText w:val="%2."/>
      <w:lvlJc w:val="left"/>
      <w:pPr>
        <w:ind w:left="1814" w:hanging="266.9999999999998"/>
      </w:pPr>
      <w:rPr>
        <w:rFonts w:ascii="Palatino Linotype" w:cs="Palatino Linotype" w:eastAsia="Palatino Linotype" w:hAnsi="Palatino Linotype"/>
        <w:b w:val="1"/>
        <w:i w:val="1"/>
        <w:sz w:val="22"/>
        <w:szCs w:val="22"/>
      </w:rPr>
    </w:lvl>
    <w:lvl w:ilvl="2">
      <w:start w:val="0"/>
      <w:numFmt w:val="bullet"/>
      <w:lvlText w:val="•"/>
      <w:lvlJc w:val="left"/>
      <w:pPr>
        <w:ind w:left="2720" w:hanging="267"/>
      </w:pPr>
      <w:rPr/>
    </w:lvl>
    <w:lvl w:ilvl="3">
      <w:start w:val="0"/>
      <w:numFmt w:val="bullet"/>
      <w:lvlText w:val="•"/>
      <w:lvlJc w:val="left"/>
      <w:pPr>
        <w:ind w:left="3620" w:hanging="267"/>
      </w:pPr>
      <w:rPr/>
    </w:lvl>
    <w:lvl w:ilvl="4">
      <w:start w:val="0"/>
      <w:numFmt w:val="bullet"/>
      <w:lvlText w:val="•"/>
      <w:lvlJc w:val="left"/>
      <w:pPr>
        <w:ind w:left="4520" w:hanging="267"/>
      </w:pPr>
      <w:rPr/>
    </w:lvl>
    <w:lvl w:ilvl="5">
      <w:start w:val="0"/>
      <w:numFmt w:val="bullet"/>
      <w:lvlText w:val="•"/>
      <w:lvlJc w:val="left"/>
      <w:pPr>
        <w:ind w:left="5420" w:hanging="267"/>
      </w:pPr>
      <w:rPr/>
    </w:lvl>
    <w:lvl w:ilvl="6">
      <w:start w:val="0"/>
      <w:numFmt w:val="bullet"/>
      <w:lvlText w:val="•"/>
      <w:lvlJc w:val="left"/>
      <w:pPr>
        <w:ind w:left="6320" w:hanging="267"/>
      </w:pPr>
      <w:rPr/>
    </w:lvl>
    <w:lvl w:ilvl="7">
      <w:start w:val="0"/>
      <w:numFmt w:val="bullet"/>
      <w:lvlText w:val="•"/>
      <w:lvlJc w:val="left"/>
      <w:pPr>
        <w:ind w:left="7220" w:hanging="267"/>
      </w:pPr>
      <w:rPr/>
    </w:lvl>
    <w:lvl w:ilvl="8">
      <w:start w:val="0"/>
      <w:numFmt w:val="bullet"/>
      <w:lvlText w:val="•"/>
      <w:lvlJc w:val="left"/>
      <w:pPr>
        <w:ind w:left="8120" w:hanging="267"/>
      </w:pPr>
      <w:rPr/>
    </w:lvl>
  </w:abstractNum>
  <w:abstractNum w:abstractNumId="3">
    <w:lvl w:ilvl="0">
      <w:start w:val="4"/>
      <w:numFmt w:val="decimal"/>
      <w:lvlText w:val="%1"/>
      <w:lvlJc w:val="left"/>
      <w:pPr>
        <w:ind w:left="9018" w:hanging="166"/>
      </w:pPr>
      <w:rPr>
        <w:rFonts w:ascii="Arial" w:cs="Arial" w:eastAsia="Arial" w:hAnsi="Arial"/>
        <w:b w:val="1"/>
        <w:sz w:val="20"/>
        <w:szCs w:val="20"/>
      </w:rPr>
    </w:lvl>
    <w:lvl w:ilvl="1">
      <w:start w:val="0"/>
      <w:numFmt w:val="bullet"/>
      <w:lvlText w:val="•"/>
      <w:lvlJc w:val="left"/>
      <w:pPr>
        <w:ind w:left="9110" w:hanging="166"/>
      </w:pPr>
      <w:rPr/>
    </w:lvl>
    <w:lvl w:ilvl="2">
      <w:start w:val="0"/>
      <w:numFmt w:val="bullet"/>
      <w:lvlText w:val="•"/>
      <w:lvlJc w:val="left"/>
      <w:pPr>
        <w:ind w:left="9200" w:hanging="166"/>
      </w:pPr>
      <w:rPr/>
    </w:lvl>
    <w:lvl w:ilvl="3">
      <w:start w:val="0"/>
      <w:numFmt w:val="bullet"/>
      <w:lvlText w:val="•"/>
      <w:lvlJc w:val="left"/>
      <w:pPr>
        <w:ind w:left="9290" w:hanging="166"/>
      </w:pPr>
      <w:rPr/>
    </w:lvl>
    <w:lvl w:ilvl="4">
      <w:start w:val="0"/>
      <w:numFmt w:val="bullet"/>
      <w:lvlText w:val="•"/>
      <w:lvlJc w:val="left"/>
      <w:pPr>
        <w:ind w:left="9380" w:hanging="166"/>
      </w:pPr>
      <w:rPr/>
    </w:lvl>
    <w:lvl w:ilvl="5">
      <w:start w:val="0"/>
      <w:numFmt w:val="bullet"/>
      <w:lvlText w:val="•"/>
      <w:lvlJc w:val="left"/>
      <w:pPr>
        <w:ind w:left="9470" w:hanging="166"/>
      </w:pPr>
      <w:rPr/>
    </w:lvl>
    <w:lvl w:ilvl="6">
      <w:start w:val="0"/>
      <w:numFmt w:val="bullet"/>
      <w:lvlText w:val="•"/>
      <w:lvlJc w:val="left"/>
      <w:pPr>
        <w:ind w:left="9560" w:hanging="166"/>
      </w:pPr>
      <w:rPr/>
    </w:lvl>
    <w:lvl w:ilvl="7">
      <w:start w:val="0"/>
      <w:numFmt w:val="bullet"/>
      <w:lvlText w:val="•"/>
      <w:lvlJc w:val="left"/>
      <w:pPr>
        <w:ind w:left="9650" w:hanging="166"/>
      </w:pPr>
      <w:rPr/>
    </w:lvl>
    <w:lvl w:ilvl="8">
      <w:start w:val="0"/>
      <w:numFmt w:val="bullet"/>
      <w:lvlText w:val="•"/>
      <w:lvlJc w:val="left"/>
      <w:pPr>
        <w:ind w:left="9740" w:hanging="166"/>
      </w:pPr>
      <w:rPr/>
    </w:lvl>
  </w:abstractNum>
  <w:abstractNum w:abstractNumId="4">
    <w:lvl w:ilvl="0">
      <w:start w:val="1"/>
      <w:numFmt w:val="decimal"/>
      <w:lvlText w:val="%1."/>
      <w:lvlJc w:val="left"/>
      <w:pPr>
        <w:ind w:left="1534" w:hanging="492"/>
      </w:pPr>
      <w:rPr>
        <w:rFonts w:ascii="Palatino Linotype" w:cs="Palatino Linotype" w:eastAsia="Palatino Linotype" w:hAnsi="Palatino Linotype"/>
        <w:b w:val="1"/>
        <w:sz w:val="22"/>
        <w:szCs w:val="22"/>
      </w:rPr>
    </w:lvl>
    <w:lvl w:ilvl="1">
      <w:start w:val="0"/>
      <w:numFmt w:val="bullet"/>
      <w:lvlText w:val="•"/>
      <w:lvlJc w:val="left"/>
      <w:pPr>
        <w:ind w:left="2378" w:hanging="491.9999999999998"/>
      </w:pPr>
      <w:rPr/>
    </w:lvl>
    <w:lvl w:ilvl="2">
      <w:start w:val="0"/>
      <w:numFmt w:val="bullet"/>
      <w:lvlText w:val="•"/>
      <w:lvlJc w:val="left"/>
      <w:pPr>
        <w:ind w:left="3216" w:hanging="491.99999999999955"/>
      </w:pPr>
      <w:rPr/>
    </w:lvl>
    <w:lvl w:ilvl="3">
      <w:start w:val="0"/>
      <w:numFmt w:val="bullet"/>
      <w:lvlText w:val="•"/>
      <w:lvlJc w:val="left"/>
      <w:pPr>
        <w:ind w:left="4054" w:hanging="492"/>
      </w:pPr>
      <w:rPr/>
    </w:lvl>
    <w:lvl w:ilvl="4">
      <w:start w:val="0"/>
      <w:numFmt w:val="bullet"/>
      <w:lvlText w:val="•"/>
      <w:lvlJc w:val="left"/>
      <w:pPr>
        <w:ind w:left="4892" w:hanging="492"/>
      </w:pPr>
      <w:rPr/>
    </w:lvl>
    <w:lvl w:ilvl="5">
      <w:start w:val="0"/>
      <w:numFmt w:val="bullet"/>
      <w:lvlText w:val="•"/>
      <w:lvlJc w:val="left"/>
      <w:pPr>
        <w:ind w:left="5730" w:hanging="492"/>
      </w:pPr>
      <w:rPr/>
    </w:lvl>
    <w:lvl w:ilvl="6">
      <w:start w:val="0"/>
      <w:numFmt w:val="bullet"/>
      <w:lvlText w:val="•"/>
      <w:lvlJc w:val="left"/>
      <w:pPr>
        <w:ind w:left="6568" w:hanging="492.0000000000009"/>
      </w:pPr>
      <w:rPr/>
    </w:lvl>
    <w:lvl w:ilvl="7">
      <w:start w:val="0"/>
      <w:numFmt w:val="bullet"/>
      <w:lvlText w:val="•"/>
      <w:lvlJc w:val="left"/>
      <w:pPr>
        <w:ind w:left="7406" w:hanging="492"/>
      </w:pPr>
      <w:rPr/>
    </w:lvl>
    <w:lvl w:ilvl="8">
      <w:start w:val="0"/>
      <w:numFmt w:val="bullet"/>
      <w:lvlText w:val="•"/>
      <w:lvlJc w:val="left"/>
      <w:pPr>
        <w:ind w:left="8244" w:hanging="492.0000000000009"/>
      </w:pPr>
      <w:rPr/>
    </w:lvl>
  </w:abstractNum>
  <w:abstractNum w:abstractNumId="5">
    <w:lvl w:ilvl="0">
      <w:start w:val="1"/>
      <w:numFmt w:val="upperRoman"/>
      <w:lvlText w:val="%1."/>
      <w:lvlJc w:val="left"/>
      <w:pPr>
        <w:ind w:left="1248" w:hanging="284"/>
      </w:pPr>
      <w:rPr>
        <w:rFonts w:ascii="Palatino Linotype" w:cs="Palatino Linotype" w:eastAsia="Palatino Linotype" w:hAnsi="Palatino Linotype"/>
        <w:b w:val="1"/>
        <w:sz w:val="24"/>
        <w:szCs w:val="24"/>
      </w:rPr>
    </w:lvl>
    <w:lvl w:ilvl="1">
      <w:start w:val="1"/>
      <w:numFmt w:val="decimal"/>
      <w:lvlText w:val="%2"/>
      <w:lvlJc w:val="left"/>
      <w:pPr>
        <w:ind w:left="9018" w:hanging="166"/>
      </w:pPr>
      <w:rPr>
        <w:rFonts w:ascii="Arial" w:cs="Arial" w:eastAsia="Arial" w:hAnsi="Arial"/>
        <w:b w:val="1"/>
        <w:sz w:val="20"/>
        <w:szCs w:val="20"/>
      </w:rPr>
    </w:lvl>
    <w:lvl w:ilvl="2">
      <w:start w:val="0"/>
      <w:numFmt w:val="bullet"/>
      <w:lvlText w:val="•"/>
      <w:lvlJc w:val="left"/>
      <w:pPr>
        <w:ind w:left="9120" w:hanging="166"/>
      </w:pPr>
      <w:rPr/>
    </w:lvl>
    <w:lvl w:ilvl="3">
      <w:start w:val="0"/>
      <w:numFmt w:val="bullet"/>
      <w:lvlText w:val="•"/>
      <w:lvlJc w:val="left"/>
      <w:pPr>
        <w:ind w:left="9220" w:hanging="166"/>
      </w:pPr>
      <w:rPr/>
    </w:lvl>
    <w:lvl w:ilvl="4">
      <w:start w:val="0"/>
      <w:numFmt w:val="bullet"/>
      <w:lvlText w:val="•"/>
      <w:lvlJc w:val="left"/>
      <w:pPr>
        <w:ind w:left="9320" w:hanging="166"/>
      </w:pPr>
      <w:rPr/>
    </w:lvl>
    <w:lvl w:ilvl="5">
      <w:start w:val="0"/>
      <w:numFmt w:val="bullet"/>
      <w:lvlText w:val="•"/>
      <w:lvlJc w:val="left"/>
      <w:pPr>
        <w:ind w:left="9420" w:hanging="166"/>
      </w:pPr>
      <w:rPr/>
    </w:lvl>
    <w:lvl w:ilvl="6">
      <w:start w:val="0"/>
      <w:numFmt w:val="bullet"/>
      <w:lvlText w:val="•"/>
      <w:lvlJc w:val="left"/>
      <w:pPr>
        <w:ind w:left="9520" w:hanging="166"/>
      </w:pPr>
      <w:rPr/>
    </w:lvl>
    <w:lvl w:ilvl="7">
      <w:start w:val="0"/>
      <w:numFmt w:val="bullet"/>
      <w:lvlText w:val="•"/>
      <w:lvlJc w:val="left"/>
      <w:pPr>
        <w:ind w:left="9620" w:hanging="166"/>
      </w:pPr>
      <w:rPr/>
    </w:lvl>
    <w:lvl w:ilvl="8">
      <w:start w:val="0"/>
      <w:numFmt w:val="bullet"/>
      <w:lvlText w:val="•"/>
      <w:lvlJc w:val="left"/>
      <w:pPr>
        <w:ind w:left="9720" w:hanging="166"/>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682" w:hanging="307"/>
      <w:jc w:val="both"/>
    </w:pPr>
    <w:rPr>
      <w:rFonts w:ascii="Palatino Linotype" w:cs="Palatino Linotype" w:eastAsia="Palatino Linotype" w:hAnsi="Palatino Linotype"/>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Palatino Linotype" w:cs="Palatino Linotype" w:eastAsia="Palatino Linotype" w:hAnsi="Palatino Linotype"/>
      <w:lang w:bidi="ar-SA" w:eastAsia="en-US" w:val="es-ES"/>
    </w:rPr>
  </w:style>
  <w:style w:type="paragraph" w:styleId="BodyText">
    <w:name w:val="Body Text"/>
    <w:basedOn w:val="Normal"/>
    <w:uiPriority w:val="1"/>
    <w:qFormat w:val="1"/>
    <w:pPr/>
    <w:rPr>
      <w:rFonts w:ascii="Palatino Linotype" w:cs="Palatino Linotype" w:eastAsia="Palatino Linotype" w:hAnsi="Palatino Linotype"/>
      <w:sz w:val="24"/>
      <w:szCs w:val="24"/>
      <w:lang w:bidi="ar-SA" w:eastAsia="en-US" w:val="es-ES"/>
    </w:rPr>
  </w:style>
  <w:style w:type="paragraph" w:styleId="Heading1">
    <w:name w:val="Heading 1"/>
    <w:basedOn w:val="Normal"/>
    <w:uiPriority w:val="1"/>
    <w:qFormat w:val="1"/>
    <w:pPr>
      <w:ind w:left="682" w:hanging="307"/>
      <w:jc w:val="both"/>
      <w:outlineLvl w:val="1"/>
    </w:pPr>
    <w:rPr>
      <w:rFonts w:ascii="Palatino Linotype" w:cs="Palatino Linotype" w:eastAsia="Palatino Linotype" w:hAnsi="Palatino Linotype"/>
      <w:b w:val="1"/>
      <w:bCs w:val="1"/>
      <w:sz w:val="24"/>
      <w:szCs w:val="24"/>
      <w:lang w:bidi="ar-SA" w:eastAsia="en-US" w:val="es-ES"/>
    </w:rPr>
  </w:style>
  <w:style w:type="paragraph" w:styleId="ListParagraph">
    <w:name w:val="List Paragraph"/>
    <w:basedOn w:val="Normal"/>
    <w:uiPriority w:val="1"/>
    <w:qFormat w:val="1"/>
    <w:pPr>
      <w:ind w:left="1534" w:right="400" w:hanging="9019"/>
      <w:jc w:val="both"/>
    </w:pPr>
    <w:rPr>
      <w:rFonts w:ascii="Palatino Linotype" w:cs="Palatino Linotype" w:eastAsia="Palatino Linotype" w:hAnsi="Palatino Linotype"/>
      <w:lang w:bidi="ar-SA" w:eastAsia="en-US" w:val="es-ES"/>
    </w:rPr>
  </w:style>
  <w:style w:type="paragraph" w:styleId="TableParagraph">
    <w:name w:val="Table Paragraph"/>
    <w:basedOn w:val="Normal"/>
    <w:uiPriority w:val="1"/>
    <w:qFormat w:val="1"/>
    <w:pPr/>
    <w:rPr>
      <w:lang w:bidi="ar-SA" w:eastAsia="en-US"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7.png"/><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image" Target="media/image1.jpg"/><Relationship Id="rId4" Type="http://schemas.openxmlformats.org/officeDocument/2006/relationships/image" Target="media/image4.jpg"/><Relationship Id="rId9" Type="http://schemas.openxmlformats.org/officeDocument/2006/relationships/styles" Target="styles.xml"/><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kjZEgi3iGZpBZ45y4V2EuXR3Qg==">CgMxLjA4AHIhMS1DdVlkVGFDMnlvY2ZPbXcwdFRiczRrdjdjcTRKT2JL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2024-08-30T00:03:23Z</dcterms:created>
  <dc:creator>USUARIO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2023-11-28T00:00:00Z</vt:filetime>
  </property>
  <property fmtid="{D5CDD505-2E9C-101B-9397-08002B2CF9AE}" pid="3" name="Creator">
    <vt:lpwstr>Microsoft® Word 2013</vt:lpwstr>
  </property>
  <property fmtid="{D5CDD505-2E9C-101B-9397-08002B2CF9AE}" pid="4" name="LastSaved">
    <vt:filetime>2024-08-30T00:00:00Z</vt:filetime>
  </property>
</Properties>
</file>