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DD4" w:rsidRPr="00E81561" w:rsidRDefault="00071DD4" w:rsidP="00E81561">
      <w:pPr>
        <w:spacing w:after="0" w:line="360" w:lineRule="auto"/>
        <w:jc w:val="both"/>
        <w:rPr>
          <w:rFonts w:ascii="Palatino Linotype" w:hAnsi="Palatino Linotype" w:cs="Tahoma"/>
          <w:b/>
          <w:lang w:val="es-MX"/>
        </w:rPr>
      </w:pPr>
      <w:r w:rsidRPr="00E81561">
        <w:rPr>
          <w:rFonts w:ascii="Palatino Linotype" w:hAnsi="Palatino Linotype" w:cs="Tahoma"/>
          <w:b/>
        </w:rPr>
        <w:t xml:space="preserve">VOTO PARTICULAR QUE FORMULA EL COMISIONADO LUIS GUSTAVO PARRA NORIEGA, EN RELACIÓN CON LA RESOLUCIÓN DEL RECURSO DE REVISIÓN </w:t>
      </w:r>
      <w:r w:rsidR="00313DC9" w:rsidRPr="00E81561">
        <w:rPr>
          <w:rFonts w:ascii="Palatino Linotype" w:hAnsi="Palatino Linotype" w:cs="Tahoma"/>
          <w:b/>
        </w:rPr>
        <w:t xml:space="preserve">03092/INFOEM/IP/RR/2023 </w:t>
      </w:r>
      <w:r w:rsidRPr="00E81561">
        <w:rPr>
          <w:rFonts w:ascii="Palatino Linotype" w:hAnsi="Palatino Linotype" w:cs="Tahoma"/>
          <w:b/>
        </w:rPr>
        <w:t>EN CONTRA</w:t>
      </w:r>
      <w:r w:rsidR="003A7450" w:rsidRPr="00E81561">
        <w:rPr>
          <w:rFonts w:ascii="Palatino Linotype" w:hAnsi="Palatino Linotype" w:cs="Tahoma"/>
          <w:b/>
        </w:rPr>
        <w:t xml:space="preserve"> DEL </w:t>
      </w:r>
      <w:r w:rsidR="00641245" w:rsidRPr="00E81561">
        <w:rPr>
          <w:rFonts w:ascii="Palatino Linotype" w:hAnsi="Palatino Linotype" w:cs="Tahoma"/>
          <w:b/>
          <w:lang w:val="es-MX"/>
        </w:rPr>
        <w:t>PODER JUDICIAL.</w:t>
      </w:r>
    </w:p>
    <w:p w:rsidR="00641245" w:rsidRPr="00E81561" w:rsidRDefault="00171AD6" w:rsidP="00E81561">
      <w:pPr>
        <w:spacing w:after="0" w:line="360" w:lineRule="auto"/>
        <w:jc w:val="both"/>
        <w:rPr>
          <w:rFonts w:ascii="Palatino Linotype" w:hAnsi="Palatino Linotype" w:cs="Tahoma"/>
        </w:rPr>
      </w:pPr>
      <w:r w:rsidRPr="00E81561">
        <w:rPr>
          <w:rFonts w:ascii="Palatino Linotype" w:hAnsi="Palatino Linotype" w:cs="Tahoma"/>
          <w:b/>
          <w:lang w:val="es-MX"/>
        </w:rPr>
        <w:t xml:space="preserve"> </w:t>
      </w:r>
    </w:p>
    <w:p w:rsidR="00071DD4" w:rsidRPr="00E81561" w:rsidRDefault="00346570" w:rsidP="00E81561">
      <w:pPr>
        <w:spacing w:after="0" w:line="360" w:lineRule="auto"/>
        <w:jc w:val="both"/>
        <w:rPr>
          <w:rFonts w:ascii="Palatino Linotype" w:hAnsi="Palatino Linotype" w:cs="Tahoma"/>
        </w:rPr>
      </w:pPr>
      <w:r w:rsidRPr="00E81561">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Voto Particular por no compartir en su totalidad las consideraciones que sustentan la Resolución del Recurso de Revisión </w:t>
      </w:r>
      <w:r w:rsidR="00313DC9" w:rsidRPr="00E81561">
        <w:rPr>
          <w:rFonts w:ascii="Palatino Linotype" w:hAnsi="Palatino Linotype" w:cs="Tahoma"/>
        </w:rPr>
        <w:t>03092/INFOEM/IP/RR/2023</w:t>
      </w:r>
      <w:r w:rsidRPr="00E81561">
        <w:rPr>
          <w:rFonts w:ascii="Palatino Linotype" w:hAnsi="Palatino Linotype" w:cs="Tahoma"/>
        </w:rPr>
        <w:t>,  conforme a lo siguiente:</w:t>
      </w:r>
    </w:p>
    <w:p w:rsidR="00071DD4" w:rsidRPr="00E81561" w:rsidRDefault="00071DD4" w:rsidP="00E81561">
      <w:pPr>
        <w:spacing w:after="0" w:line="360" w:lineRule="auto"/>
        <w:jc w:val="both"/>
        <w:rPr>
          <w:rFonts w:ascii="Palatino Linotype" w:hAnsi="Palatino Linotype" w:cs="Tahoma"/>
        </w:rPr>
      </w:pPr>
    </w:p>
    <w:p w:rsidR="00C15D62"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rPr>
        <w:t xml:space="preserve">Como se advierte en los antecedentes de la resolución del </w:t>
      </w:r>
      <w:r w:rsidR="00F855BA" w:rsidRPr="00E81561">
        <w:rPr>
          <w:rFonts w:ascii="Palatino Linotype" w:hAnsi="Palatino Linotype" w:cs="Tahoma"/>
        </w:rPr>
        <w:t xml:space="preserve">Recurso </w:t>
      </w:r>
      <w:r w:rsidRPr="00E81561">
        <w:rPr>
          <w:rFonts w:ascii="Palatino Linotype" w:hAnsi="Palatino Linotype" w:cs="Tahoma"/>
        </w:rPr>
        <w:t xml:space="preserve">de </w:t>
      </w:r>
      <w:r w:rsidR="00F855BA" w:rsidRPr="00E81561">
        <w:rPr>
          <w:rFonts w:ascii="Palatino Linotype" w:hAnsi="Palatino Linotype" w:cs="Tahoma"/>
        </w:rPr>
        <w:t xml:space="preserve">Revisión </w:t>
      </w:r>
      <w:r w:rsidRPr="00E81561">
        <w:rPr>
          <w:rFonts w:ascii="Palatino Linotype" w:hAnsi="Palatino Linotype" w:cs="Tahoma"/>
        </w:rPr>
        <w:t>que no</w:t>
      </w:r>
      <w:r w:rsidR="00346570" w:rsidRPr="00E81561">
        <w:rPr>
          <w:rFonts w:ascii="Palatino Linotype" w:hAnsi="Palatino Linotype" w:cs="Tahoma"/>
        </w:rPr>
        <w:t>s ocupa, el particular requirió lo siguiente:</w:t>
      </w:r>
    </w:p>
    <w:p w:rsidR="00171AD6" w:rsidRPr="00E81561" w:rsidRDefault="00171AD6" w:rsidP="00E81561">
      <w:pPr>
        <w:spacing w:after="0" w:line="360" w:lineRule="auto"/>
        <w:jc w:val="both"/>
        <w:rPr>
          <w:rFonts w:ascii="Palatino Linotype" w:hAnsi="Palatino Linotype" w:cs="Tahoma"/>
        </w:rPr>
      </w:pPr>
    </w:p>
    <w:p w:rsidR="00C15D62" w:rsidRPr="00E81561" w:rsidRDefault="00C15D62" w:rsidP="00E81561">
      <w:pPr>
        <w:spacing w:after="0" w:line="360" w:lineRule="auto"/>
        <w:jc w:val="both"/>
        <w:rPr>
          <w:rFonts w:ascii="Palatino Linotype" w:hAnsi="Palatino Linotype" w:cs="Arial"/>
          <w:i/>
        </w:rPr>
      </w:pPr>
      <w:r w:rsidRPr="00E81561">
        <w:rPr>
          <w:rFonts w:ascii="Palatino Linotype" w:hAnsi="Palatino Linotype" w:cs="Tahoma"/>
        </w:rPr>
        <w:t xml:space="preserve">En relación con el </w:t>
      </w:r>
      <w:r w:rsidR="00313DC9" w:rsidRPr="00E81561">
        <w:rPr>
          <w:rFonts w:ascii="Palatino Linotype" w:hAnsi="Palatino Linotype" w:cs="Arial"/>
        </w:rPr>
        <w:t xml:space="preserve">caso del feminicida de </w:t>
      </w:r>
      <w:r w:rsidRPr="00E81561">
        <w:rPr>
          <w:rFonts w:ascii="Palatino Linotype" w:hAnsi="Palatino Linotype" w:cs="Arial"/>
        </w:rPr>
        <w:t>Atizapán</w:t>
      </w:r>
      <w:r w:rsidRPr="00E81561">
        <w:rPr>
          <w:rFonts w:ascii="Palatino Linotype" w:hAnsi="Palatino Linotype" w:cs="Arial"/>
          <w:i/>
        </w:rPr>
        <w:t>:</w:t>
      </w:r>
    </w:p>
    <w:p w:rsidR="00C15D62" w:rsidRPr="00E81561" w:rsidRDefault="00C15D62" w:rsidP="00E81561">
      <w:pPr>
        <w:pStyle w:val="Prrafodelista"/>
        <w:numPr>
          <w:ilvl w:val="0"/>
          <w:numId w:val="6"/>
        </w:numPr>
        <w:spacing w:after="0" w:line="360" w:lineRule="auto"/>
        <w:jc w:val="both"/>
        <w:rPr>
          <w:rFonts w:ascii="Palatino Linotype" w:hAnsi="Palatino Linotype" w:cs="Arial"/>
        </w:rPr>
      </w:pPr>
      <w:r w:rsidRPr="00E81561">
        <w:rPr>
          <w:rFonts w:ascii="Palatino Linotype" w:hAnsi="Palatino Linotype" w:cs="Arial"/>
        </w:rPr>
        <w:t>C</w:t>
      </w:r>
      <w:r w:rsidR="00313DC9" w:rsidRPr="00E81561">
        <w:rPr>
          <w:rFonts w:ascii="Palatino Linotype" w:hAnsi="Palatino Linotype" w:cs="Arial"/>
        </w:rPr>
        <w:t>uantas carpetas de investigación tienen abiertas</w:t>
      </w:r>
      <w:r w:rsidR="00171AD6" w:rsidRPr="00E81561">
        <w:rPr>
          <w:rFonts w:ascii="Palatino Linotype" w:hAnsi="Palatino Linotype" w:cs="Arial"/>
        </w:rPr>
        <w:t>.</w:t>
      </w:r>
      <w:r w:rsidR="00313DC9" w:rsidRPr="00E81561">
        <w:rPr>
          <w:rFonts w:ascii="Palatino Linotype" w:hAnsi="Palatino Linotype" w:cs="Arial"/>
        </w:rPr>
        <w:t xml:space="preserve"> </w:t>
      </w:r>
    </w:p>
    <w:p w:rsidR="00C15D62" w:rsidRPr="00E81561" w:rsidRDefault="00C15D62" w:rsidP="00E81561">
      <w:pPr>
        <w:pStyle w:val="Prrafodelista"/>
        <w:numPr>
          <w:ilvl w:val="0"/>
          <w:numId w:val="6"/>
        </w:numPr>
        <w:spacing w:after="0" w:line="360" w:lineRule="auto"/>
        <w:jc w:val="both"/>
        <w:rPr>
          <w:rFonts w:ascii="Palatino Linotype" w:hAnsi="Palatino Linotype" w:cs="Arial"/>
        </w:rPr>
      </w:pPr>
      <w:r w:rsidRPr="00E81561">
        <w:rPr>
          <w:rFonts w:ascii="Palatino Linotype" w:hAnsi="Palatino Linotype" w:cs="Arial"/>
        </w:rPr>
        <w:t>L</w:t>
      </w:r>
      <w:r w:rsidR="00313DC9" w:rsidRPr="00E81561">
        <w:rPr>
          <w:rFonts w:ascii="Palatino Linotype" w:hAnsi="Palatino Linotype" w:cs="Arial"/>
        </w:rPr>
        <w:t>as dil</w:t>
      </w:r>
      <w:r w:rsidR="00171AD6" w:rsidRPr="00E81561">
        <w:rPr>
          <w:rFonts w:ascii="Palatino Linotype" w:hAnsi="Palatino Linotype" w:cs="Arial"/>
        </w:rPr>
        <w:t>igencias efectuadas en cada una.</w:t>
      </w:r>
      <w:r w:rsidR="00313DC9" w:rsidRPr="00E81561">
        <w:rPr>
          <w:rFonts w:ascii="Palatino Linotype" w:hAnsi="Palatino Linotype" w:cs="Arial"/>
        </w:rPr>
        <w:t xml:space="preserve"> </w:t>
      </w:r>
    </w:p>
    <w:p w:rsidR="00C15D62" w:rsidRPr="00E81561" w:rsidRDefault="00C15D62" w:rsidP="00E81561">
      <w:pPr>
        <w:pStyle w:val="Prrafodelista"/>
        <w:numPr>
          <w:ilvl w:val="0"/>
          <w:numId w:val="6"/>
        </w:numPr>
        <w:spacing w:after="0" w:line="360" w:lineRule="auto"/>
        <w:jc w:val="both"/>
        <w:rPr>
          <w:rFonts w:ascii="Palatino Linotype" w:hAnsi="Palatino Linotype" w:cs="Arial"/>
        </w:rPr>
      </w:pPr>
      <w:r w:rsidRPr="00E81561">
        <w:rPr>
          <w:rFonts w:ascii="Palatino Linotype" w:hAnsi="Palatino Linotype" w:cs="Arial"/>
        </w:rPr>
        <w:t>C</w:t>
      </w:r>
      <w:r w:rsidR="00313DC9" w:rsidRPr="00E81561">
        <w:rPr>
          <w:rFonts w:ascii="Palatino Linotype" w:hAnsi="Palatino Linotype" w:cs="Arial"/>
        </w:rPr>
        <w:t xml:space="preserve">uales diligencias </w:t>
      </w:r>
      <w:r w:rsidRPr="00E81561">
        <w:rPr>
          <w:rFonts w:ascii="Palatino Linotype" w:hAnsi="Palatino Linotype" w:cs="Arial"/>
        </w:rPr>
        <w:t>están</w:t>
      </w:r>
      <w:r w:rsidR="00313DC9" w:rsidRPr="00E81561">
        <w:rPr>
          <w:rFonts w:ascii="Palatino Linotype" w:hAnsi="Palatino Linotype" w:cs="Arial"/>
        </w:rPr>
        <w:t xml:space="preserve"> </w:t>
      </w:r>
      <w:r w:rsidRPr="00E81561">
        <w:rPr>
          <w:rFonts w:ascii="Palatino Linotype" w:hAnsi="Palatino Linotype" w:cs="Arial"/>
        </w:rPr>
        <w:t>en medios electrónicos</w:t>
      </w:r>
      <w:r w:rsidR="00313DC9" w:rsidRPr="00E81561">
        <w:rPr>
          <w:rFonts w:ascii="Palatino Linotype" w:hAnsi="Palatino Linotype" w:cs="Arial"/>
        </w:rPr>
        <w:t>.</w:t>
      </w:r>
    </w:p>
    <w:p w:rsidR="00C15D62" w:rsidRPr="00E81561" w:rsidRDefault="00C15D62" w:rsidP="00E81561">
      <w:pPr>
        <w:pStyle w:val="Prrafodelista"/>
        <w:numPr>
          <w:ilvl w:val="0"/>
          <w:numId w:val="6"/>
        </w:numPr>
        <w:spacing w:after="0" w:line="360" w:lineRule="auto"/>
        <w:jc w:val="both"/>
        <w:rPr>
          <w:rFonts w:ascii="Palatino Linotype" w:hAnsi="Palatino Linotype" w:cs="Arial"/>
        </w:rPr>
      </w:pPr>
      <w:r w:rsidRPr="00E81561">
        <w:rPr>
          <w:rFonts w:ascii="Palatino Linotype" w:hAnsi="Palatino Linotype" w:cs="Arial"/>
        </w:rPr>
        <w:t>C</w:t>
      </w:r>
      <w:r w:rsidR="00313DC9" w:rsidRPr="00E81561">
        <w:rPr>
          <w:rFonts w:ascii="Palatino Linotype" w:hAnsi="Palatino Linotype" w:cs="Arial"/>
        </w:rPr>
        <w:t>uantas carpetas judiciales se han abierto, así como las audiencias celeb</w:t>
      </w:r>
      <w:r w:rsidRPr="00E81561">
        <w:rPr>
          <w:rFonts w:ascii="Palatino Linotype" w:hAnsi="Palatino Linotype" w:cs="Arial"/>
        </w:rPr>
        <w:t>radas y las sentencias dictadas.</w:t>
      </w:r>
      <w:r w:rsidR="00313DC9" w:rsidRPr="00E81561">
        <w:rPr>
          <w:rFonts w:ascii="Palatino Linotype" w:hAnsi="Palatino Linotype" w:cs="Arial"/>
        </w:rPr>
        <w:t xml:space="preserve"> </w:t>
      </w:r>
    </w:p>
    <w:p w:rsidR="00313DC9" w:rsidRPr="00E81561" w:rsidRDefault="00C15D62" w:rsidP="00E81561">
      <w:pPr>
        <w:pStyle w:val="Prrafodelista"/>
        <w:numPr>
          <w:ilvl w:val="0"/>
          <w:numId w:val="6"/>
        </w:numPr>
        <w:spacing w:after="0" w:line="360" w:lineRule="auto"/>
        <w:jc w:val="both"/>
        <w:rPr>
          <w:rFonts w:ascii="Palatino Linotype" w:hAnsi="Palatino Linotype" w:cs="Tahoma"/>
        </w:rPr>
      </w:pPr>
      <w:r w:rsidRPr="00E81561">
        <w:rPr>
          <w:rFonts w:ascii="Palatino Linotype" w:hAnsi="Palatino Linotype" w:cs="Arial"/>
        </w:rPr>
        <w:t>C</w:t>
      </w:r>
      <w:r w:rsidR="00313DC9" w:rsidRPr="00E81561">
        <w:rPr>
          <w:rFonts w:ascii="Palatino Linotype" w:hAnsi="Palatino Linotype" w:cs="Arial"/>
        </w:rPr>
        <w:t>opia de la carpeta</w:t>
      </w:r>
      <w:r w:rsidRPr="00E81561">
        <w:rPr>
          <w:rFonts w:ascii="Palatino Linotype" w:hAnsi="Palatino Linotype" w:cs="Arial"/>
        </w:rPr>
        <w:t xml:space="preserve"> de ejecución de cada sentencia.</w:t>
      </w:r>
    </w:p>
    <w:p w:rsidR="00313DC9" w:rsidRPr="00E81561" w:rsidRDefault="00313DC9" w:rsidP="00E81561">
      <w:pPr>
        <w:spacing w:after="0" w:line="360" w:lineRule="auto"/>
        <w:jc w:val="both"/>
        <w:rPr>
          <w:rFonts w:ascii="Palatino Linotype" w:hAnsi="Palatino Linotype" w:cs="Tahoma"/>
        </w:rPr>
      </w:pPr>
    </w:p>
    <w:p w:rsidR="0057448A"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rPr>
        <w:lastRenderedPageBreak/>
        <w:t xml:space="preserve">En </w:t>
      </w:r>
      <w:r w:rsidR="00AF0152" w:rsidRPr="00E81561">
        <w:rPr>
          <w:rFonts w:ascii="Palatino Linotype" w:hAnsi="Palatino Linotype" w:cs="Tahoma"/>
        </w:rPr>
        <w:t>atención a la solicitud el Sujeto Obligado entregó diversos documentos</w:t>
      </w:r>
      <w:r w:rsidR="003A7450" w:rsidRPr="00E81561">
        <w:rPr>
          <w:rFonts w:ascii="Palatino Linotype" w:hAnsi="Palatino Linotype" w:cs="Tahoma"/>
        </w:rPr>
        <w:t>, por medio de</w:t>
      </w:r>
      <w:r w:rsidR="00F855BA" w:rsidRPr="00E81561">
        <w:rPr>
          <w:rFonts w:ascii="Palatino Linotype" w:hAnsi="Palatino Linotype" w:cs="Tahoma"/>
        </w:rPr>
        <w:t xml:space="preserve"> los</w:t>
      </w:r>
      <w:r w:rsidR="003A7450" w:rsidRPr="00E81561">
        <w:rPr>
          <w:rFonts w:ascii="Palatino Linotype" w:hAnsi="Palatino Linotype" w:cs="Tahoma"/>
        </w:rPr>
        <w:t xml:space="preserve"> cual</w:t>
      </w:r>
      <w:r w:rsidR="00F855BA" w:rsidRPr="00E81561">
        <w:rPr>
          <w:rFonts w:ascii="Palatino Linotype" w:hAnsi="Palatino Linotype" w:cs="Tahoma"/>
        </w:rPr>
        <w:t>es</w:t>
      </w:r>
      <w:r w:rsidR="003A7450" w:rsidRPr="00E81561">
        <w:rPr>
          <w:rFonts w:ascii="Palatino Linotype" w:hAnsi="Palatino Linotype" w:cs="Tahoma"/>
        </w:rPr>
        <w:t xml:space="preserve"> </w:t>
      </w:r>
      <w:r w:rsidR="00171AD6" w:rsidRPr="00E81561">
        <w:rPr>
          <w:rFonts w:ascii="Palatino Linotype" w:hAnsi="Palatino Linotype" w:cs="Tahoma"/>
        </w:rPr>
        <w:t xml:space="preserve">pretendió dar </w:t>
      </w:r>
      <w:r w:rsidR="007A7803" w:rsidRPr="00E81561">
        <w:rPr>
          <w:rFonts w:ascii="Palatino Linotype" w:hAnsi="Palatino Linotype" w:cs="Tahoma"/>
        </w:rPr>
        <w:t>atención a los</w:t>
      </w:r>
      <w:r w:rsidR="003A7450" w:rsidRPr="00E81561">
        <w:rPr>
          <w:rFonts w:ascii="Palatino Linotype" w:hAnsi="Palatino Linotype" w:cs="Tahoma"/>
        </w:rPr>
        <w:t xml:space="preserve"> punto</w:t>
      </w:r>
      <w:r w:rsidR="007A7803" w:rsidRPr="00E81561">
        <w:rPr>
          <w:rFonts w:ascii="Palatino Linotype" w:hAnsi="Palatino Linotype" w:cs="Tahoma"/>
        </w:rPr>
        <w:t>s</w:t>
      </w:r>
      <w:r w:rsidR="003A7450" w:rsidRPr="00E81561">
        <w:rPr>
          <w:rFonts w:ascii="Palatino Linotype" w:hAnsi="Palatino Linotype" w:cs="Tahoma"/>
        </w:rPr>
        <w:t xml:space="preserve"> solicitado por el Particular</w:t>
      </w:r>
      <w:r w:rsidR="00346570" w:rsidRPr="00E81561">
        <w:rPr>
          <w:rFonts w:ascii="Palatino Linotype" w:hAnsi="Palatino Linotype" w:cs="Tahoma"/>
        </w:rPr>
        <w:t>.</w:t>
      </w:r>
      <w:r w:rsidR="001F501B" w:rsidRPr="00E81561">
        <w:rPr>
          <w:rFonts w:ascii="Palatino Linotype" w:hAnsi="Palatino Linotype" w:cs="Tahoma"/>
        </w:rPr>
        <w:t xml:space="preserve"> </w:t>
      </w:r>
      <w:r w:rsidR="00923D48" w:rsidRPr="00E81561">
        <w:rPr>
          <w:rFonts w:ascii="Palatino Linotype" w:hAnsi="Palatino Linotype" w:cs="Tahoma"/>
        </w:rPr>
        <w:t>Inconforme con la respuesta que le fue otorgada a su solicitud de inform</w:t>
      </w:r>
      <w:r w:rsidR="002F138A" w:rsidRPr="00E81561">
        <w:rPr>
          <w:rFonts w:ascii="Palatino Linotype" w:hAnsi="Palatino Linotype" w:cs="Tahoma"/>
        </w:rPr>
        <w:t xml:space="preserve">ación, el Particular presentó </w:t>
      </w:r>
      <w:r w:rsidR="00923D48" w:rsidRPr="00E81561">
        <w:rPr>
          <w:rFonts w:ascii="Palatino Linotype" w:hAnsi="Palatino Linotype" w:cs="Tahoma"/>
        </w:rPr>
        <w:t xml:space="preserve"> Recurso de Revisión ante este Instituto, en el cual señaló, </w:t>
      </w:r>
      <w:r w:rsidR="002F138A" w:rsidRPr="00E81561">
        <w:rPr>
          <w:rFonts w:ascii="Palatino Linotype" w:hAnsi="Palatino Linotype" w:cs="Tahoma"/>
        </w:rPr>
        <w:t>que</w:t>
      </w:r>
      <w:r w:rsidR="00542076" w:rsidRPr="00E81561">
        <w:rPr>
          <w:rFonts w:ascii="Palatino Linotype" w:hAnsi="Palatino Linotype" w:cs="Tahoma"/>
        </w:rPr>
        <w:t xml:space="preserve"> </w:t>
      </w:r>
      <w:r w:rsidR="0057448A" w:rsidRPr="00E81561">
        <w:rPr>
          <w:rFonts w:ascii="Palatino Linotype" w:hAnsi="Palatino Linotype" w:cs="Tahoma"/>
        </w:rPr>
        <w:t xml:space="preserve">la respuesta era incompleta. </w:t>
      </w:r>
    </w:p>
    <w:p w:rsidR="0014596B" w:rsidRPr="00E81561" w:rsidRDefault="0014596B" w:rsidP="00E81561">
      <w:pPr>
        <w:spacing w:after="0" w:line="360" w:lineRule="auto"/>
        <w:jc w:val="both"/>
        <w:rPr>
          <w:rFonts w:ascii="Palatino Linotype" w:hAnsi="Palatino Linotype" w:cs="Tahoma"/>
        </w:rPr>
      </w:pPr>
    </w:p>
    <w:p w:rsidR="0014596B" w:rsidRPr="00E81561" w:rsidRDefault="0014596B" w:rsidP="00E81561">
      <w:pPr>
        <w:tabs>
          <w:tab w:val="left" w:pos="7088"/>
        </w:tabs>
        <w:spacing w:after="0" w:line="360" w:lineRule="auto"/>
        <w:jc w:val="both"/>
        <w:rPr>
          <w:rFonts w:ascii="Palatino Linotype" w:hAnsi="Palatino Linotype" w:cs="Tahoma"/>
        </w:rPr>
      </w:pPr>
      <w:r w:rsidRPr="00E81561">
        <w:rPr>
          <w:rFonts w:ascii="Palatino Linotype" w:hAnsi="Palatino Linotype" w:cs="Tahoma"/>
        </w:rPr>
        <w:t xml:space="preserve">En tal virtud, </w:t>
      </w:r>
      <w:r w:rsidR="00243DC9" w:rsidRPr="00E81561">
        <w:rPr>
          <w:rFonts w:ascii="Palatino Linotype" w:hAnsi="Palatino Linotype" w:cs="Tahoma"/>
        </w:rPr>
        <w:t>si bien coincid</w:t>
      </w:r>
      <w:r w:rsidR="001F501B" w:rsidRPr="00E81561">
        <w:rPr>
          <w:rFonts w:ascii="Palatino Linotype" w:hAnsi="Palatino Linotype" w:cs="Tahoma"/>
        </w:rPr>
        <w:t>o en términos generales con la R</w:t>
      </w:r>
      <w:r w:rsidR="00243DC9" w:rsidRPr="00E81561">
        <w:rPr>
          <w:rFonts w:ascii="Palatino Linotype" w:hAnsi="Palatino Linotype" w:cs="Tahoma"/>
        </w:rPr>
        <w:t xml:space="preserve">esolución, </w:t>
      </w:r>
      <w:r w:rsidR="00884FF0" w:rsidRPr="00E81561">
        <w:rPr>
          <w:rFonts w:ascii="Palatino Linotype" w:hAnsi="Palatino Linotype" w:cs="Tahoma"/>
        </w:rPr>
        <w:t>emito</w:t>
      </w:r>
      <w:r w:rsidR="00243DC9" w:rsidRPr="00E81561">
        <w:rPr>
          <w:rFonts w:ascii="Palatino Linotype" w:hAnsi="Palatino Linotype" w:cs="Tahoma"/>
        </w:rPr>
        <w:t xml:space="preserve"> el presente voto </w:t>
      </w:r>
      <w:r w:rsidR="00456BA5" w:rsidRPr="00E81561">
        <w:rPr>
          <w:rFonts w:ascii="Palatino Linotype" w:hAnsi="Palatino Linotype" w:cs="Tahoma"/>
        </w:rPr>
        <w:t>p</w:t>
      </w:r>
      <w:r w:rsidR="00243DC9" w:rsidRPr="00E81561">
        <w:rPr>
          <w:rFonts w:ascii="Palatino Linotype" w:hAnsi="Palatino Linotype" w:cs="Tahoma"/>
        </w:rPr>
        <w:t xml:space="preserve">articular, por </w:t>
      </w:r>
      <w:r w:rsidR="001F501B" w:rsidRPr="00E81561">
        <w:rPr>
          <w:rFonts w:ascii="Palatino Linotype" w:hAnsi="Palatino Linotype" w:cs="Tahoma"/>
        </w:rPr>
        <w:t>l</w:t>
      </w:r>
      <w:r w:rsidR="00243DC9" w:rsidRPr="00E81561">
        <w:rPr>
          <w:rFonts w:ascii="Palatino Linotype" w:hAnsi="Palatino Linotype" w:cs="Tahoma"/>
        </w:rPr>
        <w:t xml:space="preserve">as consideraciones </w:t>
      </w:r>
      <w:r w:rsidR="001F501B" w:rsidRPr="00E81561">
        <w:rPr>
          <w:rFonts w:ascii="Palatino Linotype" w:hAnsi="Palatino Linotype" w:cs="Tahoma"/>
        </w:rPr>
        <w:t>que a continuación se indican:</w:t>
      </w:r>
    </w:p>
    <w:p w:rsidR="0014596B" w:rsidRPr="00E81561" w:rsidRDefault="0014596B" w:rsidP="00E81561">
      <w:pPr>
        <w:spacing w:after="0" w:line="360" w:lineRule="auto"/>
        <w:jc w:val="both"/>
        <w:rPr>
          <w:rFonts w:ascii="Palatino Linotype" w:hAnsi="Palatino Linotype" w:cs="Tahoma"/>
        </w:rPr>
      </w:pPr>
    </w:p>
    <w:p w:rsidR="0057448A" w:rsidRPr="00E81561" w:rsidRDefault="0014596B" w:rsidP="00E81561">
      <w:pPr>
        <w:pStyle w:val="Prrafodelista"/>
        <w:numPr>
          <w:ilvl w:val="0"/>
          <w:numId w:val="7"/>
        </w:numPr>
        <w:spacing w:after="0" w:line="360" w:lineRule="auto"/>
        <w:jc w:val="both"/>
        <w:rPr>
          <w:rFonts w:ascii="Palatino Linotype" w:hAnsi="Palatino Linotype" w:cs="Tahoma"/>
          <w:b/>
        </w:rPr>
      </w:pPr>
      <w:r w:rsidRPr="00E81561">
        <w:rPr>
          <w:rFonts w:ascii="Palatino Linotype" w:hAnsi="Palatino Linotype" w:cs="Tahoma"/>
          <w:b/>
        </w:rPr>
        <w:t>Análisis de la información que no fue motivo de inconformidad.</w:t>
      </w:r>
    </w:p>
    <w:p w:rsidR="0014596B" w:rsidRPr="00E81561" w:rsidRDefault="0014596B" w:rsidP="00E81561">
      <w:pPr>
        <w:spacing w:after="0" w:line="360" w:lineRule="auto"/>
        <w:jc w:val="both"/>
        <w:rPr>
          <w:rFonts w:ascii="Palatino Linotype" w:hAnsi="Palatino Linotype" w:cs="Tahoma"/>
        </w:rPr>
      </w:pPr>
    </w:p>
    <w:p w:rsidR="00071DD4" w:rsidRPr="00E81561" w:rsidRDefault="00AF0152" w:rsidP="00E81561">
      <w:pPr>
        <w:spacing w:after="0" w:line="360" w:lineRule="auto"/>
        <w:jc w:val="both"/>
        <w:rPr>
          <w:rFonts w:ascii="Palatino Linotype" w:hAnsi="Palatino Linotype" w:cs="Tahoma"/>
        </w:rPr>
      </w:pPr>
      <w:r w:rsidRPr="00E81561">
        <w:rPr>
          <w:rFonts w:ascii="Palatino Linotype" w:hAnsi="Palatino Linotype" w:cs="Tahoma"/>
        </w:rPr>
        <w:t xml:space="preserve">Como se advierte </w:t>
      </w:r>
      <w:r w:rsidR="0014596B" w:rsidRPr="00E81561">
        <w:rPr>
          <w:rFonts w:ascii="Palatino Linotype" w:hAnsi="Palatino Linotype" w:cs="Tahoma"/>
        </w:rPr>
        <w:t>líneas arriba</w:t>
      </w:r>
      <w:r w:rsidRPr="00E81561">
        <w:rPr>
          <w:rFonts w:ascii="Palatino Linotype" w:hAnsi="Palatino Linotype" w:cs="Tahoma"/>
        </w:rPr>
        <w:t>,</w:t>
      </w:r>
      <w:r w:rsidR="00DF1276" w:rsidRPr="00E81561">
        <w:rPr>
          <w:rFonts w:ascii="Palatino Linotype" w:hAnsi="Palatino Linotype" w:cs="Tahoma"/>
        </w:rPr>
        <w:t xml:space="preserve"> el par</w:t>
      </w:r>
      <w:r w:rsidR="0014596B" w:rsidRPr="00E81561">
        <w:rPr>
          <w:rFonts w:ascii="Palatino Linotype" w:hAnsi="Palatino Linotype" w:cs="Tahoma"/>
        </w:rPr>
        <w:t>ticular únicamente se inconformó</w:t>
      </w:r>
      <w:r w:rsidR="00DF1276" w:rsidRPr="00E81561">
        <w:rPr>
          <w:rFonts w:ascii="Palatino Linotype" w:hAnsi="Palatino Linotype" w:cs="Tahoma"/>
        </w:rPr>
        <w:t xml:space="preserve"> </w:t>
      </w:r>
      <w:r w:rsidR="00624346" w:rsidRPr="00E81561">
        <w:rPr>
          <w:rFonts w:ascii="Palatino Linotype" w:hAnsi="Palatino Linotype" w:cs="Tahoma"/>
        </w:rPr>
        <w:t>por la entrega de informació</w:t>
      </w:r>
      <w:r w:rsidR="002F138A" w:rsidRPr="00E81561">
        <w:rPr>
          <w:rFonts w:ascii="Palatino Linotype" w:hAnsi="Palatino Linotype" w:cs="Tahoma"/>
        </w:rPr>
        <w:t>n incompleta, por lo que hace a</w:t>
      </w:r>
      <w:r w:rsidR="00624346" w:rsidRPr="00E81561">
        <w:rPr>
          <w:rFonts w:ascii="Palatino Linotype" w:hAnsi="Palatino Linotype" w:cs="Tahoma"/>
        </w:rPr>
        <w:t xml:space="preserve"> </w:t>
      </w:r>
      <w:r w:rsidR="00F85ACF" w:rsidRPr="00E81561">
        <w:rPr>
          <w:rFonts w:ascii="Palatino Linotype" w:hAnsi="Palatino Linotype" w:cs="Tahoma"/>
          <w:b/>
        </w:rPr>
        <w:t>las carpetas de investigación,  cuantas carpetas judiciales se han abierto,  las audiencias celebradas y copia de la carpeta de ejecución de cada sentencia</w:t>
      </w:r>
      <w:r w:rsidR="00624346" w:rsidRPr="00E81561">
        <w:rPr>
          <w:rFonts w:ascii="Palatino Linotype" w:hAnsi="Palatino Linotype" w:cs="Tahoma"/>
        </w:rPr>
        <w:t xml:space="preserve">, por lo que, respecto a los puntos </w:t>
      </w:r>
      <w:r w:rsidR="0057448A" w:rsidRPr="00E81561">
        <w:rPr>
          <w:rFonts w:ascii="Palatino Linotype" w:hAnsi="Palatino Linotype" w:cs="Tahoma"/>
        </w:rPr>
        <w:t>relativos a las sentencias entregadas,</w:t>
      </w:r>
      <w:r w:rsidR="00624346" w:rsidRPr="00E81561">
        <w:rPr>
          <w:rFonts w:ascii="Palatino Linotype" w:hAnsi="Palatino Linotype" w:cs="Tahoma"/>
        </w:rPr>
        <w:t xml:space="preserve"> se tomaron como </w:t>
      </w:r>
      <w:r w:rsidR="00624346" w:rsidRPr="00E81561">
        <w:rPr>
          <w:rFonts w:ascii="Palatino Linotype" w:hAnsi="Palatino Linotype" w:cs="Tahoma"/>
          <w:b/>
        </w:rPr>
        <w:t>ACTOS CONSENTIDOS.</w:t>
      </w:r>
    </w:p>
    <w:p w:rsidR="00DF1276" w:rsidRPr="00E81561" w:rsidRDefault="00DF1276" w:rsidP="00E81561">
      <w:pPr>
        <w:spacing w:after="0" w:line="360" w:lineRule="auto"/>
        <w:jc w:val="both"/>
        <w:rPr>
          <w:rFonts w:ascii="Palatino Linotype" w:hAnsi="Palatino Linotype" w:cs="Tahoma"/>
        </w:rPr>
      </w:pPr>
    </w:p>
    <w:p w:rsidR="00071DD4" w:rsidRPr="00E81561" w:rsidRDefault="00D0798A" w:rsidP="00E81561">
      <w:pPr>
        <w:spacing w:after="0" w:line="360" w:lineRule="auto"/>
        <w:jc w:val="both"/>
        <w:rPr>
          <w:rFonts w:ascii="Palatino Linotype" w:hAnsi="Palatino Linotype" w:cs="Tahoma"/>
          <w:spacing w:val="-2"/>
        </w:rPr>
      </w:pPr>
      <w:r w:rsidRPr="00E81561">
        <w:rPr>
          <w:rFonts w:ascii="Palatino Linotype" w:hAnsi="Palatino Linotype" w:cs="Tahoma"/>
          <w:spacing w:val="-2"/>
        </w:rPr>
        <w:t xml:space="preserve">Así, </w:t>
      </w:r>
      <w:r w:rsidR="00DF1276" w:rsidRPr="00E81561">
        <w:rPr>
          <w:rFonts w:ascii="Palatino Linotype" w:hAnsi="Palatino Linotype" w:cs="Tahoma"/>
          <w:spacing w:val="-2"/>
        </w:rPr>
        <w:t xml:space="preserve">se considera que aquello que no fue recurrido por el particular </w:t>
      </w:r>
      <w:r w:rsidR="00071DD4" w:rsidRPr="00E81561">
        <w:rPr>
          <w:rFonts w:ascii="Palatino Linotype" w:hAnsi="Palatino Linotype" w:cs="Tahoma"/>
          <w:spacing w:val="-2"/>
        </w:rPr>
        <w:t xml:space="preserve">no debe ser motivo de análisis, pues es un principio procesal elemental que </w:t>
      </w:r>
      <w:r w:rsidR="00071DD4" w:rsidRPr="00E81561">
        <w:rPr>
          <w:rFonts w:ascii="Palatino Linotype" w:hAnsi="Palatino Linotype" w:cs="Tahoma"/>
          <w:b/>
          <w:spacing w:val="-2"/>
        </w:rPr>
        <w:t>cualquier pretensión deducida ante los órganos jurisdiccionales es una manifestación de voluntad</w:t>
      </w:r>
      <w:r w:rsidR="00071DD4" w:rsidRPr="00E81561">
        <w:rPr>
          <w:rFonts w:ascii="Palatino Linotype" w:hAnsi="Palatino Linotype" w:cs="Tahoma"/>
          <w:spacing w:val="-2"/>
        </w:rPr>
        <w:t>, expuesta como razonamiento estratégico, atinente a un fin concreto, que es reconocer y declarar en la sentencia al pretensor como titular de un derecho cuya realización y efectos reclama.</w:t>
      </w:r>
    </w:p>
    <w:p w:rsidR="00624346" w:rsidRPr="00E81561" w:rsidRDefault="00624346" w:rsidP="00E81561">
      <w:pPr>
        <w:spacing w:after="0" w:line="360" w:lineRule="auto"/>
        <w:jc w:val="both"/>
        <w:rPr>
          <w:rFonts w:ascii="Palatino Linotype" w:hAnsi="Palatino Linotype" w:cs="Tahoma"/>
          <w:spacing w:val="-2"/>
        </w:rPr>
      </w:pPr>
    </w:p>
    <w:p w:rsidR="00071DD4"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rPr>
        <w:t xml:space="preserve">De ahí que, si no existe razón en la causa </w:t>
      </w:r>
      <w:proofErr w:type="spellStart"/>
      <w:r w:rsidRPr="00E81561">
        <w:rPr>
          <w:rFonts w:ascii="Palatino Linotype" w:hAnsi="Palatino Linotype" w:cs="Tahoma"/>
          <w:i/>
        </w:rPr>
        <w:t>petendi</w:t>
      </w:r>
      <w:proofErr w:type="spellEnd"/>
      <w:r w:rsidRPr="00E81561">
        <w:rPr>
          <w:rFonts w:ascii="Palatino Linotype" w:hAnsi="Palatino Linotype" w:cs="Tahoma"/>
          <w:i/>
        </w:rPr>
        <w:t xml:space="preserve"> </w:t>
      </w:r>
      <w:r w:rsidRPr="00E81561">
        <w:rPr>
          <w:rFonts w:ascii="Palatino Linotype" w:hAnsi="Palatino Linotype" w:cs="Tahoma"/>
        </w:rPr>
        <w:t xml:space="preserve">(que el inconforme precise el agravio o lesión que le cause el acto reclamado), en relación con la respuesta otorgada por el Sujeto Obligado, de forma tal que permitan a este Instituto determinar mediante resolución </w:t>
      </w:r>
      <w:r w:rsidRPr="00E81561">
        <w:rPr>
          <w:rFonts w:ascii="Palatino Linotype" w:hAnsi="Palatino Linotype" w:cs="Tahoma"/>
        </w:rPr>
        <w:lastRenderedPageBreak/>
        <w:t>fundada y motivada una consecuencia jurídica sobre los actos recaídos a dicho punto, la respuesta que se otorgó al mismo no debe ser analizada.</w:t>
      </w:r>
    </w:p>
    <w:p w:rsidR="00071DD4" w:rsidRPr="00E81561" w:rsidRDefault="00071DD4" w:rsidP="00E81561">
      <w:pPr>
        <w:spacing w:after="0" w:line="360" w:lineRule="auto"/>
        <w:jc w:val="both"/>
        <w:rPr>
          <w:rFonts w:ascii="Palatino Linotype" w:hAnsi="Palatino Linotype" w:cs="Tahoma"/>
        </w:rPr>
      </w:pPr>
    </w:p>
    <w:p w:rsidR="00071DD4" w:rsidRPr="00E81561" w:rsidRDefault="00071DD4" w:rsidP="00E81561">
      <w:pPr>
        <w:spacing w:after="0" w:line="360" w:lineRule="auto"/>
        <w:jc w:val="both"/>
        <w:rPr>
          <w:rFonts w:ascii="Palatino Linotype" w:hAnsi="Palatino Linotype" w:cs="Tahoma"/>
          <w:bCs/>
          <w:iCs/>
        </w:rPr>
      </w:pPr>
      <w:r w:rsidRPr="00E81561">
        <w:rPr>
          <w:rFonts w:ascii="Palatino Linotype" w:hAnsi="Palatino Linotype" w:cs="Tahoma"/>
        </w:rPr>
        <w:t xml:space="preserve">En ese sentido, la respuesta o falta de </w:t>
      </w:r>
      <w:r w:rsidR="007364C6" w:rsidRPr="00E81561">
        <w:rPr>
          <w:rFonts w:ascii="Palatino Linotype" w:hAnsi="Palatino Linotype" w:cs="Tahoma"/>
        </w:rPr>
        <w:t>contestación</w:t>
      </w:r>
      <w:r w:rsidRPr="00E81561">
        <w:rPr>
          <w:rFonts w:ascii="Palatino Linotype" w:hAnsi="Palatino Linotype" w:cs="Tahoma"/>
        </w:rPr>
        <w:t xml:space="preserve"> a alguna parte de la solicitud debe considerarse un acto consentido tácitamente en razón de que, </w:t>
      </w:r>
      <w:r w:rsidRPr="00E81561">
        <w:rPr>
          <w:rFonts w:ascii="Palatino Linotype" w:hAnsi="Palatino Linotype" w:cs="Tahoma"/>
          <w:bCs/>
          <w:iCs/>
        </w:rPr>
        <w:t xml:space="preserve">cuando no se reclaman los actos de autoridad en la vía y plazos establecidos en la Ley, </w:t>
      </w:r>
      <w:r w:rsidRPr="00E81561">
        <w:rPr>
          <w:rFonts w:ascii="Palatino Linotype" w:hAnsi="Palatino Linotype" w:cs="Tahoma"/>
          <w:b/>
          <w:bCs/>
          <w:iCs/>
        </w:rPr>
        <w:t xml:space="preserve">se presume que el particular está conforme con los mismos, </w:t>
      </w:r>
      <w:r w:rsidRPr="00E81561">
        <w:rPr>
          <w:rFonts w:ascii="Palatino Linotype" w:hAnsi="Palatino Linotype" w:cs="Tahoma"/>
          <w:bCs/>
          <w:iCs/>
        </w:rPr>
        <w:t xml:space="preserve">de acuerdo a lo plasmado en la </w:t>
      </w:r>
      <w:r w:rsidRPr="00E81561">
        <w:rPr>
          <w:rFonts w:ascii="Palatino Linotype" w:hAnsi="Palatino Linotype" w:cs="Tahoma"/>
        </w:rPr>
        <w:t>Jurisprudencia “ACTOS CONSENTIDOS TACITAMENTE” (</w:t>
      </w:r>
      <w:r w:rsidRPr="00E81561">
        <w:rPr>
          <w:rFonts w:ascii="Palatino Linotype" w:hAnsi="Palatino Linotype" w:cs="Tahoma"/>
          <w:bCs/>
          <w:iCs/>
        </w:rPr>
        <w:t>Semanario Judicial de la Federación y su Gaceta, Quinta Época,</w:t>
      </w:r>
      <w:r w:rsidRPr="00E81561">
        <w:rPr>
          <w:rFonts w:ascii="Palatino Linotype" w:hAnsi="Palatino Linotype" w:cs="Tahoma"/>
        </w:rPr>
        <w:t xml:space="preserve"> Tomo VI,</w:t>
      </w:r>
      <w:r w:rsidRPr="00E81561">
        <w:rPr>
          <w:rFonts w:ascii="Palatino Linotype" w:hAnsi="Palatino Linotype" w:cs="Tahoma"/>
          <w:bCs/>
          <w:iCs/>
        </w:rPr>
        <w:t xml:space="preserve"> 1995, pág. 11.)</w:t>
      </w:r>
    </w:p>
    <w:p w:rsidR="007B4483" w:rsidRPr="00E81561" w:rsidRDefault="007B4483" w:rsidP="00E81561">
      <w:pPr>
        <w:spacing w:after="0" w:line="360" w:lineRule="auto"/>
        <w:jc w:val="both"/>
        <w:rPr>
          <w:rFonts w:ascii="Palatino Linotype" w:hAnsi="Palatino Linotype" w:cs="Tahoma"/>
          <w:bCs/>
          <w:iCs/>
        </w:rPr>
      </w:pPr>
    </w:p>
    <w:p w:rsidR="00071DD4"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bCs/>
          <w:iCs/>
        </w:rPr>
        <w:t xml:space="preserve">En ese orden de ideas, la Tesis Aislada “CONSENTIMIENTO TÁCITO DEL ACTO RECLAMADO EN AMPARO. ELEMENTOS PARA PRESUMIRLO.” (Semanario Judicial de la Federación, Octava Época, Tomo IX, junio de 1992, pág. 364), establece los elementos para presumir el consentimiento tácito del acto reclamado en el amparo, a saber, los siguientes: i) Un acto de autoridad; ii) Una persona afectada por el hecho; iii) La posibilidad de promover el juicio de amparo contra el acto en cuestión; iv) El plazo para el ejercicio de dicha acción y v) El trascurso de ese lapso sin haberse presentando inconformidad. </w:t>
      </w:r>
    </w:p>
    <w:p w:rsidR="00071DD4" w:rsidRPr="00E81561" w:rsidRDefault="00071DD4" w:rsidP="00E81561">
      <w:pPr>
        <w:spacing w:after="0" w:line="360" w:lineRule="auto"/>
        <w:jc w:val="both"/>
        <w:rPr>
          <w:rFonts w:ascii="Palatino Linotype" w:hAnsi="Palatino Linotype" w:cs="Tahoma"/>
        </w:rPr>
      </w:pPr>
    </w:p>
    <w:p w:rsidR="00542076" w:rsidRPr="00E81561" w:rsidRDefault="00624346" w:rsidP="00E81561">
      <w:pPr>
        <w:spacing w:after="0" w:line="360" w:lineRule="auto"/>
        <w:jc w:val="both"/>
        <w:rPr>
          <w:rFonts w:ascii="Palatino Linotype" w:hAnsi="Palatino Linotype" w:cs="Tahoma"/>
        </w:rPr>
      </w:pPr>
      <w:r w:rsidRPr="00E81561">
        <w:rPr>
          <w:rFonts w:ascii="Palatino Linotype" w:hAnsi="Palatino Linotype" w:cs="Tahoma"/>
        </w:rPr>
        <w:t xml:space="preserve">En ese contexto, </w:t>
      </w:r>
      <w:r w:rsidR="00816A0C" w:rsidRPr="00E81561">
        <w:rPr>
          <w:rFonts w:ascii="Palatino Linotype" w:hAnsi="Palatino Linotype" w:cs="Tahoma"/>
        </w:rPr>
        <w:t>cabe señalar que en el presente asunto, la Comisionada P</w:t>
      </w:r>
      <w:r w:rsidR="007364C6" w:rsidRPr="00E81561">
        <w:rPr>
          <w:rFonts w:ascii="Palatino Linotype" w:hAnsi="Palatino Linotype" w:cs="Tahoma"/>
        </w:rPr>
        <w:t>o</w:t>
      </w:r>
      <w:r w:rsidR="00816A0C" w:rsidRPr="00E81561">
        <w:rPr>
          <w:rFonts w:ascii="Palatino Linotype" w:hAnsi="Palatino Linotype" w:cs="Tahoma"/>
        </w:rPr>
        <w:t>nente</w:t>
      </w:r>
      <w:r w:rsidR="007364C6" w:rsidRPr="00E81561">
        <w:rPr>
          <w:rFonts w:ascii="Palatino Linotype" w:hAnsi="Palatino Linotype" w:cs="Tahoma"/>
        </w:rPr>
        <w:t xml:space="preserve"> determinó que s</w:t>
      </w:r>
      <w:r w:rsidR="00B1616E" w:rsidRPr="00E81561">
        <w:rPr>
          <w:rFonts w:ascii="Palatino Linotype" w:hAnsi="Palatino Linotype" w:cs="Tahoma"/>
        </w:rPr>
        <w:t>í</w:t>
      </w:r>
      <w:r w:rsidR="007364C6" w:rsidRPr="00E81561">
        <w:rPr>
          <w:rFonts w:ascii="Palatino Linotype" w:hAnsi="Palatino Linotype" w:cs="Tahoma"/>
        </w:rPr>
        <w:t xml:space="preserve"> resultaba</w:t>
      </w:r>
      <w:r w:rsidR="007A7803" w:rsidRPr="00E81561">
        <w:rPr>
          <w:rFonts w:ascii="Palatino Linotype" w:hAnsi="Palatino Linotype" w:cs="Tahoma"/>
        </w:rPr>
        <w:t xml:space="preserve"> motivo de estudio</w:t>
      </w:r>
      <w:r w:rsidR="007364C6" w:rsidRPr="00E81561">
        <w:rPr>
          <w:rFonts w:ascii="Palatino Linotype" w:hAnsi="Palatino Linotype" w:cs="Tahoma"/>
        </w:rPr>
        <w:t xml:space="preserve"> los Actos Consentidos, por lo </w:t>
      </w:r>
      <w:r w:rsidR="002F138A" w:rsidRPr="00E81561">
        <w:rPr>
          <w:rFonts w:ascii="Palatino Linotype" w:hAnsi="Palatino Linotype" w:cs="Tahoma"/>
        </w:rPr>
        <w:t xml:space="preserve">que entró al análisis de </w:t>
      </w:r>
      <w:r w:rsidR="0057448A" w:rsidRPr="00E81561">
        <w:rPr>
          <w:rFonts w:ascii="Palatino Linotype" w:hAnsi="Palatino Linotype" w:cs="Tahoma"/>
        </w:rPr>
        <w:t xml:space="preserve">la resolución de fecha veintisiete de mayo de dos mil veintidós, de la cual se advierte que se dejó visible el nombre de cuatro testigos, </w:t>
      </w:r>
      <w:r w:rsidR="002F138A" w:rsidRPr="00E81561">
        <w:rPr>
          <w:rFonts w:ascii="Palatino Linotype" w:hAnsi="Palatino Linotype" w:cs="Tahoma"/>
        </w:rPr>
        <w:t xml:space="preserve">por lo que determinó la procedencia de dar vista </w:t>
      </w:r>
      <w:r w:rsidR="0057448A" w:rsidRPr="00E81561">
        <w:rPr>
          <w:rFonts w:ascii="Palatino Linotype" w:hAnsi="Palatino Linotype" w:cs="Tahoma"/>
        </w:rPr>
        <w:t>al Titular de la Dirección General de Protección de Datos Personales, para que se determine lo procedente.</w:t>
      </w:r>
    </w:p>
    <w:p w:rsidR="0057448A" w:rsidRPr="00E81561" w:rsidRDefault="0057448A" w:rsidP="00E81561">
      <w:pPr>
        <w:spacing w:after="0" w:line="360" w:lineRule="auto"/>
        <w:jc w:val="both"/>
        <w:rPr>
          <w:rFonts w:ascii="Palatino Linotype" w:hAnsi="Palatino Linotype" w:cs="Tahoma"/>
        </w:rPr>
      </w:pPr>
    </w:p>
    <w:p w:rsidR="00071DD4" w:rsidRPr="00E81561" w:rsidRDefault="0050710E" w:rsidP="00E81561">
      <w:pPr>
        <w:spacing w:after="0" w:line="360" w:lineRule="auto"/>
        <w:jc w:val="both"/>
        <w:rPr>
          <w:rFonts w:ascii="Palatino Linotype" w:hAnsi="Palatino Linotype" w:cs="Tahoma"/>
        </w:rPr>
      </w:pPr>
      <w:r w:rsidRPr="00E81561">
        <w:rPr>
          <w:rFonts w:ascii="Palatino Linotype" w:hAnsi="Palatino Linotype" w:cs="Tahoma"/>
        </w:rPr>
        <w:lastRenderedPageBreak/>
        <w:t>En ese sentido, desde</w:t>
      </w:r>
      <w:r w:rsidR="00071DD4" w:rsidRPr="00E81561">
        <w:rPr>
          <w:rFonts w:ascii="Palatino Linotype" w:hAnsi="Palatino Linotype" w:cs="Tahoma"/>
        </w:rPr>
        <w:t xml:space="preserve"> mi perspectiva, </w:t>
      </w:r>
      <w:r w:rsidR="00542076" w:rsidRPr="00E81561">
        <w:rPr>
          <w:rFonts w:ascii="Palatino Linotype" w:hAnsi="Palatino Linotype" w:cs="Tahoma"/>
        </w:rPr>
        <w:t xml:space="preserve">la información contenida en </w:t>
      </w:r>
      <w:r w:rsidR="0057448A" w:rsidRPr="00E81561">
        <w:rPr>
          <w:rFonts w:ascii="Palatino Linotype" w:hAnsi="Palatino Linotype" w:cs="Tahoma"/>
        </w:rPr>
        <w:t>la resolución antes referida</w:t>
      </w:r>
      <w:r w:rsidR="00542076" w:rsidRPr="00E81561">
        <w:rPr>
          <w:rFonts w:ascii="Palatino Linotype" w:hAnsi="Palatino Linotype" w:cs="Tahoma"/>
        </w:rPr>
        <w:t xml:space="preserve"> y por la cual no se manifestó inconformidad alguna</w:t>
      </w:r>
      <w:r w:rsidR="00071DD4" w:rsidRPr="00E81561">
        <w:rPr>
          <w:rFonts w:ascii="Palatino Linotype" w:hAnsi="Palatino Linotype" w:cs="Tahoma"/>
        </w:rPr>
        <w:t xml:space="preserve">, debe considerarse </w:t>
      </w:r>
      <w:r w:rsidRPr="00E81561">
        <w:rPr>
          <w:rFonts w:ascii="Palatino Linotype" w:hAnsi="Palatino Linotype" w:cs="Tahoma"/>
        </w:rPr>
        <w:t>que la misma</w:t>
      </w:r>
      <w:r w:rsidR="00071DD4" w:rsidRPr="00E81561">
        <w:rPr>
          <w:rFonts w:ascii="Palatino Linotype" w:hAnsi="Palatino Linotype" w:cs="Tahoma"/>
        </w:rPr>
        <w:t xml:space="preserve"> es un acto consentido tácitamente.</w:t>
      </w:r>
    </w:p>
    <w:p w:rsidR="0050710E" w:rsidRPr="00E81561" w:rsidRDefault="0050710E" w:rsidP="00E81561">
      <w:pPr>
        <w:spacing w:after="0" w:line="360" w:lineRule="auto"/>
        <w:jc w:val="both"/>
        <w:rPr>
          <w:rFonts w:ascii="Palatino Linotype" w:hAnsi="Palatino Linotype" w:cs="Tahoma"/>
        </w:rPr>
      </w:pPr>
    </w:p>
    <w:p w:rsidR="00071DD4" w:rsidRPr="00E81561" w:rsidRDefault="0050710E" w:rsidP="00E81561">
      <w:pPr>
        <w:spacing w:after="0" w:line="360" w:lineRule="auto"/>
        <w:jc w:val="both"/>
        <w:rPr>
          <w:rFonts w:ascii="Palatino Linotype" w:hAnsi="Palatino Linotype" w:cs="Tahoma"/>
        </w:rPr>
      </w:pPr>
      <w:r w:rsidRPr="00E81561">
        <w:rPr>
          <w:rFonts w:ascii="Palatino Linotype" w:hAnsi="Palatino Linotype" w:cs="Tahoma"/>
        </w:rPr>
        <w:t>Ahora bien, cabe precisar que la Ley de Transparencia y Acceso a la Información P</w:t>
      </w:r>
      <w:r w:rsidR="00053ABD" w:rsidRPr="00E81561">
        <w:rPr>
          <w:rFonts w:ascii="Palatino Linotype" w:hAnsi="Palatino Linotype" w:cs="Tahoma"/>
        </w:rPr>
        <w:t>ública</w:t>
      </w:r>
      <w:r w:rsidR="00A8152C" w:rsidRPr="00E81561">
        <w:rPr>
          <w:rFonts w:ascii="Palatino Linotype" w:hAnsi="Palatino Linotype" w:cs="Tahoma"/>
        </w:rPr>
        <w:t xml:space="preserve"> del Estado de México y Municipios</w:t>
      </w:r>
      <w:r w:rsidR="00053ABD" w:rsidRPr="00E81561">
        <w:rPr>
          <w:rFonts w:ascii="Palatino Linotype" w:hAnsi="Palatino Linotype" w:cs="Tahoma"/>
        </w:rPr>
        <w:t>, en su</w:t>
      </w:r>
      <w:r w:rsidR="00CE0247" w:rsidRPr="00E81561">
        <w:rPr>
          <w:rFonts w:ascii="Palatino Linotype" w:hAnsi="Palatino Linotype" w:cs="Tahoma"/>
        </w:rPr>
        <w:t>s</w:t>
      </w:r>
      <w:r w:rsidR="00053ABD" w:rsidRPr="00E81561">
        <w:rPr>
          <w:rFonts w:ascii="Palatino Linotype" w:hAnsi="Palatino Linotype" w:cs="Tahoma"/>
        </w:rPr>
        <w:t xml:space="preserve"> artículo</w:t>
      </w:r>
      <w:r w:rsidR="00CE0247" w:rsidRPr="00E81561">
        <w:rPr>
          <w:rFonts w:ascii="Palatino Linotype" w:hAnsi="Palatino Linotype" w:cs="Tahoma"/>
        </w:rPr>
        <w:t>s 128 y</w:t>
      </w:r>
      <w:r w:rsidR="00053ABD" w:rsidRPr="00E81561">
        <w:rPr>
          <w:rFonts w:ascii="Palatino Linotype" w:hAnsi="Palatino Linotype" w:cs="Tahoma"/>
        </w:rPr>
        <w:t xml:space="preserve"> 137, establece que</w:t>
      </w:r>
      <w:r w:rsidR="00CE0247" w:rsidRPr="00E81561">
        <w:rPr>
          <w:rFonts w:ascii="Palatino Linotype" w:hAnsi="Palatino Linotype" w:cs="Tahoma"/>
        </w:rPr>
        <w:t xml:space="preserve"> en los casos en que se niegue información por actualizarse algún supuesto de clasificación</w:t>
      </w:r>
      <w:r w:rsidR="0041468F" w:rsidRPr="00E81561">
        <w:rPr>
          <w:rFonts w:ascii="Palatino Linotype" w:hAnsi="Palatino Linotype" w:cs="Tahoma"/>
        </w:rPr>
        <w:t>, el</w:t>
      </w:r>
      <w:r w:rsidR="00542076" w:rsidRPr="00E81561">
        <w:rPr>
          <w:rFonts w:ascii="Palatino Linotype" w:hAnsi="Palatino Linotype" w:cs="Tahoma"/>
        </w:rPr>
        <w:t xml:space="preserve"> Comité de Transparencia debe an</w:t>
      </w:r>
      <w:r w:rsidR="0041468F" w:rsidRPr="00E81561">
        <w:rPr>
          <w:rFonts w:ascii="Palatino Linotype" w:hAnsi="Palatino Linotype" w:cs="Tahoma"/>
        </w:rPr>
        <w:t>alizar la decisión y, c</w:t>
      </w:r>
      <w:r w:rsidR="00053ABD" w:rsidRPr="00E81561">
        <w:rPr>
          <w:rFonts w:ascii="Palatino Linotype" w:hAnsi="Palatino Linotype" w:cs="Tahoma"/>
        </w:rPr>
        <w:t>uando se realice una versión pública de algún documento, se debe funda</w:t>
      </w:r>
      <w:r w:rsidR="00CE0247" w:rsidRPr="00E81561">
        <w:rPr>
          <w:rFonts w:ascii="Palatino Linotype" w:hAnsi="Palatino Linotype" w:cs="Tahoma"/>
        </w:rPr>
        <w:t>r</w:t>
      </w:r>
      <w:r w:rsidR="00053ABD" w:rsidRPr="00E81561">
        <w:rPr>
          <w:rFonts w:ascii="Palatino Linotype" w:hAnsi="Palatino Linotype" w:cs="Tahoma"/>
        </w:rPr>
        <w:t xml:space="preserve"> y </w:t>
      </w:r>
      <w:r w:rsidR="00CE0247" w:rsidRPr="00E81561">
        <w:rPr>
          <w:rFonts w:ascii="Palatino Linotype" w:hAnsi="Palatino Linotype" w:cs="Tahoma"/>
        </w:rPr>
        <w:t xml:space="preserve">motivar la </w:t>
      </w:r>
      <w:r w:rsidR="00053ABD" w:rsidRPr="00E81561">
        <w:rPr>
          <w:rFonts w:ascii="Palatino Linotype" w:hAnsi="Palatino Linotype" w:cs="Tahoma"/>
        </w:rPr>
        <w:t>clasificación</w:t>
      </w:r>
      <w:r w:rsidR="00CE0247" w:rsidRPr="00E81561">
        <w:rPr>
          <w:rFonts w:ascii="Palatino Linotype" w:hAnsi="Palatino Linotype" w:cs="Tahoma"/>
        </w:rPr>
        <w:t xml:space="preserve"> de la información eliminada</w:t>
      </w:r>
      <w:r w:rsidR="0041468F" w:rsidRPr="00E81561">
        <w:rPr>
          <w:rFonts w:ascii="Palatino Linotype" w:hAnsi="Palatino Linotype" w:cs="Tahoma"/>
        </w:rPr>
        <w:t>, por lo que se entiende que para tal efecto debe entregarse el respectivo acuerdo del Comité de Transparencia</w:t>
      </w:r>
      <w:r w:rsidR="00053ABD" w:rsidRPr="00E81561">
        <w:rPr>
          <w:rFonts w:ascii="Palatino Linotype" w:hAnsi="Palatino Linotype" w:cs="Tahoma"/>
        </w:rPr>
        <w:t>; sin embargo</w:t>
      </w:r>
      <w:r w:rsidR="00CE0247" w:rsidRPr="00E81561">
        <w:rPr>
          <w:rFonts w:ascii="Palatino Linotype" w:hAnsi="Palatino Linotype" w:cs="Tahoma"/>
        </w:rPr>
        <w:t>,</w:t>
      </w:r>
      <w:r w:rsidR="00053ABD" w:rsidRPr="00E81561">
        <w:rPr>
          <w:rFonts w:ascii="Palatino Linotype" w:hAnsi="Palatino Linotype" w:cs="Tahoma"/>
        </w:rPr>
        <w:t xml:space="preserve"> si bien</w:t>
      </w:r>
      <w:r w:rsidR="00CE0247" w:rsidRPr="00E81561">
        <w:rPr>
          <w:rFonts w:ascii="Palatino Linotype" w:hAnsi="Palatino Linotype" w:cs="Tahoma"/>
        </w:rPr>
        <w:t>,</w:t>
      </w:r>
      <w:r w:rsidR="00053ABD" w:rsidRPr="00E81561">
        <w:rPr>
          <w:rFonts w:ascii="Palatino Linotype" w:hAnsi="Palatino Linotype" w:cs="Tahoma"/>
        </w:rPr>
        <w:t xml:space="preserve"> es un requisito </w:t>
      </w:r>
      <w:r w:rsidR="00A8152C" w:rsidRPr="00E81561">
        <w:rPr>
          <w:rFonts w:ascii="Palatino Linotype" w:hAnsi="Palatino Linotype" w:cs="Tahoma"/>
        </w:rPr>
        <w:t xml:space="preserve">con el que obligatoriamente deben cumplir los Sujeto Obligados, </w:t>
      </w:r>
      <w:r w:rsidR="00071DD4" w:rsidRPr="00E81561">
        <w:rPr>
          <w:rFonts w:ascii="Palatino Linotype" w:hAnsi="Palatino Linotype" w:cs="Tahoma"/>
        </w:rPr>
        <w:t>considero</w:t>
      </w:r>
      <w:r w:rsidR="00053ABD" w:rsidRPr="00E81561">
        <w:rPr>
          <w:rFonts w:ascii="Palatino Linotype" w:hAnsi="Palatino Linotype" w:cs="Tahoma"/>
        </w:rPr>
        <w:t xml:space="preserve"> que al ser una cuestión consentida tácitamente por el Recurrente, </w:t>
      </w:r>
      <w:r w:rsidR="00071DD4" w:rsidRPr="00E81561">
        <w:rPr>
          <w:rFonts w:ascii="Palatino Linotype" w:hAnsi="Palatino Linotype" w:cs="Tahoma"/>
        </w:rPr>
        <w:t>no</w:t>
      </w:r>
      <w:r w:rsidR="00053ABD" w:rsidRPr="00E81561">
        <w:rPr>
          <w:rFonts w:ascii="Palatino Linotype" w:hAnsi="Palatino Linotype" w:cs="Tahoma"/>
        </w:rPr>
        <w:t xml:space="preserve"> se debió agregar, dentro del análisis de la </w:t>
      </w:r>
      <w:r w:rsidR="00A8152C" w:rsidRPr="00E81561">
        <w:rPr>
          <w:rFonts w:ascii="Palatino Linotype" w:hAnsi="Palatino Linotype" w:cs="Tahoma"/>
        </w:rPr>
        <w:t>Resolución</w:t>
      </w:r>
      <w:r w:rsidR="00053ABD" w:rsidRPr="00E81561">
        <w:rPr>
          <w:rFonts w:ascii="Palatino Linotype" w:hAnsi="Palatino Linotype" w:cs="Tahoma"/>
        </w:rPr>
        <w:t>, pronunciamiento alguno</w:t>
      </w:r>
      <w:r w:rsidR="00A8152C" w:rsidRPr="00E81561">
        <w:rPr>
          <w:rFonts w:ascii="Palatino Linotype" w:hAnsi="Palatino Linotype" w:cs="Tahoma"/>
        </w:rPr>
        <w:t xml:space="preserve"> sobre </w:t>
      </w:r>
      <w:r w:rsidR="0057448A" w:rsidRPr="00E81561">
        <w:rPr>
          <w:rFonts w:ascii="Palatino Linotype" w:hAnsi="Palatino Linotype" w:cs="Tahoma"/>
        </w:rPr>
        <w:t>la resolución  referida, ya que no fue recurrida</w:t>
      </w:r>
      <w:r w:rsidR="00053ABD" w:rsidRPr="00E81561">
        <w:rPr>
          <w:rFonts w:ascii="Palatino Linotype" w:hAnsi="Palatino Linotype" w:cs="Tahoma"/>
        </w:rPr>
        <w:t xml:space="preserve">, ni ordenar la </w:t>
      </w:r>
      <w:r w:rsidR="00542076" w:rsidRPr="00E81561">
        <w:rPr>
          <w:rFonts w:ascii="Palatino Linotype" w:hAnsi="Palatino Linotype" w:cs="Tahoma"/>
        </w:rPr>
        <w:t xml:space="preserve">vista a </w:t>
      </w:r>
      <w:r w:rsidR="00F85ACF" w:rsidRPr="00E81561">
        <w:rPr>
          <w:rFonts w:ascii="Palatino Linotype" w:hAnsi="Palatino Linotype" w:cs="Tahoma"/>
        </w:rPr>
        <w:t>la Dirección General de Protección de Datos Personales</w:t>
      </w:r>
      <w:r w:rsidR="00542076" w:rsidRPr="00E81561">
        <w:rPr>
          <w:rFonts w:ascii="Palatino Linotype" w:hAnsi="Palatino Linotype" w:cs="Tahoma"/>
        </w:rPr>
        <w:t>.</w:t>
      </w:r>
    </w:p>
    <w:p w:rsidR="00071DD4" w:rsidRPr="00E81561" w:rsidRDefault="00071DD4" w:rsidP="00E81561">
      <w:pPr>
        <w:spacing w:after="0" w:line="360" w:lineRule="auto"/>
        <w:jc w:val="both"/>
        <w:rPr>
          <w:rFonts w:ascii="Palatino Linotype" w:hAnsi="Palatino Linotype" w:cs="Tahoma"/>
        </w:rPr>
      </w:pPr>
    </w:p>
    <w:p w:rsidR="00F85ACF"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rPr>
        <w:t>Por lo anterior, es que desde la óptica de un servidor, no se debe</w:t>
      </w:r>
      <w:r w:rsidR="00E736A9" w:rsidRPr="00E81561">
        <w:rPr>
          <w:rFonts w:ascii="Palatino Linotype" w:hAnsi="Palatino Linotype" w:cs="Tahoma"/>
        </w:rPr>
        <w:t>n</w:t>
      </w:r>
      <w:r w:rsidRPr="00E81561">
        <w:rPr>
          <w:rFonts w:ascii="Palatino Linotype" w:hAnsi="Palatino Linotype" w:cs="Tahoma"/>
        </w:rPr>
        <w:t xml:space="preserve"> añadir a la </w:t>
      </w:r>
      <w:r w:rsidRPr="00E81561">
        <w:rPr>
          <w:rFonts w:ascii="Palatino Linotype" w:hAnsi="Palatino Linotype" w:cs="Tahoma"/>
          <w:i/>
        </w:rPr>
        <w:t xml:space="preserve">Litis </w:t>
      </w:r>
      <w:r w:rsidRPr="00E81561">
        <w:rPr>
          <w:rFonts w:ascii="Palatino Linotype" w:hAnsi="Palatino Linotype" w:cs="Tahoma"/>
        </w:rPr>
        <w:t>de la presente resolución cuestiones que no fueron motivo de reclamo</w:t>
      </w:r>
      <w:r w:rsidR="00053ABD" w:rsidRPr="00E81561">
        <w:rPr>
          <w:rFonts w:ascii="Palatino Linotype" w:hAnsi="Palatino Linotype" w:cs="Tahoma"/>
        </w:rPr>
        <w:t xml:space="preserve">, como lo </w:t>
      </w:r>
      <w:r w:rsidR="00542076" w:rsidRPr="00E81561">
        <w:rPr>
          <w:rFonts w:ascii="Palatino Linotype" w:hAnsi="Palatino Linotype" w:cs="Tahoma"/>
        </w:rPr>
        <w:t xml:space="preserve">son </w:t>
      </w:r>
      <w:r w:rsidR="00F85ACF" w:rsidRPr="00E81561">
        <w:rPr>
          <w:rFonts w:ascii="Palatino Linotype" w:hAnsi="Palatino Linotype" w:cs="Tahoma"/>
        </w:rPr>
        <w:t>las sentencias</w:t>
      </w:r>
      <w:r w:rsidR="00053ABD" w:rsidRPr="00E81561">
        <w:rPr>
          <w:rFonts w:ascii="Palatino Linotype" w:hAnsi="Palatino Linotype" w:cs="Tahoma"/>
        </w:rPr>
        <w:t>, toda vez que el R</w:t>
      </w:r>
      <w:r w:rsidRPr="00E81561">
        <w:rPr>
          <w:rFonts w:ascii="Palatino Linotype" w:hAnsi="Palatino Linotype" w:cs="Tahoma"/>
        </w:rPr>
        <w:t xml:space="preserve">ecurrente contó con garantías para hacer valer su inconformidad, como el recurso de revisión en materia de transparencia y un tiempo razonable para presentar el medio de impugnación ante una autoridad especializada, como lo es este Instituto, por lo que el hecho de que esta autoridad </w:t>
      </w:r>
      <w:r w:rsidR="00E736A9" w:rsidRPr="00E81561">
        <w:rPr>
          <w:rFonts w:ascii="Palatino Linotype" w:hAnsi="Palatino Linotype" w:cs="Tahoma"/>
        </w:rPr>
        <w:t>Resolutora</w:t>
      </w:r>
      <w:r w:rsidRPr="00E81561">
        <w:rPr>
          <w:rFonts w:ascii="Palatino Linotype" w:hAnsi="Palatino Linotype" w:cs="Tahoma"/>
        </w:rPr>
        <w:t xml:space="preserve"> no analice la respuesta a los puntos de la solicitud que no fueron motivo de agravio por parte del </w:t>
      </w:r>
      <w:r w:rsidR="001E6E14" w:rsidRPr="00E81561">
        <w:rPr>
          <w:rFonts w:ascii="Palatino Linotype" w:hAnsi="Palatino Linotype" w:cs="Tahoma"/>
        </w:rPr>
        <w:t>Recurrente</w:t>
      </w:r>
      <w:r w:rsidRPr="00E81561">
        <w:rPr>
          <w:rFonts w:ascii="Palatino Linotype" w:hAnsi="Palatino Linotype" w:cs="Tahoma"/>
        </w:rPr>
        <w:t xml:space="preserve">, no violenta el derecho humano previsto por </w:t>
      </w:r>
      <w:r w:rsidR="00E736A9" w:rsidRPr="00E81561">
        <w:rPr>
          <w:rFonts w:ascii="Palatino Linotype" w:hAnsi="Palatino Linotype" w:cs="Tahoma"/>
        </w:rPr>
        <w:t>los</w:t>
      </w:r>
      <w:r w:rsidRPr="00E81561">
        <w:rPr>
          <w:rFonts w:ascii="Palatino Linotype" w:hAnsi="Palatino Linotype" w:cs="Tahoma"/>
        </w:rPr>
        <w:t xml:space="preserve"> artículo</w:t>
      </w:r>
      <w:r w:rsidR="00E736A9" w:rsidRPr="00E81561">
        <w:rPr>
          <w:rFonts w:ascii="Palatino Linotype" w:hAnsi="Palatino Linotype" w:cs="Tahoma"/>
        </w:rPr>
        <w:t>s</w:t>
      </w:r>
      <w:r w:rsidRPr="00E81561">
        <w:rPr>
          <w:rFonts w:ascii="Palatino Linotype" w:hAnsi="Palatino Linotype" w:cs="Tahoma"/>
        </w:rPr>
        <w:t xml:space="preserve"> 6° de la Constitución Política de los Estados Unidos Mexicanos y 5° de la Constitución </w:t>
      </w:r>
      <w:r w:rsidR="001E6E14" w:rsidRPr="00E81561">
        <w:rPr>
          <w:rFonts w:ascii="Palatino Linotype" w:hAnsi="Palatino Linotype" w:cs="Tahoma"/>
        </w:rPr>
        <w:t xml:space="preserve">Política </w:t>
      </w:r>
      <w:r w:rsidRPr="00E81561">
        <w:rPr>
          <w:rFonts w:ascii="Palatino Linotype" w:hAnsi="Palatino Linotype" w:cs="Tahoma"/>
        </w:rPr>
        <w:t xml:space="preserve">del Estado Libre y Soberano de México; lo anterior es así, en virtud de que el actor manifestó únicamente inconformidad con la </w:t>
      </w:r>
      <w:r w:rsidRPr="00E81561">
        <w:rPr>
          <w:rFonts w:ascii="Palatino Linotype" w:hAnsi="Palatino Linotype" w:cs="Tahoma"/>
        </w:rPr>
        <w:lastRenderedPageBreak/>
        <w:t>respuesta</w:t>
      </w:r>
      <w:r w:rsidR="007F4F7D" w:rsidRPr="00E81561">
        <w:rPr>
          <w:rFonts w:ascii="Palatino Linotype" w:hAnsi="Palatino Linotype" w:cs="Tahoma"/>
        </w:rPr>
        <w:t xml:space="preserve"> referente </w:t>
      </w:r>
      <w:r w:rsidR="00053ABD" w:rsidRPr="00E81561">
        <w:rPr>
          <w:rFonts w:ascii="Palatino Linotype" w:hAnsi="Palatino Linotype" w:cs="Tahoma"/>
        </w:rPr>
        <w:t>a la entrega</w:t>
      </w:r>
      <w:r w:rsidR="00542076" w:rsidRPr="00E81561">
        <w:rPr>
          <w:rFonts w:ascii="Palatino Linotype" w:hAnsi="Palatino Linotype" w:cs="Tahoma"/>
        </w:rPr>
        <w:t xml:space="preserve"> incompleta, </w:t>
      </w:r>
      <w:r w:rsidR="00053ABD" w:rsidRPr="00E81561">
        <w:rPr>
          <w:rFonts w:ascii="Palatino Linotype" w:hAnsi="Palatino Linotype" w:cs="Tahoma"/>
        </w:rPr>
        <w:t xml:space="preserve"> </w:t>
      </w:r>
      <w:r w:rsidR="00542076" w:rsidRPr="00E81561">
        <w:rPr>
          <w:rFonts w:ascii="Palatino Linotype" w:hAnsi="Palatino Linotype" w:cs="Tahoma"/>
        </w:rPr>
        <w:t>por lo que hace a</w:t>
      </w:r>
      <w:r w:rsidR="00081957" w:rsidRPr="00E81561">
        <w:rPr>
          <w:rFonts w:ascii="Palatino Linotype" w:hAnsi="Palatino Linotype" w:cs="Tahoma"/>
        </w:rPr>
        <w:t xml:space="preserve"> las carpetas de investigación,  cuantas carpetas judiciales se han abierto,  las audiencias celebradas y copia de la carpeta de ejecución de cada sentencia.</w:t>
      </w:r>
    </w:p>
    <w:p w:rsidR="00071DD4" w:rsidRPr="00E81561" w:rsidRDefault="00071DD4" w:rsidP="00E81561">
      <w:pPr>
        <w:spacing w:after="0" w:line="360" w:lineRule="auto"/>
        <w:jc w:val="both"/>
        <w:rPr>
          <w:rFonts w:ascii="Palatino Linotype" w:hAnsi="Palatino Linotype" w:cs="Tahoma"/>
        </w:rPr>
      </w:pPr>
    </w:p>
    <w:p w:rsidR="00071DD4"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rPr>
        <w:t xml:space="preserve">Por las consideraciones expuestas, concluyo </w:t>
      </w:r>
      <w:r w:rsidR="00053ABD" w:rsidRPr="00E81561">
        <w:rPr>
          <w:rFonts w:ascii="Palatino Linotype" w:hAnsi="Palatino Linotype" w:cs="Tahoma"/>
        </w:rPr>
        <w:t>que en</w:t>
      </w:r>
      <w:r w:rsidRPr="00E81561">
        <w:rPr>
          <w:rFonts w:ascii="Palatino Linotype" w:hAnsi="Palatino Linotype" w:cs="Tahoma"/>
        </w:rPr>
        <w:t xml:space="preserve"> el presente caso, </w:t>
      </w:r>
      <w:r w:rsidR="00053ABD" w:rsidRPr="00E81561">
        <w:rPr>
          <w:rFonts w:ascii="Palatino Linotype" w:hAnsi="Palatino Linotype" w:cs="Tahoma"/>
        </w:rPr>
        <w:t xml:space="preserve">no resultaba procedente </w:t>
      </w:r>
      <w:r w:rsidR="00542076" w:rsidRPr="00E81561">
        <w:rPr>
          <w:rFonts w:ascii="Palatino Linotype" w:hAnsi="Palatino Linotype" w:cs="Tahoma"/>
        </w:rPr>
        <w:t xml:space="preserve">analizar la información contenida en </w:t>
      </w:r>
      <w:r w:rsidR="00081957" w:rsidRPr="00E81561">
        <w:rPr>
          <w:rFonts w:ascii="Palatino Linotype" w:hAnsi="Palatino Linotype" w:cs="Tahoma"/>
        </w:rPr>
        <w:t>las sentencias,</w:t>
      </w:r>
      <w:r w:rsidR="00542076" w:rsidRPr="00E81561">
        <w:rPr>
          <w:rFonts w:ascii="Palatino Linotype" w:hAnsi="Palatino Linotype" w:cs="Tahoma"/>
        </w:rPr>
        <w:t xml:space="preserve"> ni </w:t>
      </w:r>
      <w:r w:rsidR="00053ABD" w:rsidRPr="00E81561">
        <w:rPr>
          <w:rFonts w:ascii="Palatino Linotype" w:hAnsi="Palatino Linotype" w:cs="Tahoma"/>
        </w:rPr>
        <w:t xml:space="preserve">ordenar </w:t>
      </w:r>
      <w:r w:rsidR="00542076" w:rsidRPr="00E81561">
        <w:rPr>
          <w:rFonts w:ascii="Palatino Linotype" w:hAnsi="Palatino Linotype" w:cs="Tahoma"/>
        </w:rPr>
        <w:t>girar oficio a la</w:t>
      </w:r>
      <w:r w:rsidR="00F85ACF" w:rsidRPr="00E81561">
        <w:rPr>
          <w:rFonts w:ascii="Palatino Linotype" w:hAnsi="Palatino Linotype" w:cs="Tahoma"/>
        </w:rPr>
        <w:t xml:space="preserve"> Dirección General de Protección de Datos Personales</w:t>
      </w:r>
      <w:r w:rsidR="00081957" w:rsidRPr="00E81561">
        <w:rPr>
          <w:rFonts w:ascii="Palatino Linotype" w:hAnsi="Palatino Linotype" w:cs="Tahoma"/>
        </w:rPr>
        <w:t xml:space="preserve">, </w:t>
      </w:r>
      <w:r w:rsidR="00053ABD" w:rsidRPr="00E81561">
        <w:rPr>
          <w:rFonts w:ascii="Palatino Linotype" w:hAnsi="Palatino Linotype" w:cs="Tahoma"/>
        </w:rPr>
        <w:t xml:space="preserve">pues </w:t>
      </w:r>
      <w:r w:rsidR="00542076" w:rsidRPr="00E81561">
        <w:rPr>
          <w:rFonts w:ascii="Palatino Linotype" w:hAnsi="Palatino Linotype" w:cs="Tahoma"/>
        </w:rPr>
        <w:t>dicha información fue consentida</w:t>
      </w:r>
      <w:r w:rsidR="00053ABD" w:rsidRPr="00E81561">
        <w:rPr>
          <w:rFonts w:ascii="Palatino Linotype" w:hAnsi="Palatino Linotype" w:cs="Tahoma"/>
        </w:rPr>
        <w:t xml:space="preserve"> por el ahora Recurrente.</w:t>
      </w:r>
    </w:p>
    <w:p w:rsidR="008C5129" w:rsidRPr="00E81561" w:rsidRDefault="008C5129" w:rsidP="00E81561">
      <w:pPr>
        <w:spacing w:after="0" w:line="360" w:lineRule="auto"/>
        <w:jc w:val="both"/>
        <w:rPr>
          <w:rFonts w:ascii="Palatino Linotype" w:hAnsi="Palatino Linotype" w:cs="Tahoma"/>
        </w:rPr>
      </w:pPr>
    </w:p>
    <w:p w:rsidR="00243DC9" w:rsidRPr="00E81561" w:rsidRDefault="00884FF0" w:rsidP="00E81561">
      <w:pPr>
        <w:pStyle w:val="Prrafodelista"/>
        <w:numPr>
          <w:ilvl w:val="0"/>
          <w:numId w:val="7"/>
        </w:numPr>
        <w:spacing w:after="0" w:line="360" w:lineRule="auto"/>
        <w:ind w:left="0" w:firstLine="0"/>
        <w:jc w:val="both"/>
        <w:rPr>
          <w:rFonts w:ascii="Palatino Linotype" w:hAnsi="Palatino Linotype" w:cs="Tahoma"/>
          <w:b/>
        </w:rPr>
      </w:pPr>
      <w:r w:rsidRPr="00E81561">
        <w:rPr>
          <w:rFonts w:ascii="Palatino Linotype" w:hAnsi="Palatino Linotype" w:cs="Tahoma"/>
          <w:b/>
        </w:rPr>
        <w:t>Fundamentación para la apertura de la información en la fracción I</w:t>
      </w:r>
      <w:r w:rsidR="00C86E5C" w:rsidRPr="00E81561">
        <w:rPr>
          <w:rFonts w:ascii="Palatino Linotype" w:hAnsi="Palatino Linotype" w:cs="Tahoma"/>
          <w:b/>
        </w:rPr>
        <w:t>,</w:t>
      </w:r>
      <w:r w:rsidRPr="00E81561">
        <w:rPr>
          <w:rFonts w:ascii="Palatino Linotype" w:hAnsi="Palatino Linotype" w:cs="Tahoma"/>
          <w:b/>
        </w:rPr>
        <w:t xml:space="preserve"> de artículo 142</w:t>
      </w:r>
      <w:r w:rsidR="00C86E5C" w:rsidRPr="00E81561">
        <w:rPr>
          <w:rFonts w:ascii="Palatino Linotype" w:hAnsi="Palatino Linotype" w:cs="Tahoma"/>
          <w:b/>
        </w:rPr>
        <w:t>,</w:t>
      </w:r>
      <w:r w:rsidRPr="00E81561">
        <w:rPr>
          <w:rFonts w:ascii="Palatino Linotype" w:hAnsi="Palatino Linotype" w:cs="Tahoma"/>
          <w:b/>
        </w:rPr>
        <w:t xml:space="preserve"> de la Ley de Transparencia y Acceso a la Información Pública del Estado de México y Municipios. </w:t>
      </w:r>
    </w:p>
    <w:p w:rsidR="00884FF0" w:rsidRPr="00E81561" w:rsidRDefault="00884FF0" w:rsidP="00E81561">
      <w:pPr>
        <w:spacing w:after="0" w:line="360" w:lineRule="auto"/>
        <w:jc w:val="both"/>
        <w:rPr>
          <w:rFonts w:ascii="Palatino Linotype" w:hAnsi="Palatino Linotype" w:cs="Tahoma"/>
          <w:b/>
        </w:rPr>
      </w:pPr>
    </w:p>
    <w:p w:rsidR="00884FF0" w:rsidRPr="00E81561" w:rsidRDefault="00884FF0" w:rsidP="00E81561">
      <w:pPr>
        <w:spacing w:after="0" w:line="360" w:lineRule="auto"/>
        <w:jc w:val="both"/>
        <w:rPr>
          <w:rFonts w:ascii="Palatino Linotype" w:hAnsi="Palatino Linotype" w:cs="Tahoma"/>
        </w:rPr>
      </w:pPr>
      <w:r w:rsidRPr="00E81561">
        <w:rPr>
          <w:rFonts w:ascii="Palatino Linotype" w:hAnsi="Palatino Linotype" w:cs="Tahoma"/>
        </w:rPr>
        <w:t>Efectivamente, la P</w:t>
      </w:r>
      <w:r w:rsidR="007F4CF0" w:rsidRPr="00E81561">
        <w:rPr>
          <w:rFonts w:ascii="Palatino Linotype" w:hAnsi="Palatino Linotype" w:cs="Tahoma"/>
        </w:rPr>
        <w:t>onencia resolutora, sostuvo</w:t>
      </w:r>
      <w:r w:rsidRPr="00E81561">
        <w:rPr>
          <w:rFonts w:ascii="Palatino Linotype" w:hAnsi="Palatino Linotype" w:cs="Tahoma"/>
        </w:rPr>
        <w:t xml:space="preserve"> dentro del estudio que </w:t>
      </w:r>
      <w:r w:rsidR="007F4CF0" w:rsidRPr="00E81561">
        <w:rPr>
          <w:rFonts w:ascii="Palatino Linotype" w:hAnsi="Palatino Linotype" w:cs="Tahoma"/>
        </w:rPr>
        <w:t xml:space="preserve">el fundamento para la entrega de  la información era </w:t>
      </w:r>
      <w:r w:rsidRPr="00E81561">
        <w:rPr>
          <w:rFonts w:ascii="Palatino Linotype" w:hAnsi="Palatino Linotype" w:cs="Tahoma"/>
        </w:rPr>
        <w:t>aplicable la fracción I</w:t>
      </w:r>
      <w:r w:rsidR="00C86E5C" w:rsidRPr="00E81561">
        <w:rPr>
          <w:rFonts w:ascii="Palatino Linotype" w:hAnsi="Palatino Linotype" w:cs="Tahoma"/>
        </w:rPr>
        <w:t>,</w:t>
      </w:r>
      <w:r w:rsidRPr="00E81561">
        <w:rPr>
          <w:rFonts w:ascii="Palatino Linotype" w:hAnsi="Palatino Linotype" w:cs="Tahoma"/>
        </w:rPr>
        <w:t xml:space="preserve"> del artículo 142 de la Ley local de Transparencia</w:t>
      </w:r>
      <w:r w:rsidR="00276B3F" w:rsidRPr="00E81561">
        <w:rPr>
          <w:rFonts w:ascii="Palatino Linotype" w:hAnsi="Palatino Linotype" w:cs="Tahoma"/>
        </w:rPr>
        <w:t xml:space="preserve">, esto es, que no podrá invocarse el carácter de reservado cuando se trate de violaciones graves de derechos humanos, </w:t>
      </w:r>
      <w:r w:rsidR="00276B3F" w:rsidRPr="00E81561">
        <w:rPr>
          <w:rFonts w:ascii="Palatino Linotype" w:hAnsi="Palatino Linotype" w:cs="Tahoma"/>
          <w:b/>
        </w:rPr>
        <w:t>calificada así por autoridad competente</w:t>
      </w:r>
      <w:r w:rsidR="00276B3F" w:rsidRPr="00E81561">
        <w:rPr>
          <w:rFonts w:ascii="Palatino Linotype" w:hAnsi="Palatino Linotype" w:cs="Tahoma"/>
        </w:rPr>
        <w:t xml:space="preserve">; no obstante lo anterior, </w:t>
      </w:r>
      <w:r w:rsidR="00CF409E" w:rsidRPr="00E81561">
        <w:rPr>
          <w:rFonts w:ascii="Palatino Linotype" w:hAnsi="Palatino Linotype" w:cs="Tahoma"/>
        </w:rPr>
        <w:t>en los hechos materia de la solicitud, el juzgador s</w:t>
      </w:r>
      <w:r w:rsidR="00C86E5C" w:rsidRPr="00E81561">
        <w:rPr>
          <w:rFonts w:ascii="Palatino Linotype" w:hAnsi="Palatino Linotype" w:cs="Tahoma"/>
        </w:rPr>
        <w:t>ó</w:t>
      </w:r>
      <w:r w:rsidR="00CF409E" w:rsidRPr="00E81561">
        <w:rPr>
          <w:rFonts w:ascii="Palatino Linotype" w:hAnsi="Palatino Linotype" w:cs="Tahoma"/>
        </w:rPr>
        <w:t xml:space="preserve">lo determinó la existencia de violaciones graves </w:t>
      </w:r>
      <w:r w:rsidR="00C86E5C" w:rsidRPr="00E81561">
        <w:rPr>
          <w:rFonts w:ascii="Palatino Linotype" w:hAnsi="Palatino Linotype" w:cs="Tahoma"/>
        </w:rPr>
        <w:t>en el caso de la víctimas y no así, las calificó  como violaciones graves a los derechos humanos</w:t>
      </w:r>
      <w:r w:rsidR="00CF409E" w:rsidRPr="00E81561">
        <w:rPr>
          <w:rFonts w:ascii="Palatino Linotype" w:hAnsi="Palatino Linotype" w:cs="Tahoma"/>
        </w:rPr>
        <w:t xml:space="preserve">, por lo que era preciso fundamentar la entrega de la información </w:t>
      </w:r>
      <w:r w:rsidR="00C86E5C" w:rsidRPr="00E81561">
        <w:rPr>
          <w:rFonts w:ascii="Palatino Linotype" w:hAnsi="Palatino Linotype" w:cs="Tahoma"/>
        </w:rPr>
        <w:t xml:space="preserve">únicamente </w:t>
      </w:r>
      <w:r w:rsidR="00CF409E" w:rsidRPr="00E81561">
        <w:rPr>
          <w:rFonts w:ascii="Palatino Linotype" w:hAnsi="Palatino Linotype" w:cs="Tahoma"/>
        </w:rPr>
        <w:t xml:space="preserve">en el supuesto de la fracción II, </w:t>
      </w:r>
      <w:r w:rsidR="00C86E5C" w:rsidRPr="00E81561">
        <w:rPr>
          <w:rFonts w:ascii="Palatino Linotype" w:hAnsi="Palatino Linotype" w:cs="Tahoma"/>
        </w:rPr>
        <w:t xml:space="preserve">del mismo artículo 142 de la Ley de Transparencia local; </w:t>
      </w:r>
      <w:r w:rsidR="00CF409E" w:rsidRPr="00E81561">
        <w:rPr>
          <w:rFonts w:ascii="Palatino Linotype" w:hAnsi="Palatino Linotype" w:cs="Tahoma"/>
        </w:rPr>
        <w:t xml:space="preserve">esto es, cuando se trate de la investigación de posibles violaciones graves de derechos humanos </w:t>
      </w:r>
      <w:r w:rsidR="00CF409E" w:rsidRPr="00E81561">
        <w:rPr>
          <w:rFonts w:ascii="Palatino Linotype" w:hAnsi="Palatino Linotype" w:cs="Tahoma"/>
          <w:b/>
        </w:rPr>
        <w:t>aun cuando no exista pronunciamiento previo de autoridad competente</w:t>
      </w:r>
      <w:r w:rsidR="00CF409E" w:rsidRPr="00E81561">
        <w:rPr>
          <w:rFonts w:ascii="Palatino Linotype" w:hAnsi="Palatino Linotype" w:cs="Tahoma"/>
        </w:rPr>
        <w:t>, cuando se determine, a partir de criterios cuantitativos y cualitativos la trascendencia social de las vi</w:t>
      </w:r>
      <w:r w:rsidR="003E7A6D" w:rsidRPr="00E81561">
        <w:rPr>
          <w:rFonts w:ascii="Palatino Linotype" w:hAnsi="Palatino Linotype" w:cs="Tahoma"/>
        </w:rPr>
        <w:t xml:space="preserve">olaciones, de acuerdo con </w:t>
      </w:r>
      <w:r w:rsidR="001C2370" w:rsidRPr="001C2370">
        <w:rPr>
          <w:rFonts w:ascii="Palatino Linotype" w:hAnsi="Palatino Linotype" w:cs="Tahoma"/>
        </w:rPr>
        <w:t xml:space="preserve">la tesis 1a. XI/2012 de la décima época con registro digital 2000296, </w:t>
      </w:r>
      <w:r w:rsidR="001C2370">
        <w:rPr>
          <w:rFonts w:ascii="Palatino Linotype" w:hAnsi="Palatino Linotype" w:cs="Tahoma"/>
        </w:rPr>
        <w:t xml:space="preserve">que </w:t>
      </w:r>
      <w:r w:rsidR="001C2370" w:rsidRPr="001C2370">
        <w:rPr>
          <w:rFonts w:ascii="Palatino Linotype" w:hAnsi="Palatino Linotype" w:cs="Tahoma"/>
        </w:rPr>
        <w:t xml:space="preserve">contempla una definición que sirve como </w:t>
      </w:r>
      <w:r w:rsidR="001C2370" w:rsidRPr="001C2370">
        <w:rPr>
          <w:rFonts w:ascii="Palatino Linotype" w:hAnsi="Palatino Linotype" w:cs="Tahoma"/>
        </w:rPr>
        <w:lastRenderedPageBreak/>
        <w:t>guía para la identificación de los elementos necesarios de la apertura de una carpeta de investigació</w:t>
      </w:r>
      <w:r w:rsidR="001C2370">
        <w:rPr>
          <w:rFonts w:ascii="Palatino Linotype" w:hAnsi="Palatino Linotype" w:cs="Tahoma"/>
        </w:rPr>
        <w:t>n</w:t>
      </w:r>
      <w:r w:rsidR="003E7A6D" w:rsidRPr="00E81561">
        <w:rPr>
          <w:rFonts w:ascii="Palatino Linotype" w:hAnsi="Palatino Linotype" w:cs="Tahoma"/>
        </w:rPr>
        <w:t>:</w:t>
      </w:r>
    </w:p>
    <w:p w:rsidR="003E7A6D" w:rsidRPr="00E81561" w:rsidRDefault="003E7A6D" w:rsidP="00E81561">
      <w:pPr>
        <w:spacing w:after="0" w:line="360" w:lineRule="auto"/>
        <w:ind w:left="567" w:right="567"/>
        <w:jc w:val="both"/>
        <w:rPr>
          <w:rFonts w:ascii="Palatino Linotype" w:hAnsi="Palatino Linotype" w:cs="Tahoma"/>
          <w:i/>
        </w:rPr>
      </w:pPr>
      <w:r w:rsidRPr="00E81561">
        <w:rPr>
          <w:rFonts w:ascii="Palatino Linotype" w:hAnsi="Palatino Linotype" w:cs="Tahoma"/>
          <w:i/>
        </w:rPr>
        <w:t>V</w:t>
      </w:r>
      <w:r w:rsidRPr="00E81561">
        <w:rPr>
          <w:rFonts w:ascii="Palatino Linotype" w:hAnsi="Palatino Linotype" w:cs="Tahoma"/>
          <w:i/>
        </w:rPr>
        <w:t>IOLACIONES GRAVES A DERECHOS HUMANOS. SU CONCEPTO PARA EFECTOS DEL DERECHO DE ACCESO A LA INFORMACIÓN DE LA AVERIGUACIÓN PREVIA QUE LAS INVESTIGA.</w:t>
      </w:r>
    </w:p>
    <w:p w:rsidR="003E7A6D" w:rsidRPr="00E81561" w:rsidRDefault="003E7A6D" w:rsidP="00E81561">
      <w:pPr>
        <w:spacing w:after="0" w:line="360" w:lineRule="auto"/>
        <w:ind w:left="567" w:right="567"/>
        <w:jc w:val="both"/>
        <w:rPr>
          <w:rFonts w:ascii="Palatino Linotype" w:hAnsi="Palatino Linotype" w:cs="Tahoma"/>
          <w:i/>
        </w:rPr>
      </w:pPr>
    </w:p>
    <w:p w:rsidR="003E7A6D" w:rsidRPr="00E81561" w:rsidRDefault="003E7A6D" w:rsidP="00E81561">
      <w:pPr>
        <w:spacing w:after="0" w:line="360" w:lineRule="auto"/>
        <w:ind w:left="567" w:right="567"/>
        <w:jc w:val="both"/>
        <w:rPr>
          <w:rFonts w:ascii="Palatino Linotype" w:hAnsi="Palatino Linotype" w:cs="Tahoma"/>
          <w:i/>
        </w:rPr>
      </w:pPr>
      <w:r w:rsidRPr="00E81561">
        <w:rPr>
          <w:rFonts w:ascii="Palatino Linotype" w:hAnsi="Palatino Linotype" w:cs="Tahoma"/>
          <w:i/>
        </w:rPr>
        <w:t xml:space="preserve">De conformidad con el artículo 14 de la Ley Federal de Transparencia y Acceso a la Información Pública Gubernamental, no puede alegarse el carácter de reservado cuando la averiguación previa investigue hechos constitutivos de graves violaciones a derechos humanos o delitos de lesa humanidad. A fin de que el intérprete determine si un caso concreto se ubica en el supuesto de excepción relativo a las violaciones graves a derechos humanos y deba dar acceso a la averiguación previa correspondiente, es necesario que atienda a los lineamientos sentados por la Suprema Corte de Justicia de la Nación y por la Corte Interamericana de Derechos Humanos en esta materia. Siguiendo los lineamientos establecidos por este alto tribunal, para determinar que una violación a derechos humanos es "grave" se requiere comprobar la trascendencia social de las violaciones, lo cual se podrá determinar a través de criterios cuantitativos o cualitativos. El criterio cuantitativo determina la gravedad de las violaciones demostrando que tienen una trascendencia social en función de aspectos medibles o cuantificables, tales como el número, la intensidad, la amplitud, la generalidad, la frecuencia o su prolongación en el tiempo, así como, evidentemente, la combinación de varios de estos aspectos. Es lógico que el criterio anterior no haya podido aplicarse a todos los casos, razón por la cual esta Suprema Corte también ha entendido que en algunos supuestos la trascendencia social de las violaciones se puede demostrar mediante un criterio cualitativo, determinando si éstas presentan alguna característica o cualidad que les dé una dimensión específica. En lo que respecta a la jurisprudencia de la Corte Interamericana de Derechos Humanos, </w:t>
      </w:r>
      <w:r w:rsidRPr="00E81561">
        <w:rPr>
          <w:rFonts w:ascii="Palatino Linotype" w:hAnsi="Palatino Linotype" w:cs="Tahoma"/>
          <w:i/>
        </w:rPr>
        <w:lastRenderedPageBreak/>
        <w:t>ese tribunal ha determinado que la "gravedad" radica, esencialmente, en que se presenten las siguientes características: multiplicidad de violaciones comprendidas dentro del fenómeno delictivo; especial magnitud de las violaciones en relación a la naturaleza de los derechos afectados; y una participación importante del Estado, al ser los actos cometidos por agentes estatales o con la aquiescencia, tolerancia o apoyo del Estado.</w:t>
      </w:r>
    </w:p>
    <w:p w:rsidR="00884FF0" w:rsidRPr="00E81561" w:rsidRDefault="00884FF0" w:rsidP="00E81561">
      <w:pPr>
        <w:spacing w:after="0" w:line="360" w:lineRule="auto"/>
        <w:jc w:val="both"/>
        <w:rPr>
          <w:rFonts w:ascii="Palatino Linotype" w:hAnsi="Palatino Linotype" w:cs="Tahoma"/>
          <w:b/>
        </w:rPr>
      </w:pPr>
    </w:p>
    <w:p w:rsidR="00C86E5C" w:rsidRPr="00E81561" w:rsidRDefault="006C76E4" w:rsidP="00E81561">
      <w:pPr>
        <w:spacing w:after="0" w:line="360" w:lineRule="auto"/>
        <w:jc w:val="both"/>
        <w:rPr>
          <w:rFonts w:ascii="Palatino Linotype" w:hAnsi="Palatino Linotype" w:cs="Tahoma"/>
          <w:color w:val="000000" w:themeColor="text1"/>
          <w:lang w:val="es-MX"/>
        </w:rPr>
      </w:pPr>
      <w:r w:rsidRPr="00E81561">
        <w:rPr>
          <w:rFonts w:ascii="Palatino Linotype" w:hAnsi="Palatino Linotype" w:cs="Tahoma"/>
        </w:rPr>
        <w:t xml:space="preserve">En tal virtud, </w:t>
      </w:r>
      <w:r w:rsidR="00276B3F" w:rsidRPr="00E81561">
        <w:rPr>
          <w:rFonts w:ascii="Palatino Linotype" w:hAnsi="Palatino Linotype" w:cs="Tahoma"/>
        </w:rPr>
        <w:t xml:space="preserve">se </w:t>
      </w:r>
      <w:r w:rsidR="00276B3F" w:rsidRPr="00E81561">
        <w:rPr>
          <w:rFonts w:ascii="Palatino Linotype" w:hAnsi="Palatino Linotype" w:cs="Tahoma"/>
          <w:color w:val="000000" w:themeColor="text1"/>
          <w:lang w:val="es-MX"/>
        </w:rPr>
        <w:t>considera necesario que toda la información respecto a este asunto, sea considerado como una exclusión a la reserva en términos del artícul</w:t>
      </w:r>
      <w:r w:rsidR="00456BA5" w:rsidRPr="00E81561">
        <w:rPr>
          <w:rFonts w:ascii="Palatino Linotype" w:hAnsi="Palatino Linotype" w:cs="Tahoma"/>
          <w:color w:val="000000" w:themeColor="text1"/>
          <w:lang w:val="es-MX"/>
        </w:rPr>
        <w:t xml:space="preserve">o 142 fracción II, de la Ley local de transparencia, </w:t>
      </w:r>
      <w:r w:rsidR="00276B3F" w:rsidRPr="00E81561">
        <w:rPr>
          <w:rFonts w:ascii="Palatino Linotype" w:hAnsi="Palatino Linotype" w:cs="Tahoma"/>
          <w:color w:val="000000" w:themeColor="text1"/>
          <w:lang w:val="es-MX"/>
        </w:rPr>
        <w:t>toda vez que</w:t>
      </w:r>
      <w:r w:rsidR="00C86E5C" w:rsidRPr="00E81561">
        <w:rPr>
          <w:rFonts w:ascii="Palatino Linotype" w:hAnsi="Palatino Linotype" w:cs="Tahoma"/>
          <w:color w:val="000000" w:themeColor="text1"/>
          <w:lang w:val="es-MX"/>
        </w:rPr>
        <w:t xml:space="preserve"> no existe pronunciamiento de alguna Comisión de Derecho Humanos, en donde se reconozca la violación a los derechos humanos en términos de lo que ha declarado la Suprema Corte de Justicia de la Nación.</w:t>
      </w:r>
    </w:p>
    <w:p w:rsidR="00C86E5C" w:rsidRPr="00E81561" w:rsidRDefault="00C86E5C" w:rsidP="00E81561">
      <w:pPr>
        <w:spacing w:after="0" w:line="360" w:lineRule="auto"/>
        <w:jc w:val="both"/>
        <w:rPr>
          <w:rFonts w:ascii="Palatino Linotype" w:hAnsi="Palatino Linotype" w:cs="Tahoma"/>
          <w:color w:val="000000" w:themeColor="text1"/>
          <w:lang w:val="es-MX"/>
        </w:rPr>
      </w:pPr>
    </w:p>
    <w:p w:rsidR="00276B3F" w:rsidRPr="00E81561" w:rsidRDefault="00276B3F" w:rsidP="00E81561">
      <w:pPr>
        <w:spacing w:after="0" w:line="360" w:lineRule="auto"/>
        <w:jc w:val="both"/>
        <w:rPr>
          <w:rFonts w:ascii="Palatino Linotype" w:hAnsi="Palatino Linotype" w:cs="Tahoma"/>
          <w:color w:val="000000" w:themeColor="text1"/>
          <w:lang w:val="es-MX"/>
        </w:rPr>
      </w:pPr>
      <w:r w:rsidRPr="00E81561">
        <w:rPr>
          <w:rFonts w:ascii="Palatino Linotype" w:hAnsi="Palatino Linotype" w:cs="Tahoma"/>
          <w:color w:val="000000" w:themeColor="text1"/>
          <w:lang w:val="es-MX"/>
        </w:rPr>
        <w:t>En este orden de ideas, entonces es dable a este punto afirmar la naturaleza de la información, en su calidad de pública, pues se actualiza un supuesto de excepción, al encontrarnos ante violaciones graves de derechos humanos, para lo que, sirve como refuerzo de argumentos las tesis jurisprudenciales que se citan a continuación:</w:t>
      </w:r>
    </w:p>
    <w:p w:rsidR="00BB7F90" w:rsidRPr="00E81561" w:rsidRDefault="00BB7F90" w:rsidP="00E81561">
      <w:pPr>
        <w:spacing w:after="0" w:line="360" w:lineRule="auto"/>
        <w:jc w:val="both"/>
        <w:rPr>
          <w:rFonts w:ascii="Palatino Linotype" w:hAnsi="Palatino Linotype" w:cs="Tahoma"/>
          <w:color w:val="000000" w:themeColor="text1"/>
          <w:lang w:val="es-MX"/>
        </w:rPr>
      </w:pPr>
    </w:p>
    <w:p w:rsidR="00BB7F90" w:rsidRPr="00E81561" w:rsidRDefault="00BB7F90" w:rsidP="00E81561">
      <w:pPr>
        <w:spacing w:after="0" w:line="360" w:lineRule="auto"/>
        <w:jc w:val="both"/>
        <w:rPr>
          <w:rFonts w:ascii="Palatino Linotype" w:hAnsi="Palatino Linotype" w:cs="Tahoma"/>
        </w:rPr>
      </w:pPr>
      <w:r w:rsidRPr="00E81561">
        <w:rPr>
          <w:rFonts w:ascii="Palatino Linotype" w:hAnsi="Palatino Linotype" w:cs="Tahoma"/>
        </w:rPr>
        <w:t xml:space="preserve">Tesis Aislada de la Novena Época, con registro digital 200110, </w:t>
      </w:r>
      <w:proofErr w:type="gramStart"/>
      <w:r w:rsidRPr="00E81561">
        <w:rPr>
          <w:rFonts w:ascii="Palatino Linotype" w:hAnsi="Palatino Linotype" w:cs="Tahoma"/>
        </w:rPr>
        <w:t>publicado</w:t>
      </w:r>
      <w:proofErr w:type="gramEnd"/>
      <w:r w:rsidRPr="00E81561">
        <w:rPr>
          <w:rFonts w:ascii="Palatino Linotype" w:hAnsi="Palatino Linotype" w:cs="Tahoma"/>
        </w:rPr>
        <w:t xml:space="preserve"> en el Semanario Judicial de la Federación y su Gaceta.</w:t>
      </w:r>
      <w:r w:rsidRPr="00E81561">
        <w:rPr>
          <w:rFonts w:ascii="Palatino Linotype" w:hAnsi="Palatino Linotype" w:cs="Tahoma"/>
        </w:rPr>
        <w:br/>
        <w:t>Tomo III, Junio de 1996, página 459, que lleva por rubro y texto:</w:t>
      </w:r>
    </w:p>
    <w:p w:rsidR="00BB7F90" w:rsidRPr="00E81561" w:rsidRDefault="00BB7F90" w:rsidP="00E81561">
      <w:pPr>
        <w:spacing w:after="0" w:line="360" w:lineRule="auto"/>
        <w:ind w:left="567"/>
        <w:jc w:val="both"/>
        <w:rPr>
          <w:rFonts w:ascii="Palatino Linotype" w:hAnsi="Palatino Linotype" w:cs="Tahoma"/>
        </w:rPr>
      </w:pPr>
    </w:p>
    <w:p w:rsidR="00BB7F90" w:rsidRPr="00E81561" w:rsidRDefault="00BB7F90" w:rsidP="00E81561">
      <w:pPr>
        <w:spacing w:after="0" w:line="360" w:lineRule="auto"/>
        <w:ind w:left="567" w:right="567"/>
        <w:jc w:val="both"/>
        <w:rPr>
          <w:rFonts w:ascii="Palatino Linotype" w:hAnsi="Palatino Linotype"/>
          <w:b/>
          <w:bCs/>
          <w:i/>
          <w:iCs/>
          <w:sz w:val="20"/>
          <w:szCs w:val="20"/>
        </w:rPr>
      </w:pPr>
      <w:r w:rsidRPr="00E81561">
        <w:rPr>
          <w:rFonts w:ascii="Palatino Linotype" w:hAnsi="Palatino Linotype"/>
          <w:b/>
          <w:bCs/>
          <w:i/>
          <w:iCs/>
          <w:sz w:val="20"/>
          <w:szCs w:val="20"/>
        </w:rPr>
        <w:t xml:space="preserve">GARANTIAS INDIVIDUALES. CONCEPTO DE VIOLACION GRAVE DE ELLAS PARA LOS EFECTOS DEL SEGUNDO PARRAFO DEL </w:t>
      </w:r>
      <w:proofErr w:type="gramStart"/>
      <w:r w:rsidRPr="00E81561">
        <w:rPr>
          <w:rFonts w:ascii="Palatino Linotype" w:hAnsi="Palatino Linotype"/>
          <w:b/>
          <w:bCs/>
          <w:i/>
          <w:iCs/>
          <w:sz w:val="20"/>
          <w:szCs w:val="20"/>
        </w:rPr>
        <w:t>ARTICULO</w:t>
      </w:r>
      <w:proofErr w:type="gramEnd"/>
      <w:r w:rsidRPr="00E81561">
        <w:rPr>
          <w:rFonts w:ascii="Palatino Linotype" w:hAnsi="Palatino Linotype"/>
          <w:b/>
          <w:bCs/>
          <w:i/>
          <w:iCs/>
          <w:sz w:val="20"/>
          <w:szCs w:val="20"/>
        </w:rPr>
        <w:t> </w:t>
      </w:r>
      <w:hyperlink r:id="rId7" w:history="1">
        <w:r w:rsidRPr="00E81561">
          <w:rPr>
            <w:rFonts w:ascii="Palatino Linotype" w:hAnsi="Palatino Linotype"/>
            <w:b/>
            <w:bCs/>
            <w:i/>
            <w:iCs/>
            <w:sz w:val="20"/>
            <w:szCs w:val="20"/>
          </w:rPr>
          <w:t>97 CONSTITUCIONAL</w:t>
        </w:r>
      </w:hyperlink>
      <w:r w:rsidRPr="00E81561">
        <w:rPr>
          <w:rFonts w:ascii="Palatino Linotype" w:hAnsi="Palatino Linotype"/>
          <w:b/>
          <w:bCs/>
          <w:i/>
          <w:iCs/>
          <w:sz w:val="20"/>
          <w:szCs w:val="20"/>
        </w:rPr>
        <w:t>.</w:t>
      </w:r>
    </w:p>
    <w:p w:rsidR="00BB7F90" w:rsidRPr="00E81561" w:rsidRDefault="00BB7F90" w:rsidP="00E81561">
      <w:pPr>
        <w:spacing w:after="0" w:line="360" w:lineRule="auto"/>
        <w:ind w:left="567" w:right="567"/>
        <w:jc w:val="both"/>
        <w:rPr>
          <w:rFonts w:ascii="Palatino Linotype" w:hAnsi="Palatino Linotype"/>
          <w:b/>
          <w:bCs/>
          <w:i/>
          <w:iCs/>
          <w:sz w:val="20"/>
          <w:szCs w:val="20"/>
        </w:rPr>
      </w:pPr>
      <w:r w:rsidRPr="00E81561">
        <w:rPr>
          <w:rFonts w:ascii="Palatino Linotype" w:hAnsi="Palatino Linotype"/>
          <w:i/>
          <w:iCs/>
          <w:sz w:val="20"/>
          <w:szCs w:val="20"/>
        </w:rPr>
        <w:lastRenderedPageBreak/>
        <w:t xml:space="preserve">Las violaciones graves de garantías a que se refiere dicho artículo, son hechos generalizados consecuentes a un "estado de cosas", acaecidos en una entidad o región determinados, y su averiguación tiene lugar cuando ocurren acontecimientos que debiendo ser afrontados y resueltos por las autoridades constituidas con estricto apego al principio de legalidad, esos acontecimientos no se logran controlar por la actitud de la propia autoridad, produciéndose, en consecuencia, violaciones a los derechos fundamentales de los individuos. </w:t>
      </w:r>
      <w:r w:rsidRPr="00E81561">
        <w:rPr>
          <w:rFonts w:ascii="Palatino Linotype" w:hAnsi="Palatino Linotype"/>
          <w:b/>
          <w:bCs/>
          <w:i/>
          <w:iCs/>
          <w:sz w:val="20"/>
          <w:szCs w:val="20"/>
        </w:rPr>
        <w:t>Por ende, la grave violación de garantías individuales se actualiza cuando la sociedad no se encuentra en seguridad material, social, política o jurídica, a consecuencia de que: a) Las propias autoridades que deben proteger a la población que gobiernan, son las que producen o propician los actos violentos, pretendiendo en tal forma obtener una respuesta disciplinada, aunque aquéllos sean violatorios de los derechos de las personas y de las instituciones. b) Que frente a un desorden generalizado las autoridades sean omisas, negligentes o impotentes para encauzar las relaciones pacíficas de la comunidad, o bien que sean totalmente indiferentes en obtener el respeto a las garantías individuales.</w:t>
      </w:r>
    </w:p>
    <w:p w:rsidR="00BB7F90" w:rsidRPr="00E81561" w:rsidRDefault="00BB7F90" w:rsidP="00E81561">
      <w:pPr>
        <w:spacing w:after="0" w:line="360" w:lineRule="auto"/>
        <w:rPr>
          <w:rFonts w:ascii="Palatino Linotype" w:hAnsi="Palatino Linotype" w:cs="Tahoma"/>
        </w:rPr>
      </w:pPr>
    </w:p>
    <w:p w:rsidR="00BB7F90" w:rsidRPr="00E81561" w:rsidRDefault="00BB7F90" w:rsidP="00E81561">
      <w:pPr>
        <w:spacing w:after="0" w:line="360" w:lineRule="auto"/>
        <w:jc w:val="both"/>
        <w:rPr>
          <w:rFonts w:ascii="Palatino Linotype" w:hAnsi="Palatino Linotype" w:cs="Tahoma"/>
        </w:rPr>
      </w:pPr>
      <w:r w:rsidRPr="00E81561">
        <w:rPr>
          <w:rFonts w:ascii="Palatino Linotype" w:hAnsi="Palatino Linotype" w:cs="Tahoma"/>
        </w:rPr>
        <w:t>En este contexto, la tesis previamente citada, permite circunscribir al delito de feminicidio en el supuesto b), al identificarse la existencia de un desorden generalizado en donde la autoridad, se encuentra impotente para encausar el respeto a las garantías individuales, pues si bien, la autoridad realiza las funciones y por ello no se puede considerar como omisa o negligente, lo cierto es que los esfuerzos no están siendo suficientes para mitigar la violencia contra las mujeres.</w:t>
      </w:r>
    </w:p>
    <w:p w:rsidR="00BB7F90" w:rsidRPr="00E81561" w:rsidRDefault="00BB7F90" w:rsidP="00E81561">
      <w:pPr>
        <w:spacing w:after="0" w:line="360" w:lineRule="auto"/>
        <w:rPr>
          <w:rFonts w:ascii="Palatino Linotype" w:hAnsi="Palatino Linotype" w:cs="Tahoma"/>
        </w:rPr>
      </w:pPr>
    </w:p>
    <w:p w:rsidR="00BB7F90" w:rsidRPr="00E81561" w:rsidRDefault="00BB7F90" w:rsidP="00E81561">
      <w:pPr>
        <w:spacing w:after="0" w:line="360" w:lineRule="auto"/>
        <w:jc w:val="both"/>
        <w:rPr>
          <w:rFonts w:ascii="Palatino Linotype" w:hAnsi="Palatino Linotype" w:cs="Tahoma"/>
          <w:b/>
          <w:bCs/>
          <w:u w:val="single"/>
        </w:rPr>
      </w:pPr>
      <w:r w:rsidRPr="00E81561">
        <w:rPr>
          <w:rFonts w:ascii="Palatino Linotype" w:hAnsi="Palatino Linotype" w:cs="Tahoma"/>
        </w:rPr>
        <w:t>En este orden de ideas, el feminicidio</w:t>
      </w:r>
      <w:r w:rsidRPr="00E81561">
        <w:rPr>
          <w:rFonts w:ascii="Palatino Linotype" w:hAnsi="Palatino Linotype" w:cs="Tahoma"/>
        </w:rPr>
        <w:t xml:space="preserve"> que nos ocupa</w:t>
      </w:r>
      <w:r w:rsidRPr="00E81561">
        <w:rPr>
          <w:rFonts w:ascii="Palatino Linotype" w:hAnsi="Palatino Linotype" w:cs="Tahoma"/>
        </w:rPr>
        <w:t xml:space="preserve">, debe ser considerado como una violación grave a los derechos humanos, pues si bien no existe participación directa del Estado, </w:t>
      </w:r>
      <w:r w:rsidRPr="00E81561">
        <w:rPr>
          <w:rFonts w:ascii="Palatino Linotype" w:hAnsi="Palatino Linotype" w:cs="Tahoma"/>
          <w:b/>
          <w:bCs/>
          <w:u w:val="single"/>
        </w:rPr>
        <w:t xml:space="preserve">se puede afirmar la de que la autoridad es impotente para abordar la problemática, pues la seguridad pública, es una obligación exclusiva del Estado y por </w:t>
      </w:r>
      <w:r w:rsidRPr="00E81561">
        <w:rPr>
          <w:rFonts w:ascii="Palatino Linotype" w:hAnsi="Palatino Linotype" w:cs="Tahoma"/>
          <w:b/>
          <w:bCs/>
          <w:u w:val="single"/>
        </w:rPr>
        <w:lastRenderedPageBreak/>
        <w:t>ello, de manera indirecta, el incremento del delito de feminicidio se relaciona al actuar del Estado.</w:t>
      </w:r>
    </w:p>
    <w:p w:rsidR="00BB7F90" w:rsidRPr="00E81561" w:rsidRDefault="00BB7F90" w:rsidP="00E81561">
      <w:pPr>
        <w:spacing w:after="0" w:line="360" w:lineRule="auto"/>
        <w:jc w:val="both"/>
        <w:rPr>
          <w:rFonts w:ascii="Palatino Linotype" w:hAnsi="Palatino Linotype" w:cs="Tahoma"/>
          <w:color w:val="000000" w:themeColor="text1"/>
          <w:lang w:val="es-MX"/>
        </w:rPr>
      </w:pP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Suprema Corte de Justicia de la Nación</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Registro digital: 2014071</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Instancia: Segunda Sala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Décima Época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Materias(s): Constitucional, Administrativa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Tesis: 2a. LV/2017 (10a.)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Fuente: Gaceta del Semanario Judicial de la Federación. Libro 41, Abril de 2017, Tomo I, página 1071</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Tipo: Aislada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VIOLACIONES GRAVES DE DERECHOS FUNDAMENTALES Y DELITOS CONTRA LA HUMANIDAD. LAS INVESTIGACIONES RELATIVAS NO PUEDEN CLASIFICARSE COMO CONFIDENCIALES CONFORME A LA LEY FEDERAL DE TRANSPARENCIA Y ACCESO A LA INFORMACIÓN PÚBLICA GUBERNAMENTAL, VIGENTE HASTA EL 9 DE MAYO DE 2016.</w:t>
      </w:r>
    </w:p>
    <w:p w:rsidR="00276B3F" w:rsidRPr="00E81561" w:rsidRDefault="00276B3F" w:rsidP="00E81561">
      <w:pPr>
        <w:spacing w:after="0" w:line="360" w:lineRule="auto"/>
        <w:ind w:left="567" w:right="567"/>
        <w:jc w:val="both"/>
        <w:rPr>
          <w:rFonts w:ascii="Palatino Linotype" w:hAnsi="Palatino Linotype"/>
          <w:i/>
          <w:iCs/>
          <w:color w:val="000000" w:themeColor="text1"/>
          <w:lang w:val="es-MX"/>
        </w:rPr>
      </w:pPr>
      <w:r w:rsidRPr="00E81561">
        <w:rPr>
          <w:rFonts w:ascii="Palatino Linotype" w:hAnsi="Palatino Linotype"/>
          <w:i/>
          <w:iCs/>
          <w:color w:val="000000" w:themeColor="text1"/>
          <w:lang w:val="es-MX"/>
        </w:rPr>
        <w:t xml:space="preserve">Conforme al artículo 14, párrafo último, del ordenamiento citado, no puede invocarse el carácter de información reservada cuando se trate de la investigación de violaciones graves de derechos fundamentales o delitos contra la humanidad. En ese sentido, si bien las averiguaciones previas se mantienen reservadas en atención a que la difusión de la información que contienen podría afectar gravemente la persecución de delitos y la privacidad de las víctimas, y con ello, al sistema de impartición de justicia, lo cierto es que la ley mencionada previó como excepción los casos en los cuales el delito perseguido es de tal gravedad que el interés público en mantener la averiguación previa en reserva se ve superado por el interés de la sociedad de conocer las diligencias llevadas a cabo para </w:t>
      </w:r>
      <w:r w:rsidRPr="00E81561">
        <w:rPr>
          <w:rFonts w:ascii="Palatino Linotype" w:hAnsi="Palatino Linotype"/>
          <w:i/>
          <w:iCs/>
          <w:color w:val="000000" w:themeColor="text1"/>
          <w:lang w:val="es-MX"/>
        </w:rPr>
        <w:lastRenderedPageBreak/>
        <w:t>la oportuna investigación, detención, juicio y sanción de los responsables. Máxime que estos supuestos no sólo afectan a las víctimas u ofendidos en forma directa por los hechos antijurídicos, sino que ofenden a toda la sociedad, precisamente por su gravedad y por las repercusiones que implican; de ahí que la publicidad de esa información se presenta como una parte integrante del derecho a la verdad, el cual no sólo se vincula con los familiares de las víctimas, sino con toda persona, ya que aquéllos y la sociedad deben ser informados de lo sucedido.</w:t>
      </w:r>
    </w:p>
    <w:p w:rsidR="00276B3F" w:rsidRPr="00E81561" w:rsidRDefault="00276B3F" w:rsidP="00E81561">
      <w:pPr>
        <w:spacing w:after="0" w:line="360" w:lineRule="auto"/>
        <w:ind w:left="567" w:right="567"/>
        <w:jc w:val="both"/>
        <w:rPr>
          <w:rFonts w:ascii="Palatino Linotype" w:hAnsi="Palatino Linotype"/>
          <w:i/>
          <w:iCs/>
          <w:color w:val="000000" w:themeColor="text1"/>
          <w:lang w:val="es-MX"/>
        </w:rPr>
      </w:pP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Suprema Corte de Justicia de la Nación</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Registro digital: 2014070</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Instancia: Segunda Sala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Décima Época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Materias(s): Constitucional, Administrativa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Tesis: 2a. LIII/2017 (10a.)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Fuente: Gaceta del Semanario Judicial de la Federación. Libro 41, Abril de 2017, Tomo I, página 1070</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Tipo: Aislada</w:t>
      </w:r>
    </w:p>
    <w:p w:rsidR="00276B3F" w:rsidRPr="00E81561" w:rsidRDefault="00276B3F" w:rsidP="00E81561">
      <w:pPr>
        <w:spacing w:after="0" w:line="360" w:lineRule="auto"/>
        <w:ind w:left="567" w:right="567"/>
        <w:jc w:val="both"/>
        <w:rPr>
          <w:rFonts w:ascii="Palatino Linotype" w:hAnsi="Palatino Linotype"/>
          <w:b/>
          <w:bCs/>
          <w:i/>
          <w:iCs/>
          <w:color w:val="000000" w:themeColor="text1"/>
          <w:lang w:val="es-MX"/>
        </w:rPr>
      </w:pPr>
      <w:r w:rsidRPr="00E81561">
        <w:rPr>
          <w:rFonts w:ascii="Palatino Linotype" w:hAnsi="Palatino Linotype"/>
          <w:b/>
          <w:bCs/>
          <w:i/>
          <w:iCs/>
          <w:color w:val="000000" w:themeColor="text1"/>
          <w:lang w:val="es-MX"/>
        </w:rPr>
        <w:t>VIOLACIONES GRAVES DE DERECHOS FUNDAMENTALES. POR REGLA GENERAL EL PRINCIPIO DE MÁXIMA PUBLICIDAD DE LAS INVESTIGACIONES RELACIONADAS CON AQUÉLLAS, ABARCA EL NOMBRE DE LAS VÍCTIMAS.</w:t>
      </w:r>
    </w:p>
    <w:p w:rsidR="00276B3F" w:rsidRPr="00E81561" w:rsidRDefault="00276B3F" w:rsidP="00E81561">
      <w:pPr>
        <w:spacing w:after="0" w:line="360" w:lineRule="auto"/>
        <w:ind w:left="567" w:right="567"/>
        <w:jc w:val="both"/>
        <w:rPr>
          <w:rFonts w:ascii="Palatino Linotype" w:hAnsi="Palatino Linotype"/>
          <w:i/>
          <w:iCs/>
          <w:color w:val="000000" w:themeColor="text1"/>
          <w:lang w:val="es-MX"/>
        </w:rPr>
      </w:pPr>
      <w:r w:rsidRPr="00E81561">
        <w:rPr>
          <w:rFonts w:ascii="Palatino Linotype" w:hAnsi="Palatino Linotype"/>
          <w:i/>
          <w:iCs/>
          <w:color w:val="000000" w:themeColor="text1"/>
          <w:lang w:val="es-MX"/>
        </w:rPr>
        <w:t xml:space="preserve">Del artículo 14, párrafo último, de la Ley Federal de Transparencia y Acceso a la Información Pública Gubernamental, vigente hasta el 9 de mayo de 2016, se advierte que, por regla general, no podrá invocarse el carácter de información reservada cuando se trate de la investigación de violaciones graves de derechos fundamentales o delitos contra la humanidad, sin hacer distinciones o excepciones respecto al nombre de las </w:t>
      </w:r>
      <w:r w:rsidRPr="00E81561">
        <w:rPr>
          <w:rFonts w:ascii="Palatino Linotype" w:hAnsi="Palatino Linotype"/>
          <w:i/>
          <w:iCs/>
          <w:color w:val="000000" w:themeColor="text1"/>
          <w:lang w:val="es-MX"/>
        </w:rPr>
        <w:lastRenderedPageBreak/>
        <w:t>víctimas, sino que presenta una directriz clara e indubitable del acceso a la publicidad de esa información, ante la entidad de las violaciones o delitos implicados que generan un interés de la sociedad para conocer la conducta estatal respecto a la debida investigación de tales actos, protegiendo en cualquier caso el honor de las víctimas. En ese sentido, la función social derivada de la publicidad de los nombres de las víctimas en esos casos radica en despertar la conciencia, tanto de la autoridad como de las personas en general, sobre la necesidad de evitar la repetición de hechos lesivos como los ocurridos en esos casos y conservar viva la memoria de la víctima; así, trasladar una mera cifra estadística o número de expediente por un "nombre o rostro" implica adquirir verdadera conciencia del problema en cuestión y dignifica al ser humano, dando un lugar decoroso a la memoria de quienes fueron lesionados por conductas especialmente gravosas y permite que la sociedad interpele ante el Estado para conocer la verdad de los hechos acontecidos, y vigile que las autoridades cumplan su deber de investigar, juzgar y, en su caso, sancionar y reparar las violaciones graves de derechos fundamentales.</w:t>
      </w:r>
    </w:p>
    <w:p w:rsidR="006C76E4" w:rsidRPr="00E81561" w:rsidRDefault="006C76E4" w:rsidP="00E81561">
      <w:pPr>
        <w:tabs>
          <w:tab w:val="left" w:pos="8364"/>
        </w:tabs>
        <w:spacing w:after="0" w:line="360" w:lineRule="auto"/>
        <w:ind w:left="567" w:right="474"/>
        <w:jc w:val="both"/>
        <w:rPr>
          <w:rFonts w:ascii="Palatino Linotype" w:hAnsi="Palatino Linotype" w:cs="Tahoma"/>
          <w:b/>
          <w:i/>
        </w:rPr>
      </w:pPr>
    </w:p>
    <w:p w:rsidR="00C86E5C" w:rsidRPr="00E81561" w:rsidRDefault="00112AB3" w:rsidP="00E81561">
      <w:pPr>
        <w:spacing w:after="0" w:line="360" w:lineRule="auto"/>
        <w:jc w:val="both"/>
        <w:rPr>
          <w:rFonts w:ascii="Palatino Linotype" w:hAnsi="Palatino Linotype" w:cs="Tahoma"/>
        </w:rPr>
      </w:pPr>
      <w:r w:rsidRPr="00E81561">
        <w:rPr>
          <w:rFonts w:ascii="Palatino Linotype" w:hAnsi="Palatino Linotype" w:cs="Tahoma"/>
        </w:rPr>
        <w:t xml:space="preserve">En relación con el presente punto, es mi opinión que la </w:t>
      </w:r>
      <w:r w:rsidR="00C86E5C" w:rsidRPr="00E81561">
        <w:rPr>
          <w:rFonts w:ascii="Palatino Linotype" w:hAnsi="Palatino Linotype" w:cs="Tahoma"/>
        </w:rPr>
        <w:t>se debieron</w:t>
      </w:r>
      <w:r w:rsidRPr="00E81561">
        <w:rPr>
          <w:rFonts w:ascii="Palatino Linotype" w:hAnsi="Palatino Linotype" w:cs="Tahoma"/>
        </w:rPr>
        <w:t xml:space="preserve"> aporta</w:t>
      </w:r>
      <w:r w:rsidR="00C86E5C" w:rsidRPr="00E81561">
        <w:rPr>
          <w:rFonts w:ascii="Palatino Linotype" w:hAnsi="Palatino Linotype" w:cs="Tahoma"/>
        </w:rPr>
        <w:t>r</w:t>
      </w:r>
      <w:r w:rsidRPr="00E81561">
        <w:rPr>
          <w:rFonts w:ascii="Palatino Linotype" w:hAnsi="Palatino Linotype" w:cs="Tahoma"/>
        </w:rPr>
        <w:t xml:space="preserve"> mayores elementos  sobre el interés público e</w:t>
      </w:r>
      <w:r w:rsidR="00C86E5C" w:rsidRPr="00E81561">
        <w:rPr>
          <w:rFonts w:ascii="Palatino Linotype" w:hAnsi="Palatino Linotype" w:cs="Tahoma"/>
        </w:rPr>
        <w:t xml:space="preserve">n la apertura de la información que justifican la entrega de lo ordenado; por ejemplo: </w:t>
      </w:r>
    </w:p>
    <w:p w:rsidR="00C86E5C" w:rsidRPr="00E81561" w:rsidRDefault="00C86E5C" w:rsidP="00E81561">
      <w:pPr>
        <w:spacing w:after="0" w:line="360" w:lineRule="auto"/>
        <w:jc w:val="both"/>
        <w:rPr>
          <w:rFonts w:ascii="Palatino Linotype" w:hAnsi="Palatino Linotype"/>
          <w:color w:val="000000" w:themeColor="text1"/>
          <w:lang w:val="es-MX"/>
        </w:rPr>
      </w:pPr>
    </w:p>
    <w:p w:rsidR="00E27CF5" w:rsidRPr="00E81561" w:rsidRDefault="00E27CF5" w:rsidP="00E81561">
      <w:pPr>
        <w:spacing w:after="0" w:line="360" w:lineRule="auto"/>
        <w:jc w:val="both"/>
        <w:rPr>
          <w:rFonts w:ascii="Palatino Linotype" w:hAnsi="Palatino Linotype"/>
          <w:color w:val="000000" w:themeColor="text1"/>
          <w:lang w:val="es-MX"/>
        </w:rPr>
      </w:pPr>
      <w:r w:rsidRPr="00E81561">
        <w:rPr>
          <w:rFonts w:ascii="Palatino Linotype" w:hAnsi="Palatino Linotype"/>
          <w:color w:val="000000" w:themeColor="text1"/>
          <w:lang w:val="es-MX"/>
        </w:rPr>
        <w:t xml:space="preserve">El feminicidio es considerado como un delito grave de conformidad con lo establecido en el artículo 9° del Código Penal del Estado de México, que no otorga beneficios sustitutivos ni suspensión de la pena de prisión en términos del artículo 69, fracción X, del referido Código y es tipificado por el artículo 281 del Código Penal vigente en la Entidad, que se comete </w:t>
      </w:r>
      <w:r w:rsidRPr="00E81561">
        <w:rPr>
          <w:rFonts w:ascii="Palatino Linotype" w:hAnsi="Palatino Linotype"/>
          <w:b/>
          <w:bCs/>
          <w:color w:val="000000" w:themeColor="text1"/>
          <w:u w:val="single"/>
          <w:lang w:val="es-MX"/>
        </w:rPr>
        <w:t>cuando una persona priva de la vida a una mujer por razones de género</w:t>
      </w:r>
      <w:r w:rsidRPr="00E81561">
        <w:rPr>
          <w:rFonts w:ascii="Palatino Linotype" w:hAnsi="Palatino Linotype"/>
          <w:color w:val="000000" w:themeColor="text1"/>
          <w:lang w:val="es-MX"/>
        </w:rPr>
        <w:t>, el mismo artículo enlista las circunstancias que pueden considerarse como constitutivas de esta violencia.</w:t>
      </w:r>
    </w:p>
    <w:p w:rsidR="00E27CF5" w:rsidRPr="00E81561" w:rsidRDefault="00E27CF5" w:rsidP="00E81561">
      <w:pPr>
        <w:spacing w:after="0" w:line="360" w:lineRule="auto"/>
        <w:jc w:val="both"/>
        <w:rPr>
          <w:rFonts w:ascii="Palatino Linotype" w:hAnsi="Palatino Linotype"/>
          <w:color w:val="000000" w:themeColor="text1"/>
          <w:lang w:val="es-MX"/>
        </w:rPr>
      </w:pPr>
      <w:bookmarkStart w:id="0" w:name="_GoBack"/>
      <w:bookmarkEnd w:id="0"/>
      <w:r w:rsidRPr="00E81561">
        <w:rPr>
          <w:rFonts w:ascii="Palatino Linotype" w:hAnsi="Palatino Linotype"/>
          <w:color w:val="000000" w:themeColor="text1"/>
          <w:lang w:val="es-MX"/>
        </w:rPr>
        <w:lastRenderedPageBreak/>
        <w:t xml:space="preserve">La creación del tipo penal de feminicidio, fue el 14 de julio de 2012, que incluyó, en el Código Penal Federal este supuesto, su inclusión, obedece a la violencia de género que se incrementó en el país y que encontró una de sus escenas más emblemáticas, con las víctimas de Ciudad Juárez, problemática que data al menos, desde el año 1993, como se puede consultar en diversas fuentes y trabajos de investigación, como lo es el artículo científico “La cultura del feminicidio en Ciudad Juárez, 1993-1999”, de Julia Estela </w:t>
      </w:r>
      <w:proofErr w:type="spellStart"/>
      <w:r w:rsidRPr="00E81561">
        <w:rPr>
          <w:rFonts w:ascii="Palatino Linotype" w:hAnsi="Palatino Linotype"/>
          <w:color w:val="000000" w:themeColor="text1"/>
          <w:lang w:val="es-MX"/>
        </w:rPr>
        <w:t>Monárrez</w:t>
      </w:r>
      <w:proofErr w:type="spellEnd"/>
      <w:r w:rsidRPr="00E81561">
        <w:rPr>
          <w:rFonts w:ascii="Palatino Linotype" w:hAnsi="Palatino Linotype"/>
          <w:color w:val="000000" w:themeColor="text1"/>
          <w:lang w:val="es-MX"/>
        </w:rPr>
        <w:t xml:space="preserve"> Fragoso, consultable en la liga de acceso directo </w:t>
      </w:r>
      <w:hyperlink r:id="rId8" w:history="1">
        <w:r w:rsidRPr="00E81561">
          <w:rPr>
            <w:rFonts w:ascii="Palatino Linotype" w:hAnsi="Palatino Linotype"/>
            <w:color w:val="0563C1" w:themeColor="hyperlink"/>
            <w:u w:val="single"/>
            <w:lang w:val="es-MX"/>
          </w:rPr>
          <w:t>http://www.scielo.org.mx/scielo.php?script=sci_arttext&amp;pid=S0187-73722000000100004</w:t>
        </w:r>
      </w:hyperlink>
      <w:r w:rsidRPr="00E81561">
        <w:rPr>
          <w:rFonts w:ascii="Palatino Linotype" w:hAnsi="Palatino Linotype"/>
          <w:color w:val="000000" w:themeColor="text1"/>
          <w:lang w:val="es-MX"/>
        </w:rPr>
        <w:t xml:space="preserve"> </w:t>
      </w:r>
    </w:p>
    <w:p w:rsidR="00E27CF5" w:rsidRPr="00E81561" w:rsidRDefault="00E27CF5" w:rsidP="00E81561">
      <w:pPr>
        <w:spacing w:after="0" w:line="360" w:lineRule="auto"/>
        <w:jc w:val="both"/>
        <w:rPr>
          <w:rFonts w:ascii="Palatino Linotype" w:hAnsi="Palatino Linotype"/>
          <w:color w:val="000000" w:themeColor="text1"/>
          <w:lang w:val="es-MX"/>
        </w:rPr>
      </w:pPr>
    </w:p>
    <w:p w:rsidR="00E27CF5" w:rsidRPr="00E81561" w:rsidRDefault="00E27CF5" w:rsidP="00E81561">
      <w:pPr>
        <w:spacing w:after="0" w:line="360" w:lineRule="auto"/>
        <w:jc w:val="both"/>
        <w:rPr>
          <w:rFonts w:ascii="Palatino Linotype" w:hAnsi="Palatino Linotype"/>
          <w:color w:val="000000" w:themeColor="text1"/>
          <w:lang w:val="es-MX"/>
        </w:rPr>
      </w:pPr>
      <w:r w:rsidRPr="00E81561">
        <w:rPr>
          <w:rFonts w:ascii="Palatino Linotype" w:hAnsi="Palatino Linotype"/>
          <w:color w:val="000000" w:themeColor="text1"/>
          <w:lang w:val="es-MX"/>
        </w:rPr>
        <w:t>Esta problemática escaló al punto tal, que no bastó con la creación del tipo penal, sino que el 31 de julio de 2015, el Sistema Nacional de Prevención, Atención, Sanción y Erradicación de la Violencia contra las Mujeres acordó la procedencia de la declaratoria de Alerta de Violencia de Género contra las Mujeres para el Estado de México en once municipios; en octubre de 2019, la CONAVIM declaró una segunda Alerta, esta vez enfocada a la desaparición de niñas, adolescentes y mujeres en la Entidad, en siete de los municipios que ya estaban considerados en la primera alerta, esta declaratoria, tiene como finalidad, el focalizar los esfuerzos gubernamentales para la disminución de la violencia, de manera coordinada en los tres niveles de gobierno.</w:t>
      </w:r>
    </w:p>
    <w:p w:rsidR="00E27CF5" w:rsidRPr="00E81561" w:rsidRDefault="00E27CF5" w:rsidP="00E81561">
      <w:pPr>
        <w:spacing w:after="0" w:line="360" w:lineRule="auto"/>
        <w:jc w:val="both"/>
        <w:rPr>
          <w:rFonts w:ascii="Palatino Linotype" w:hAnsi="Palatino Linotype"/>
          <w:color w:val="000000" w:themeColor="text1"/>
          <w:lang w:val="es-MX"/>
        </w:rPr>
      </w:pPr>
    </w:p>
    <w:p w:rsidR="00E27CF5" w:rsidRPr="00E81561" w:rsidRDefault="00E27CF5" w:rsidP="00E81561">
      <w:pPr>
        <w:spacing w:after="0" w:line="360" w:lineRule="auto"/>
        <w:jc w:val="both"/>
        <w:rPr>
          <w:rFonts w:ascii="Palatino Linotype" w:hAnsi="Palatino Linotype"/>
          <w:color w:val="000000" w:themeColor="text1"/>
          <w:lang w:val="es-MX"/>
        </w:rPr>
      </w:pPr>
      <w:r w:rsidRPr="00E81561">
        <w:rPr>
          <w:rFonts w:ascii="Palatino Linotype" w:hAnsi="Palatino Linotype"/>
          <w:color w:val="000000" w:themeColor="text1"/>
          <w:lang w:val="es-MX"/>
        </w:rPr>
        <w:t xml:space="preserve">El aumento de cifras ha generado la necesidad por parte de la Fiscalía General de Justicia del Estado de México, a publicar las estadísticas de los feminicidios y homicidios dolosos a través de la página electrónica institucional, con liga de acceso directo  </w:t>
      </w:r>
      <w:hyperlink r:id="rId9" w:history="1">
        <w:r w:rsidRPr="00E81561">
          <w:rPr>
            <w:rFonts w:ascii="Palatino Linotype" w:hAnsi="Palatino Linotype"/>
            <w:color w:val="0563C1" w:themeColor="hyperlink"/>
            <w:u w:val="single"/>
            <w:lang w:val="es-MX"/>
          </w:rPr>
          <w:t>https://fgjem.edomex.gob.mx/estadisticas-feminicidio-homicidio</w:t>
        </w:r>
      </w:hyperlink>
      <w:r w:rsidRPr="00E81561">
        <w:rPr>
          <w:rFonts w:ascii="Palatino Linotype" w:hAnsi="Palatino Linotype"/>
          <w:color w:val="000000" w:themeColor="text1"/>
          <w:lang w:val="es-MX"/>
        </w:rPr>
        <w:t>, lo que nos permite identificar la urgencia que tenemos de solucionar esta problemática.</w:t>
      </w:r>
    </w:p>
    <w:p w:rsidR="00E27CF5" w:rsidRPr="00E81561" w:rsidRDefault="00E27CF5" w:rsidP="00E81561">
      <w:pPr>
        <w:spacing w:after="0" w:line="360" w:lineRule="auto"/>
        <w:jc w:val="both"/>
        <w:rPr>
          <w:rFonts w:ascii="Palatino Linotype" w:hAnsi="Palatino Linotype"/>
          <w:color w:val="000000" w:themeColor="text1"/>
          <w:lang w:val="es-MX"/>
        </w:rPr>
      </w:pPr>
    </w:p>
    <w:p w:rsidR="00E27CF5" w:rsidRPr="00E81561" w:rsidRDefault="00E27CF5" w:rsidP="00E81561">
      <w:pPr>
        <w:spacing w:after="0" w:line="360" w:lineRule="auto"/>
        <w:jc w:val="both"/>
        <w:rPr>
          <w:rFonts w:ascii="Palatino Linotype" w:hAnsi="Palatino Linotype"/>
          <w:color w:val="000000" w:themeColor="text1"/>
          <w:lang w:val="es-MX"/>
        </w:rPr>
      </w:pPr>
      <w:r w:rsidRPr="00E81561">
        <w:rPr>
          <w:rFonts w:ascii="Palatino Linotype" w:hAnsi="Palatino Linotype"/>
          <w:color w:val="000000" w:themeColor="text1"/>
          <w:lang w:val="es-MX"/>
        </w:rPr>
        <w:lastRenderedPageBreak/>
        <w:t>En la imagen se muestra el alto nivel de violencia que viven las mujeres en el Estado de México:</w:t>
      </w:r>
    </w:p>
    <w:p w:rsidR="00E27CF5" w:rsidRPr="00E81561" w:rsidRDefault="00E27CF5" w:rsidP="00E81561">
      <w:pPr>
        <w:spacing w:after="0" w:line="360" w:lineRule="auto"/>
        <w:jc w:val="both"/>
        <w:rPr>
          <w:rFonts w:ascii="Palatino Linotype" w:hAnsi="Palatino Linotype"/>
          <w:color w:val="000000" w:themeColor="text1"/>
          <w:lang w:val="es-MX"/>
        </w:rPr>
      </w:pPr>
    </w:p>
    <w:p w:rsidR="00E27CF5" w:rsidRPr="00E81561" w:rsidRDefault="00E27CF5" w:rsidP="00E81561">
      <w:pPr>
        <w:spacing w:after="0" w:line="360" w:lineRule="auto"/>
        <w:jc w:val="center"/>
        <w:rPr>
          <w:rFonts w:ascii="Palatino Linotype" w:hAnsi="Palatino Linotype"/>
          <w:color w:val="000000" w:themeColor="text1"/>
          <w:lang w:val="es-MX"/>
        </w:rPr>
      </w:pPr>
      <w:r w:rsidRPr="00E81561">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1C3C0C14" wp14:editId="46A81EC7">
                <wp:simplePos x="0" y="0"/>
                <wp:positionH relativeFrom="column">
                  <wp:posOffset>176737</wp:posOffset>
                </wp:positionH>
                <wp:positionV relativeFrom="paragraph">
                  <wp:posOffset>2831554</wp:posOffset>
                </wp:positionV>
                <wp:extent cx="682656" cy="320318"/>
                <wp:effectExtent l="19050" t="95250" r="0" b="99060"/>
                <wp:wrapNone/>
                <wp:docPr id="23" name="Flecha: a la derecha 23"/>
                <wp:cNvGraphicFramePr/>
                <a:graphic xmlns:a="http://schemas.openxmlformats.org/drawingml/2006/main">
                  <a:graphicData uri="http://schemas.microsoft.com/office/word/2010/wordprocessingShape">
                    <wps:wsp>
                      <wps:cNvSpPr/>
                      <wps:spPr>
                        <a:xfrm rot="19844497">
                          <a:off x="0" y="0"/>
                          <a:ext cx="682656" cy="320318"/>
                        </a:xfrm>
                        <a:prstGeom prst="right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09E0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3" o:spid="_x0000_s1026" type="#_x0000_t13" style="position:absolute;margin-left:13.9pt;margin-top:222.95pt;width:53.75pt;height:25.2pt;rotation:-191747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" adj="16532" fillcolor="red" strokecolor="red" strokeweight="1pt"/>
            </w:pict>
          </mc:Fallback>
        </mc:AlternateContent>
      </w:r>
      <w:r w:rsidRPr="00E81561">
        <w:rPr>
          <w:rFonts w:ascii="Palatino Linotype" w:hAnsi="Palatino Linotype"/>
          <w:noProof/>
          <w:color w:val="000000" w:themeColor="text1"/>
          <w:lang w:val="es-MX" w:eastAsia="es-MX"/>
        </w:rPr>
        <w:drawing>
          <wp:inline distT="0" distB="0" distL="0" distR="0" wp14:anchorId="3AB18505" wp14:editId="4748EAA8">
            <wp:extent cx="4272897" cy="3175000"/>
            <wp:effectExtent l="0" t="0" r="0" b="6350"/>
            <wp:docPr id="2" name="Imagen 2" descr="Interfaz de usuario gráfica, Aplicación, Histo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nterfaz de usuario gráfica, Aplicación, Histograma&#10;&#10;Descripción generada automáticamente"/>
                    <pic:cNvPicPr/>
                  </pic:nvPicPr>
                  <pic:blipFill rotWithShape="1">
                    <a:blip r:embed="rId10"/>
                    <a:srcRect l="28177" t="22803" r="24460" b="14636"/>
                    <a:stretch/>
                  </pic:blipFill>
                  <pic:spPr bwMode="auto">
                    <a:xfrm>
                      <a:off x="0" y="0"/>
                      <a:ext cx="4292953" cy="3189903"/>
                    </a:xfrm>
                    <a:prstGeom prst="rect">
                      <a:avLst/>
                    </a:prstGeom>
                    <a:ln>
                      <a:noFill/>
                    </a:ln>
                    <a:extLst>
                      <a:ext uri="{53640926-AAD7-44D8-BBD7-CCE9431645EC}">
                        <a14:shadowObscured xmlns:a14="http://schemas.microsoft.com/office/drawing/2010/main"/>
                      </a:ext>
                    </a:extLst>
                  </pic:spPr>
                </pic:pic>
              </a:graphicData>
            </a:graphic>
          </wp:inline>
        </w:drawing>
      </w:r>
    </w:p>
    <w:p w:rsidR="00E27CF5" w:rsidRPr="00E81561" w:rsidRDefault="00E27CF5" w:rsidP="00E81561">
      <w:pPr>
        <w:spacing w:after="0" w:line="360" w:lineRule="auto"/>
        <w:jc w:val="both"/>
        <w:rPr>
          <w:rFonts w:ascii="Palatino Linotype" w:hAnsi="Palatino Linotype"/>
          <w:color w:val="000000" w:themeColor="text1"/>
          <w:lang w:val="es-MX"/>
        </w:rPr>
      </w:pPr>
    </w:p>
    <w:p w:rsidR="00E27CF5" w:rsidRPr="00E81561" w:rsidRDefault="00E27CF5" w:rsidP="00E81561">
      <w:pPr>
        <w:spacing w:after="0" w:line="360" w:lineRule="auto"/>
        <w:jc w:val="both"/>
        <w:rPr>
          <w:rFonts w:ascii="Palatino Linotype" w:hAnsi="Palatino Linotype"/>
          <w:color w:val="000000" w:themeColor="text1"/>
          <w:lang w:val="es-MX"/>
        </w:rPr>
      </w:pPr>
      <w:r w:rsidRPr="00E81561">
        <w:rPr>
          <w:rFonts w:ascii="Palatino Linotype" w:hAnsi="Palatino Linotype"/>
          <w:color w:val="000000" w:themeColor="text1"/>
          <w:lang w:val="es-MX"/>
        </w:rPr>
        <w:t xml:space="preserve">Las cifras oficiales publicadas por el Secretariado Ejecutivo del Sistema Nacional de Seguridad Pública y difundidas por el medio de comunicación “El Financiero”, revelan un incremento del delito de feminicidio para el año 2021, con un total de 1004 (consultable en la liga de acceso directo </w:t>
      </w:r>
      <w:hyperlink r:id="rId11" w:history="1">
        <w:r w:rsidRPr="00E81561">
          <w:rPr>
            <w:rFonts w:ascii="Palatino Linotype" w:hAnsi="Palatino Linotype"/>
            <w:color w:val="0563C1" w:themeColor="hyperlink"/>
            <w:u w:val="single"/>
            <w:lang w:val="es-MX"/>
          </w:rPr>
          <w:t>https://www.elfinanciero.com.mx/nacional/2022/01/20/feminicidios-en-mexico-2021-es-el-ano-mas-violento-contra-las-mujeres/</w:t>
        </w:r>
      </w:hyperlink>
      <w:r w:rsidRPr="00E81561">
        <w:rPr>
          <w:rFonts w:ascii="Palatino Linotype" w:hAnsi="Palatino Linotype"/>
          <w:color w:val="000000" w:themeColor="text1"/>
          <w:lang w:val="es-MX"/>
        </w:rPr>
        <w:t xml:space="preserve">),  y al primer trimestre del 2022, se reveló una cifra de 229 feminicidios, (información difundida por el Sol de México a través de la nota periodística consultable en la liga de acceso directo </w:t>
      </w:r>
      <w:hyperlink r:id="rId12" w:history="1">
        <w:r w:rsidRPr="00E81561">
          <w:rPr>
            <w:rFonts w:ascii="Palatino Linotype" w:hAnsi="Palatino Linotype"/>
            <w:color w:val="0563C1" w:themeColor="hyperlink"/>
            <w:u w:val="single"/>
            <w:lang w:val="es-MX"/>
          </w:rPr>
          <w:t>https://www.elsoldemexico.com.mx/mexico/sociedad/data-van-229-feminicidios-en-lo-que-va-del-2022-8231129.html</w:t>
        </w:r>
      </w:hyperlink>
      <w:r w:rsidRPr="00E81561">
        <w:rPr>
          <w:rFonts w:ascii="Palatino Linotype" w:hAnsi="Palatino Linotype"/>
          <w:color w:val="000000" w:themeColor="text1"/>
          <w:lang w:val="es-MX"/>
        </w:rPr>
        <w:t xml:space="preserve">) por lo que, ante el incremento de las cifras, se debe </w:t>
      </w:r>
      <w:r w:rsidRPr="00E81561">
        <w:rPr>
          <w:rFonts w:ascii="Palatino Linotype" w:hAnsi="Palatino Linotype"/>
          <w:color w:val="000000" w:themeColor="text1"/>
          <w:lang w:val="es-MX"/>
        </w:rPr>
        <w:lastRenderedPageBreak/>
        <w:t>identificar la necesidad de modificar y adecuar políticas públicas, así como adoptar medidas suficientes para contribuir a la solución de esta problemática, desde todos sectores de gobierno.</w:t>
      </w:r>
    </w:p>
    <w:p w:rsidR="00E27CF5" w:rsidRPr="00E81561" w:rsidRDefault="00E27CF5" w:rsidP="00E81561">
      <w:pPr>
        <w:spacing w:after="0" w:line="360" w:lineRule="auto"/>
        <w:jc w:val="both"/>
        <w:rPr>
          <w:rFonts w:ascii="Palatino Linotype" w:hAnsi="Palatino Linotype"/>
          <w:color w:val="000000" w:themeColor="text1"/>
          <w:lang w:val="es-MX"/>
        </w:rPr>
      </w:pPr>
      <w:r w:rsidRPr="00E81561">
        <w:rPr>
          <w:rFonts w:ascii="Palatino Linotype" w:hAnsi="Palatino Linotype"/>
          <w:color w:val="000000" w:themeColor="text1"/>
          <w:lang w:val="es-MX"/>
        </w:rPr>
        <w:t xml:space="preserve">Es justamente por este nivel de violencia que se vive y se percibe diariamente en el país que los delitos cometidos por la personas de quien se solicita información cobra relevancia de interés público, ya que se conjugan varios factores como la participación de las familias por encontrar a mujeres desaparecidas, se trató de feminicidios, el número de casos convirtió al imputado en feminicida serial, se dio una amplia difusión de todos los detalles de la investigación y del proceso penal Asimismo, vale la pena señalar que las estadísticas no permiten identificar el número de casos resueltos, por lo que dar a conocer las cifras sobre impunidad en el delito de feminicidio también debe ser considerada información de interés público. </w:t>
      </w:r>
    </w:p>
    <w:p w:rsidR="00071DD4" w:rsidRPr="00E81561" w:rsidRDefault="00071DD4" w:rsidP="00E81561">
      <w:pPr>
        <w:spacing w:after="0" w:line="360" w:lineRule="auto"/>
        <w:jc w:val="both"/>
        <w:rPr>
          <w:rFonts w:ascii="Palatino Linotype" w:hAnsi="Palatino Linotype" w:cs="Tahoma"/>
        </w:rPr>
      </w:pPr>
    </w:p>
    <w:p w:rsidR="00071DD4" w:rsidRPr="00E81561" w:rsidRDefault="00071DD4" w:rsidP="00E81561">
      <w:pPr>
        <w:spacing w:after="0" w:line="360" w:lineRule="auto"/>
        <w:jc w:val="both"/>
        <w:rPr>
          <w:rFonts w:ascii="Palatino Linotype" w:hAnsi="Palatino Linotype" w:cs="Tahoma"/>
        </w:rPr>
      </w:pPr>
      <w:r w:rsidRPr="00E81561">
        <w:rPr>
          <w:rFonts w:ascii="Palatino Linotype" w:hAnsi="Palatino Linotype" w:cs="Tahoma"/>
        </w:rPr>
        <w:t xml:space="preserve">Así, con base en los razonamientos expuestos, </w:t>
      </w:r>
      <w:r w:rsidRPr="00E81561">
        <w:rPr>
          <w:rFonts w:ascii="Palatino Linotype" w:hAnsi="Palatino Linotype" w:cs="Tahoma"/>
          <w:b/>
        </w:rPr>
        <w:t>se emite el presente Voto Particular</w:t>
      </w:r>
      <w:r w:rsidRPr="00E81561">
        <w:rPr>
          <w:rFonts w:ascii="Palatino Linotype" w:hAnsi="Palatino Linotype" w:cs="Tahoma"/>
        </w:rPr>
        <w:t>.</w:t>
      </w:r>
      <w:r w:rsidR="00C86E5C" w:rsidRPr="00E81561">
        <w:rPr>
          <w:rFonts w:ascii="Palatino Linotype" w:hAnsi="Palatino Linotype" w:cs="Tahoma"/>
        </w:rPr>
        <w:t>--------------------------------------------------------------------------------------------------------------------------------</w:t>
      </w:r>
    </w:p>
    <w:p w:rsidR="00E736A9" w:rsidRPr="00E81561" w:rsidRDefault="00E736A9" w:rsidP="00E81561">
      <w:pPr>
        <w:spacing w:after="0" w:line="360" w:lineRule="auto"/>
        <w:jc w:val="center"/>
        <w:rPr>
          <w:rFonts w:ascii="Palatino Linotype" w:hAnsi="Palatino Linotype" w:cs="Tahoma"/>
          <w:b/>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cs="Tahoma"/>
        </w:rPr>
      </w:pPr>
    </w:p>
    <w:p w:rsidR="00542076" w:rsidRPr="00E81561" w:rsidRDefault="00542076" w:rsidP="00E81561">
      <w:pPr>
        <w:spacing w:after="0" w:line="360" w:lineRule="auto"/>
        <w:jc w:val="center"/>
        <w:rPr>
          <w:rFonts w:ascii="Palatino Linotype" w:hAnsi="Palatino Linotype"/>
        </w:rPr>
      </w:pPr>
    </w:p>
    <w:sectPr w:rsidR="00542076" w:rsidRPr="00E81561" w:rsidSect="00CF409E">
      <w:headerReference w:type="default" r:id="rId13"/>
      <w:footerReference w:type="default" r:id="rId14"/>
      <w:pgSz w:w="12240" w:h="15840" w:code="1"/>
      <w:pgMar w:top="1417" w:right="1750" w:bottom="1417"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71" w:rsidRDefault="00EA5471">
      <w:pPr>
        <w:spacing w:after="0" w:line="240" w:lineRule="auto"/>
      </w:pPr>
      <w:r>
        <w:separator/>
      </w:r>
    </w:p>
  </w:endnote>
  <w:endnote w:type="continuationSeparator" w:id="0">
    <w:p w:rsidR="00EA5471" w:rsidRDefault="00EA5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010114"/>
      <w:docPartObj>
        <w:docPartGallery w:val="Page Numbers (Bottom of Page)"/>
        <w:docPartUnique/>
      </w:docPartObj>
    </w:sdtPr>
    <w:sdtEndPr/>
    <w:sdtContent>
      <w:sdt>
        <w:sdtPr>
          <w:id w:val="1728636285"/>
          <w:docPartObj>
            <w:docPartGallery w:val="Page Numbers (Top of Page)"/>
            <w:docPartUnique/>
          </w:docPartObj>
        </w:sdtPr>
        <w:sdtEndPr/>
        <w:sdtContent>
          <w:p w:rsidR="003E4648" w:rsidRDefault="00F4211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62012">
              <w:rPr>
                <w:b/>
                <w:bCs/>
                <w:noProof/>
              </w:rPr>
              <w:t>14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62012">
              <w:rPr>
                <w:b/>
                <w:bCs/>
                <w:noProof/>
              </w:rPr>
              <w:t>15</w:t>
            </w:r>
            <w:r>
              <w:rPr>
                <w:b/>
                <w:bCs/>
                <w:sz w:val="24"/>
                <w:szCs w:val="24"/>
              </w:rPr>
              <w:fldChar w:fldCharType="end"/>
            </w:r>
          </w:p>
        </w:sdtContent>
      </w:sdt>
    </w:sdtContent>
  </w:sdt>
  <w:p w:rsidR="007C4D31" w:rsidRDefault="00EA54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71" w:rsidRDefault="00EA5471">
      <w:pPr>
        <w:spacing w:after="0" w:line="240" w:lineRule="auto"/>
      </w:pPr>
      <w:r>
        <w:separator/>
      </w:r>
    </w:p>
  </w:footnote>
  <w:footnote w:type="continuationSeparator" w:id="0">
    <w:p w:rsidR="00EA5471" w:rsidRDefault="00EA54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384"/>
    </w:tblGrid>
    <w:tr w:rsidR="0077694E" w:rsidRPr="001106EA" w:rsidTr="00542076">
      <w:trPr>
        <w:trHeight w:val="2280"/>
      </w:trPr>
      <w:tc>
        <w:tcPr>
          <w:tcW w:w="2830" w:type="dxa"/>
          <w:vAlign w:val="bottom"/>
        </w:tcPr>
        <w:p w:rsidR="0077694E" w:rsidRDefault="00F42117" w:rsidP="0077694E">
          <w:pPr>
            <w:pStyle w:val="Encabezado"/>
            <w:tabs>
              <w:tab w:val="clear" w:pos="4252"/>
              <w:tab w:val="center" w:pos="2614"/>
            </w:tabs>
            <w:ind w:left="-255"/>
          </w:pPr>
          <w:r>
            <w:rPr>
              <w:noProof/>
              <w:sz w:val="10"/>
              <w:szCs w:val="10"/>
              <w:lang w:val="es-MX" w:eastAsia="es-MX"/>
            </w:rPr>
            <w:drawing>
              <wp:inline distT="0" distB="0" distL="0" distR="0" wp14:anchorId="255A330A" wp14:editId="1064D9E2">
                <wp:extent cx="1873633" cy="11265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77694E" w:rsidRDefault="00EA5471" w:rsidP="0077694E">
          <w:pPr>
            <w:pStyle w:val="Encabezado"/>
            <w:tabs>
              <w:tab w:val="clear" w:pos="4252"/>
              <w:tab w:val="center" w:pos="2614"/>
            </w:tabs>
          </w:pPr>
        </w:p>
      </w:tc>
      <w:tc>
        <w:tcPr>
          <w:tcW w:w="6384" w:type="dxa"/>
          <w:vAlign w:val="center"/>
        </w:tcPr>
        <w:p w:rsidR="001106EA" w:rsidRPr="001106EA" w:rsidRDefault="00EA5471" w:rsidP="006812A4">
          <w:pPr>
            <w:pStyle w:val="Encabezado"/>
            <w:tabs>
              <w:tab w:val="left" w:pos="6134"/>
            </w:tabs>
            <w:ind w:left="-108" w:right="-250"/>
            <w:jc w:val="both"/>
            <w:rPr>
              <w:rFonts w:ascii="Tahoma" w:hAnsi="Tahoma" w:cs="Tahoma"/>
            </w:rPr>
          </w:pPr>
        </w:p>
        <w:p w:rsidR="001106EA" w:rsidRPr="008B303E" w:rsidRDefault="00F42117" w:rsidP="006812A4">
          <w:pPr>
            <w:pStyle w:val="Encabezado"/>
            <w:tabs>
              <w:tab w:val="left" w:pos="6134"/>
            </w:tabs>
            <w:ind w:left="-108" w:right="-250"/>
            <w:jc w:val="both"/>
            <w:rPr>
              <w:rFonts w:ascii="Palatino Linotype" w:hAnsi="Palatino Linotype" w:cs="Tahoma"/>
              <w:b/>
            </w:rPr>
          </w:pPr>
          <w:r w:rsidRPr="008B303E">
            <w:rPr>
              <w:rFonts w:ascii="Palatino Linotype" w:hAnsi="Palatino Linotype" w:cs="Tahoma"/>
              <w:b/>
            </w:rPr>
            <w:t>Voto Particular</w:t>
          </w:r>
        </w:p>
        <w:p w:rsidR="00053ABD" w:rsidRDefault="00F42117" w:rsidP="006812A4">
          <w:pPr>
            <w:pStyle w:val="Encabezado"/>
            <w:tabs>
              <w:tab w:val="left" w:pos="6134"/>
            </w:tabs>
            <w:ind w:left="-108" w:right="-250"/>
            <w:jc w:val="both"/>
            <w:rPr>
              <w:rFonts w:ascii="Palatino Linotype" w:hAnsi="Palatino Linotype" w:cs="Tahoma"/>
              <w:b/>
              <w:bCs/>
            </w:rPr>
          </w:pPr>
          <w:r w:rsidRPr="008B303E">
            <w:rPr>
              <w:rFonts w:ascii="Palatino Linotype" w:hAnsi="Palatino Linotype" w:cs="Tahoma"/>
              <w:b/>
            </w:rPr>
            <w:t xml:space="preserve">Recurso de Revisión: </w:t>
          </w:r>
          <w:r w:rsidR="00313DC9">
            <w:rPr>
              <w:rFonts w:ascii="Palatino Linotype" w:hAnsi="Palatino Linotype" w:cs="Tahoma"/>
              <w:b/>
            </w:rPr>
            <w:t>03092</w:t>
          </w:r>
          <w:r w:rsidR="00346570" w:rsidRPr="00346570">
            <w:rPr>
              <w:rFonts w:ascii="Palatino Linotype" w:hAnsi="Palatino Linotype" w:cs="Tahoma"/>
              <w:b/>
            </w:rPr>
            <w:t>/INFOEM/IP/RR/2023</w:t>
          </w:r>
        </w:p>
        <w:p w:rsidR="00313DC9" w:rsidRDefault="008B303E" w:rsidP="00053ABD">
          <w:pPr>
            <w:pStyle w:val="Encabezado"/>
            <w:tabs>
              <w:tab w:val="left" w:pos="6134"/>
            </w:tabs>
            <w:ind w:left="-108" w:right="-250"/>
            <w:jc w:val="both"/>
            <w:rPr>
              <w:rFonts w:ascii="Palatino Linotype" w:hAnsi="Palatino Linotype" w:cs="Tahoma"/>
              <w:b/>
              <w:lang w:val="es-ES_tradnl"/>
            </w:rPr>
          </w:pPr>
          <w:r>
            <w:rPr>
              <w:rFonts w:ascii="Palatino Linotype" w:hAnsi="Palatino Linotype" w:cs="Tahoma"/>
              <w:b/>
              <w:lang w:val="es-ES_tradnl"/>
            </w:rPr>
            <w:t xml:space="preserve">Sujeto Obligado: </w:t>
          </w:r>
          <w:r w:rsidR="00313DC9" w:rsidRPr="00313DC9">
            <w:rPr>
              <w:rFonts w:ascii="Palatino Linotype" w:hAnsi="Palatino Linotype" w:cs="Tahoma"/>
              <w:b/>
              <w:lang w:val="es-ES_tradnl"/>
            </w:rPr>
            <w:t xml:space="preserve">Poder Judicial </w:t>
          </w:r>
        </w:p>
        <w:p w:rsidR="00D17F1D" w:rsidRPr="001106EA" w:rsidRDefault="00053ABD" w:rsidP="00053ABD">
          <w:pPr>
            <w:pStyle w:val="Encabezado"/>
            <w:tabs>
              <w:tab w:val="left" w:pos="6134"/>
            </w:tabs>
            <w:ind w:left="-108" w:right="-250"/>
            <w:jc w:val="both"/>
            <w:rPr>
              <w:rFonts w:ascii="Tahoma" w:hAnsi="Tahoma" w:cs="Tahoma"/>
            </w:rPr>
          </w:pPr>
          <w:r>
            <w:rPr>
              <w:rFonts w:ascii="Palatino Linotype" w:hAnsi="Palatino Linotype" w:cs="Tahoma"/>
              <w:b/>
            </w:rPr>
            <w:t>Comisionada</w:t>
          </w:r>
          <w:r w:rsidR="00F42117" w:rsidRPr="008B303E">
            <w:rPr>
              <w:rFonts w:ascii="Palatino Linotype" w:hAnsi="Palatino Linotype" w:cs="Tahoma"/>
              <w:b/>
            </w:rPr>
            <w:t xml:space="preserve"> Ponente: </w:t>
          </w:r>
          <w:r w:rsidR="00313DC9" w:rsidRPr="00313DC9">
            <w:rPr>
              <w:rFonts w:ascii="Palatino Linotype" w:hAnsi="Palatino Linotype" w:cs="Tahoma"/>
              <w:b/>
            </w:rPr>
            <w:t>Sharon Cristina Morales Martínez</w:t>
          </w:r>
        </w:p>
      </w:tc>
    </w:tr>
  </w:tbl>
  <w:p w:rsidR="00D55429" w:rsidRPr="001106EA" w:rsidRDefault="00EA547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3F333D"/>
    <w:multiLevelType w:val="hybridMultilevel"/>
    <w:tmpl w:val="9502FF1C"/>
    <w:lvl w:ilvl="0" w:tplc="5AE6A0FC">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E780639"/>
    <w:multiLevelType w:val="hybridMultilevel"/>
    <w:tmpl w:val="5F546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671D7F30"/>
    <w:multiLevelType w:val="hybridMultilevel"/>
    <w:tmpl w:val="0B3A24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CAD09D8"/>
    <w:multiLevelType w:val="hybridMultilevel"/>
    <w:tmpl w:val="CED685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CC0D77"/>
    <w:multiLevelType w:val="hybridMultilevel"/>
    <w:tmpl w:val="70A00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D4"/>
    <w:rsid w:val="00037555"/>
    <w:rsid w:val="00053ABD"/>
    <w:rsid w:val="00063197"/>
    <w:rsid w:val="000666DE"/>
    <w:rsid w:val="00071DD4"/>
    <w:rsid w:val="00081957"/>
    <w:rsid w:val="000B381B"/>
    <w:rsid w:val="000B7294"/>
    <w:rsid w:val="00112AB3"/>
    <w:rsid w:val="0014596B"/>
    <w:rsid w:val="00171AD6"/>
    <w:rsid w:val="001A2605"/>
    <w:rsid w:val="001C2370"/>
    <w:rsid w:val="001E087F"/>
    <w:rsid w:val="001E6E14"/>
    <w:rsid w:val="001F501B"/>
    <w:rsid w:val="00243DC9"/>
    <w:rsid w:val="002660E2"/>
    <w:rsid w:val="00276B3F"/>
    <w:rsid w:val="002E006C"/>
    <w:rsid w:val="002F138A"/>
    <w:rsid w:val="00313DC9"/>
    <w:rsid w:val="00346570"/>
    <w:rsid w:val="00362012"/>
    <w:rsid w:val="003868EC"/>
    <w:rsid w:val="003A5EE0"/>
    <w:rsid w:val="003A7450"/>
    <w:rsid w:val="003E7A6D"/>
    <w:rsid w:val="00412102"/>
    <w:rsid w:val="0041468F"/>
    <w:rsid w:val="0042054B"/>
    <w:rsid w:val="00456BA5"/>
    <w:rsid w:val="00472C1C"/>
    <w:rsid w:val="004F46AD"/>
    <w:rsid w:val="00503F24"/>
    <w:rsid w:val="0050710E"/>
    <w:rsid w:val="00542076"/>
    <w:rsid w:val="005446C0"/>
    <w:rsid w:val="00562484"/>
    <w:rsid w:val="0057448A"/>
    <w:rsid w:val="00580F64"/>
    <w:rsid w:val="005C7AEF"/>
    <w:rsid w:val="005D5183"/>
    <w:rsid w:val="00602A62"/>
    <w:rsid w:val="00624346"/>
    <w:rsid w:val="00641245"/>
    <w:rsid w:val="006812A4"/>
    <w:rsid w:val="00697B29"/>
    <w:rsid w:val="006B59E0"/>
    <w:rsid w:val="006C76E4"/>
    <w:rsid w:val="006F2FC3"/>
    <w:rsid w:val="007364C6"/>
    <w:rsid w:val="00760B4B"/>
    <w:rsid w:val="007A7803"/>
    <w:rsid w:val="007B4483"/>
    <w:rsid w:val="007C0333"/>
    <w:rsid w:val="007F4CF0"/>
    <w:rsid w:val="007F4F7D"/>
    <w:rsid w:val="00816A0C"/>
    <w:rsid w:val="00884FF0"/>
    <w:rsid w:val="008A71CE"/>
    <w:rsid w:val="008B303E"/>
    <w:rsid w:val="008C5129"/>
    <w:rsid w:val="00906D21"/>
    <w:rsid w:val="00923D48"/>
    <w:rsid w:val="00997769"/>
    <w:rsid w:val="009E4D5A"/>
    <w:rsid w:val="00A37921"/>
    <w:rsid w:val="00A8152C"/>
    <w:rsid w:val="00AA625C"/>
    <w:rsid w:val="00AB0D44"/>
    <w:rsid w:val="00AF0152"/>
    <w:rsid w:val="00B1616E"/>
    <w:rsid w:val="00B25277"/>
    <w:rsid w:val="00B43F4B"/>
    <w:rsid w:val="00BB7F90"/>
    <w:rsid w:val="00BC17C1"/>
    <w:rsid w:val="00BF00D7"/>
    <w:rsid w:val="00C15D62"/>
    <w:rsid w:val="00C7259A"/>
    <w:rsid w:val="00C86E5C"/>
    <w:rsid w:val="00CE0247"/>
    <w:rsid w:val="00CF409E"/>
    <w:rsid w:val="00D0798A"/>
    <w:rsid w:val="00D84D7B"/>
    <w:rsid w:val="00DB03B7"/>
    <w:rsid w:val="00DF1276"/>
    <w:rsid w:val="00DF27A8"/>
    <w:rsid w:val="00E27C76"/>
    <w:rsid w:val="00E27CF5"/>
    <w:rsid w:val="00E736A9"/>
    <w:rsid w:val="00E74654"/>
    <w:rsid w:val="00E81561"/>
    <w:rsid w:val="00EA3C57"/>
    <w:rsid w:val="00EA5471"/>
    <w:rsid w:val="00F42117"/>
    <w:rsid w:val="00F855BA"/>
    <w:rsid w:val="00F85ACF"/>
    <w:rsid w:val="00F86F4C"/>
    <w:rsid w:val="00FD4BEA"/>
    <w:rsid w:val="00FF2D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E98FE-78F2-4427-A089-58C76C55F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DD4"/>
    <w:rPr>
      <w:lang w:val="es-ES"/>
    </w:rPr>
  </w:style>
  <w:style w:type="paragraph" w:styleId="Ttulo2">
    <w:name w:val="heading 2"/>
    <w:basedOn w:val="Normal"/>
    <w:next w:val="Normal"/>
    <w:link w:val="Ttulo2Car"/>
    <w:uiPriority w:val="9"/>
    <w:unhideWhenUsed/>
    <w:qFormat/>
    <w:rsid w:val="00AF0152"/>
    <w:pPr>
      <w:keepNext/>
      <w:keepLines/>
      <w:spacing w:before="40" w:after="0"/>
      <w:outlineLvl w:val="1"/>
    </w:pPr>
    <w:rPr>
      <w:rFonts w:asciiTheme="majorHAnsi" w:eastAsiaTheme="majorEastAsia" w:hAnsiTheme="majorHAnsi" w:cstheme="majorBidi"/>
      <w:color w:val="2E74B5"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1D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1DD4"/>
    <w:rPr>
      <w:lang w:val="es-ES"/>
    </w:rPr>
  </w:style>
  <w:style w:type="paragraph" w:styleId="Piedepgina">
    <w:name w:val="footer"/>
    <w:basedOn w:val="Normal"/>
    <w:link w:val="PiedepginaCar"/>
    <w:uiPriority w:val="99"/>
    <w:unhideWhenUsed/>
    <w:rsid w:val="00071D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1DD4"/>
    <w:rPr>
      <w:lang w:val="es-ES"/>
    </w:rPr>
  </w:style>
  <w:style w:type="table" w:styleId="Tablaconcuadrcula">
    <w:name w:val="Table Grid"/>
    <w:basedOn w:val="Tablanormal"/>
    <w:uiPriority w:val="39"/>
    <w:rsid w:val="00071DD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71DD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0152"/>
    <w:rPr>
      <w:lang w:val="es-ES"/>
    </w:rPr>
  </w:style>
  <w:style w:type="character" w:customStyle="1" w:styleId="Ttulo2Car">
    <w:name w:val="Título 2 Car"/>
    <w:basedOn w:val="Fuentedeprrafopredeter"/>
    <w:link w:val="Ttulo2"/>
    <w:uiPriority w:val="9"/>
    <w:rsid w:val="00AF0152"/>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F12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DF1276"/>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F1276"/>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lo.org.mx/scielo.php?script=sci_arttext&amp;pid=S0187-7372200000010000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https://www.elsoldemexico.com.mx/mexico/sociedad/data-van-229-feminicidios-en-lo-que-va-del-2022-823112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financiero.com.mx/nacional/2022/01/20/feminicidios-en-mexico-2021-es-el-ano-mas-violento-contra-las-mujer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fgjem.edomex.gob.mx/estadisticas-feminicidio-homicidi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3612</Words>
  <Characters>19871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Cuenta Microsoft</cp:lastModifiedBy>
  <cp:revision>8</cp:revision>
  <dcterms:created xsi:type="dcterms:W3CDTF">2023-08-14T17:04:00Z</dcterms:created>
  <dcterms:modified xsi:type="dcterms:W3CDTF">2023-08-15T00:27:00Z</dcterms:modified>
</cp:coreProperties>
</file>