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B66" w:rsidRDefault="00CF12DB" w:rsidP="0006689C">
      <w:pPr>
        <w:widowControl w:val="0"/>
        <w:pBdr>
          <w:top w:val="nil"/>
          <w:left w:val="nil"/>
          <w:bottom w:val="nil"/>
          <w:right w:val="nil"/>
          <w:between w:val="nil"/>
        </w:pBdr>
        <w:spacing w:after="0" w:line="276" w:lineRule="auto"/>
        <w:jc w:val="both"/>
      </w:pPr>
      <w:bookmarkStart w:id="0" w:name="_GoBack"/>
      <w:bookmarkEnd w:id="0"/>
      <w:r>
        <w:pict w14:anchorId="5B2F9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0pt;height:50pt;z-index:251658752;visibility:hidden">
            <o:lock v:ext="edit" selection="t"/>
          </v:shape>
        </w:pict>
      </w:r>
      <w:r>
        <w:pict w14:anchorId="4C4D2155">
          <v:shape id="_x0000_s1026" type="#_x0000_t136" style="position:absolute;left:0;text-align:left;margin-left:0;margin-top:0;width:50pt;height:50pt;z-index:251659776;visibility:hidden">
            <o:lock v:ext="edit" selection="t"/>
          </v:shape>
        </w:pict>
      </w:r>
      <w:r w:rsidR="0006689C">
        <w:rPr>
          <w:rFonts w:ascii="Palatino Linotype" w:eastAsia="Palatino Linotype" w:hAnsi="Palatino Linotype" w:cs="Palatino Linotype"/>
          <w:b/>
          <w:sz w:val="24"/>
          <w:szCs w:val="24"/>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TRIGÉSIMA OCTAVA SESIÓN ORDINARIA DEL VEINTICINCO DE OCTUBRE DE DOS MIL VEINTITRÉS, EN EL RECURSO DE REVISIÓN 14566/INFOEM/IP/RR/2022 Y ACUMULADOS. </w:t>
      </w:r>
      <w:r w:rsidR="0006689C">
        <w:rPr>
          <w:noProof/>
          <w:lang w:val="es-MX"/>
        </w:rPr>
        <mc:AlternateContent>
          <mc:Choice Requires="wpg">
            <w:drawing>
              <wp:anchor distT="0" distB="0" distL="114300" distR="114300" simplePos="0" relativeHeight="251655680"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359975039"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8B7B66" w:rsidRDefault="008B7B6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35997503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44525" cy="644525"/>
                        </a:xfrm>
                        <a:prstGeom prst="rect"/>
                        <a:ln/>
                      </pic:spPr>
                    </pic:pic>
                  </a:graphicData>
                </a:graphic>
              </wp:anchor>
            </w:drawing>
          </mc:Fallback>
        </mc:AlternateContent>
      </w:r>
      <w:r w:rsidR="0006689C">
        <w:rPr>
          <w:noProof/>
          <w:lang w:val="es-MX"/>
        </w:rPr>
        <mc:AlternateContent>
          <mc:Choice Requires="wpg">
            <w:drawing>
              <wp:anchor distT="0" distB="0" distL="114300" distR="114300" simplePos="0" relativeHeight="251656704"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359975047"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8B7B66" w:rsidRDefault="008B7B6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359975047"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644525" cy="644525"/>
                        </a:xfrm>
                        <a:prstGeom prst="rect"/>
                        <a:ln/>
                      </pic:spPr>
                    </pic:pic>
                  </a:graphicData>
                </a:graphic>
              </wp:anchor>
            </w:drawing>
          </mc:Fallback>
        </mc:AlternateContent>
      </w:r>
    </w:p>
    <w:p w:rsidR="008B7B66" w:rsidRDefault="008B7B66">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000000"/>
          <w:sz w:val="24"/>
          <w:szCs w:val="24"/>
        </w:rPr>
      </w:pPr>
      <w:bookmarkStart w:id="1" w:name="_heading=h.2et92p0" w:colFirst="0" w:colLast="0"/>
      <w:bookmarkEnd w:id="1"/>
    </w:p>
    <w:p w:rsidR="008B7B66" w:rsidRDefault="0006689C">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Pleno del Instituto de Transparencia, Acceso a la Información Pública y Protección de Datos Personales del Estado de México resolvió por unanimidad de votos, la Resolución relativa a los Recursos de Revisión </w:t>
      </w:r>
      <w:r>
        <w:rPr>
          <w:rFonts w:ascii="Palatino Linotype" w:eastAsia="Palatino Linotype" w:hAnsi="Palatino Linotype" w:cs="Palatino Linotype"/>
          <w:b/>
          <w:color w:val="000000"/>
          <w:sz w:val="24"/>
          <w:szCs w:val="24"/>
        </w:rPr>
        <w:t xml:space="preserve">14566/INFOEM/IP/RR/2022, 14569/INFOEM/IP/RR/2022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14576/INFOEM/IP/RR/2022</w:t>
      </w:r>
      <w:r>
        <w:rPr>
          <w:rFonts w:ascii="Palatino Linotype" w:eastAsia="Palatino Linotype" w:hAnsi="Palatino Linotype" w:cs="Palatino Linotype"/>
          <w:color w:val="000000"/>
          <w:sz w:val="24"/>
          <w:szCs w:val="24"/>
        </w:rPr>
        <w:t xml:space="preserve">, presentada por el Comisionado Luis Gustavo Parra Noriega, respecto de la cual la suscrita, emite </w:t>
      </w:r>
      <w:r>
        <w:rPr>
          <w:rFonts w:ascii="Palatino Linotype" w:eastAsia="Palatino Linotype" w:hAnsi="Palatino Linotype" w:cs="Palatino Linotype"/>
          <w:b/>
          <w:color w:val="000000"/>
          <w:sz w:val="24"/>
          <w:szCs w:val="24"/>
        </w:rPr>
        <w:t xml:space="preserve">Voto Particular </w:t>
      </w:r>
      <w:r>
        <w:rPr>
          <w:rFonts w:ascii="Palatino Linotype" w:eastAsia="Palatino Linotype" w:hAnsi="Palatino Linotype" w:cs="Palatino Linotype"/>
          <w:color w:val="000000"/>
          <w:sz w:val="24"/>
          <w:szCs w:val="24"/>
        </w:rPr>
        <w:t>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XIX, 45, 48, fracción II, de los Lineamientos para el funcionamiento del Pleno y las Comisiones del Instituto de Transparencia, Acceso a la Información Pública y Protección de Datos Personales del Estado de México y Municipios.</w:t>
      </w:r>
    </w:p>
    <w:p w:rsidR="008B7B66" w:rsidRDefault="008B7B66">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b/>
          <w:color w:val="000000"/>
          <w:sz w:val="24"/>
          <w:szCs w:val="24"/>
        </w:rPr>
      </w:pPr>
    </w:p>
    <w:p w:rsidR="008B7B66" w:rsidRDefault="0006689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desprende de la Resolución que nos ocupa, la persona solicitante requirió al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lo siguiente:</w:t>
      </w:r>
    </w:p>
    <w:p w:rsidR="008B7B66" w:rsidRDefault="008B7B66">
      <w:pPr>
        <w:spacing w:after="0" w:line="360" w:lineRule="auto"/>
        <w:jc w:val="both"/>
        <w:rPr>
          <w:rFonts w:ascii="Palatino Linotype" w:eastAsia="Palatino Linotype" w:hAnsi="Palatino Linotype" w:cs="Palatino Linotype"/>
          <w:sz w:val="24"/>
          <w:szCs w:val="24"/>
        </w:rPr>
      </w:pPr>
    </w:p>
    <w:p w:rsidR="008B7B66" w:rsidRDefault="0006689C">
      <w:pPr>
        <w:spacing w:after="0" w:line="360" w:lineRule="auto"/>
        <w:ind w:left="567" w:right="567"/>
        <w:rPr>
          <w:rFonts w:ascii="Palatino Linotype" w:eastAsia="Palatino Linotype" w:hAnsi="Palatino Linotype" w:cs="Palatino Linotype"/>
          <w:b/>
        </w:rPr>
      </w:pPr>
      <w:r>
        <w:rPr>
          <w:rFonts w:ascii="Palatino Linotype" w:eastAsia="Palatino Linotype" w:hAnsi="Palatino Linotype" w:cs="Palatino Linotype"/>
          <w:b/>
        </w:rPr>
        <w:lastRenderedPageBreak/>
        <w:t>Solicitud con número de folio 00206/MELOCAM/IP/2022</w:t>
      </w:r>
      <w:r>
        <w:rPr>
          <w:rFonts w:ascii="Palatino Linotype" w:eastAsia="Palatino Linotype" w:hAnsi="Palatino Linotype" w:cs="Palatino Linotype"/>
          <w:b/>
        </w:rPr>
        <w:tab/>
      </w:r>
    </w:p>
    <w:p w:rsidR="008B7B66" w:rsidRDefault="0006689C">
      <w:pPr>
        <w:spacing w:after="0" w:line="360" w:lineRule="auto"/>
        <w:ind w:left="567" w:right="567"/>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rsidR="008B7B66" w:rsidRDefault="0006689C">
      <w:pPr>
        <w:spacing w:after="0"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i/>
          <w:color w:val="000000"/>
        </w:rPr>
        <w:t>Solicito perfil de los puestos de los servidores públicos que integran la administración durante el periodo de gobierno actual La información curricular de los servidores públicos que integran la presente administración La información relativa a la deuda pública que el municipio haya contraído en el periodo actual</w:t>
      </w:r>
      <w:r>
        <w:rPr>
          <w:rFonts w:ascii="Palatino Linotype" w:eastAsia="Palatino Linotype" w:hAnsi="Palatino Linotype" w:cs="Palatino Linotype"/>
          <w:i/>
        </w:rPr>
        <w:t>” (Sic)</w:t>
      </w:r>
    </w:p>
    <w:p w:rsidR="008B7B66" w:rsidRDefault="008B7B66">
      <w:pPr>
        <w:spacing w:after="0" w:line="360" w:lineRule="auto"/>
        <w:ind w:right="567"/>
        <w:jc w:val="both"/>
        <w:rPr>
          <w:rFonts w:ascii="Palatino Linotype" w:eastAsia="Palatino Linotype" w:hAnsi="Palatino Linotype" w:cs="Palatino Linotype"/>
          <w:i/>
        </w:rPr>
      </w:pPr>
    </w:p>
    <w:p w:rsidR="008B7B66" w:rsidRDefault="0006689C">
      <w:pPr>
        <w:spacing w:after="0" w:line="360" w:lineRule="auto"/>
        <w:ind w:left="567" w:right="567"/>
        <w:rPr>
          <w:rFonts w:ascii="Palatino Linotype" w:eastAsia="Palatino Linotype" w:hAnsi="Palatino Linotype" w:cs="Palatino Linotype"/>
          <w:b/>
        </w:rPr>
      </w:pPr>
      <w:r>
        <w:rPr>
          <w:rFonts w:ascii="Palatino Linotype" w:eastAsia="Palatino Linotype" w:hAnsi="Palatino Linotype" w:cs="Palatino Linotype"/>
          <w:b/>
        </w:rPr>
        <w:t>Solicitud con número de folio 00133/MELOCAM/IP/2022</w:t>
      </w:r>
    </w:p>
    <w:p w:rsidR="008B7B66" w:rsidRDefault="0006689C">
      <w:pPr>
        <w:spacing w:after="0" w:line="360" w:lineRule="auto"/>
        <w:ind w:left="567" w:right="567"/>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rsidR="008B7B66" w:rsidRDefault="0006689C">
      <w:pPr>
        <w:spacing w:after="0"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color w:val="000000"/>
        </w:rPr>
        <w:t>Se solicita el perfil que debe tener una persona que ocupe el cargo de SUBDIRECTOR DE NORMATIVIDAD Y CUENTA PUBLICA o sus homologas asi como sus funciones y infrome de actividades realizadas durante el primr semestre de esta adminsitracion</w:t>
      </w:r>
      <w:r>
        <w:rPr>
          <w:rFonts w:ascii="Palatino Linotype" w:eastAsia="Palatino Linotype" w:hAnsi="Palatino Linotype" w:cs="Palatino Linotype"/>
          <w:i/>
        </w:rPr>
        <w:t>” (Sic)</w:t>
      </w:r>
    </w:p>
    <w:p w:rsidR="008B7B66" w:rsidRDefault="008B7B66">
      <w:pPr>
        <w:spacing w:after="0" w:line="360" w:lineRule="auto"/>
        <w:ind w:left="567" w:right="567"/>
        <w:jc w:val="both"/>
        <w:rPr>
          <w:rFonts w:ascii="Palatino Linotype" w:eastAsia="Palatino Linotype" w:hAnsi="Palatino Linotype" w:cs="Palatino Linotype"/>
          <w:i/>
        </w:rPr>
      </w:pPr>
    </w:p>
    <w:p w:rsidR="008B7B66" w:rsidRDefault="0006689C">
      <w:pPr>
        <w:spacing w:after="0" w:line="360" w:lineRule="auto"/>
        <w:ind w:left="567" w:right="567"/>
        <w:rPr>
          <w:rFonts w:ascii="Palatino Linotype" w:eastAsia="Palatino Linotype" w:hAnsi="Palatino Linotype" w:cs="Palatino Linotype"/>
          <w:b/>
        </w:rPr>
      </w:pPr>
      <w:r>
        <w:rPr>
          <w:rFonts w:ascii="Palatino Linotype" w:eastAsia="Palatino Linotype" w:hAnsi="Palatino Linotype" w:cs="Palatino Linotype"/>
          <w:b/>
        </w:rPr>
        <w:t>Solicitud con número de folio 00162/MELOCAM/IP/2022</w:t>
      </w:r>
    </w:p>
    <w:p w:rsidR="008B7B66" w:rsidRDefault="0006689C">
      <w:pPr>
        <w:spacing w:after="0" w:line="360" w:lineRule="auto"/>
        <w:ind w:left="567" w:right="567"/>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rsidR="008B7B66" w:rsidRDefault="0006689C">
      <w:pPr>
        <w:spacing w:after="0"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color w:val="000000"/>
        </w:rPr>
        <w:t>Curriculum vitae de todos y cada uno de los trabajadore del ayuntamiento y dif Solicito la información me sea entregada via saimex Pido oficio de respuesta firmado y sellado por las áreas competentes para respuesta de mi solicitud Todo en versión publica, pero sin omitir documentación De manera eficaz y eficiente, así como documentos legibles Sabiendo que es un gobierno morenista no habrá corrupción y no negaran información</w:t>
      </w:r>
      <w:r>
        <w:rPr>
          <w:rFonts w:ascii="Palatino Linotype" w:eastAsia="Palatino Linotype" w:hAnsi="Palatino Linotype" w:cs="Palatino Linotype"/>
          <w:i/>
        </w:rPr>
        <w:t>” (Sic)</w:t>
      </w:r>
    </w:p>
    <w:p w:rsidR="008B7B66" w:rsidRDefault="008B7B66">
      <w:pPr>
        <w:spacing w:after="0" w:line="360" w:lineRule="auto"/>
        <w:ind w:right="-28"/>
        <w:jc w:val="both"/>
        <w:rPr>
          <w:rFonts w:ascii="Palatino Linotype" w:eastAsia="Palatino Linotype" w:hAnsi="Palatino Linotype" w:cs="Palatino Linotype"/>
          <w:sz w:val="24"/>
          <w:szCs w:val="24"/>
        </w:rPr>
      </w:pPr>
    </w:p>
    <w:p w:rsidR="008B7B66" w:rsidRPr="0006689C" w:rsidRDefault="0006689C">
      <w:pPr>
        <w:spacing w:after="0" w:line="360" w:lineRule="auto"/>
        <w:ind w:right="-28"/>
        <w:contextualSpacing/>
        <w:jc w:val="both"/>
        <w:rPr>
          <w:rFonts w:ascii="Palatino Linotype" w:eastAsia="Palatino Linotype" w:hAnsi="Palatino Linotype" w:cs="Palatino Linotype"/>
          <w:sz w:val="24"/>
          <w:szCs w:val="24"/>
        </w:rPr>
      </w:pPr>
      <w:r w:rsidRPr="0006689C">
        <w:rPr>
          <w:rFonts w:ascii="Palatino Linotype" w:eastAsia="Palatino Linotype" w:hAnsi="Palatino Linotype" w:cs="Palatino Linotype"/>
          <w:sz w:val="24"/>
          <w:szCs w:val="24"/>
        </w:rPr>
        <w:lastRenderedPageBreak/>
        <w:t xml:space="preserve">En respuesta, </w:t>
      </w:r>
      <w:r w:rsidRPr="0006689C">
        <w:rPr>
          <w:rFonts w:ascii="Palatino Linotype" w:eastAsia="Palatino Linotype" w:hAnsi="Palatino Linotype" w:cs="Palatino Linotype"/>
          <w:b/>
          <w:sz w:val="24"/>
          <w:szCs w:val="24"/>
        </w:rPr>
        <w:t>EL SUJETO OBLIGADO</w:t>
      </w:r>
      <w:r w:rsidRPr="0006689C">
        <w:rPr>
          <w:rFonts w:ascii="Palatino Linotype" w:eastAsia="Palatino Linotype" w:hAnsi="Palatino Linotype" w:cs="Palatino Linotype"/>
          <w:sz w:val="24"/>
          <w:szCs w:val="24"/>
        </w:rPr>
        <w:t>, notificó la respuesta a las solicitudes, a través del Sistema de Acceso a la Información Mexiquense (SAIMEX), mediante los documentos siguientes:</w:t>
      </w:r>
    </w:p>
    <w:p w:rsidR="008B7B66" w:rsidRDefault="008B7B66">
      <w:pPr>
        <w:spacing w:line="360" w:lineRule="auto"/>
        <w:ind w:right="539"/>
        <w:contextualSpacing/>
        <w:jc w:val="both"/>
        <w:rPr>
          <w:rFonts w:ascii="Palatino Linotype" w:eastAsia="Palatino Linotype" w:hAnsi="Palatino Linotype" w:cs="Palatino Linotype"/>
        </w:rPr>
      </w:pPr>
      <w:bookmarkStart w:id="2" w:name="_heading=h.gjdgxs" w:colFirst="0" w:colLast="0"/>
      <w:bookmarkEnd w:id="2"/>
    </w:p>
    <w:p w:rsidR="008B7B66" w:rsidRPr="0006689C" w:rsidRDefault="0006689C">
      <w:pPr>
        <w:spacing w:line="360" w:lineRule="auto"/>
        <w:ind w:right="539"/>
        <w:contextualSpacing/>
        <w:jc w:val="both"/>
        <w:rPr>
          <w:rFonts w:ascii="Palatino Linotype" w:eastAsia="Palatino Linotype" w:hAnsi="Palatino Linotype" w:cs="Palatino Linotype"/>
          <w:b/>
          <w:sz w:val="24"/>
        </w:rPr>
      </w:pPr>
      <w:r w:rsidRPr="0006689C">
        <w:rPr>
          <w:rFonts w:ascii="Palatino Linotype" w:eastAsia="Palatino Linotype" w:hAnsi="Palatino Linotype" w:cs="Palatino Linotype"/>
          <w:b/>
          <w:sz w:val="24"/>
        </w:rPr>
        <w:t xml:space="preserve">Solicitud </w:t>
      </w:r>
      <w:r w:rsidRPr="0006689C">
        <w:rPr>
          <w:rFonts w:ascii="Palatino Linotype" w:eastAsia="Palatino Linotype" w:hAnsi="Palatino Linotype" w:cs="Palatino Linotype"/>
          <w:b/>
          <w:color w:val="0D0D0D"/>
          <w:sz w:val="24"/>
        </w:rPr>
        <w:t>00206/MELOCAM/IP/2022</w:t>
      </w:r>
      <w:r w:rsidRPr="0006689C">
        <w:rPr>
          <w:rFonts w:ascii="Palatino Linotype" w:eastAsia="Palatino Linotype" w:hAnsi="Palatino Linotype" w:cs="Palatino Linotype"/>
          <w:b/>
          <w:sz w:val="24"/>
        </w:rPr>
        <w:t>:</w:t>
      </w:r>
    </w:p>
    <w:p w:rsidR="008B7B66" w:rsidRPr="0006689C" w:rsidRDefault="0006689C">
      <w:pPr>
        <w:spacing w:line="360" w:lineRule="auto"/>
        <w:jc w:val="both"/>
        <w:rPr>
          <w:rFonts w:ascii="Palatino Linotype" w:eastAsia="Palatino Linotype" w:hAnsi="Palatino Linotype" w:cs="Palatino Linotype"/>
          <w:sz w:val="24"/>
        </w:rPr>
      </w:pPr>
      <w:bookmarkStart w:id="3" w:name="_heading=h.30j0zll" w:colFirst="0" w:colLast="0"/>
      <w:bookmarkEnd w:id="3"/>
      <w:r w:rsidRPr="0006689C">
        <w:rPr>
          <w:rFonts w:ascii="Palatino Linotype" w:eastAsia="Palatino Linotype" w:hAnsi="Palatino Linotype" w:cs="Palatino Linotype"/>
          <w:sz w:val="24"/>
        </w:rPr>
        <w:t>i) Oficio número ADMON/DG170/2022, del cuatro de septiembre de dos mil veintidós, suscrito por la Directora de Administración y dirigido al Titular de la Unidad de Transparencia por medio del cual menciona lo siguiente:</w:t>
      </w:r>
    </w:p>
    <w:p w:rsidR="008B7B66" w:rsidRDefault="008B7B66">
      <w:pPr>
        <w:pBdr>
          <w:top w:val="nil"/>
          <w:left w:val="nil"/>
          <w:bottom w:val="nil"/>
          <w:right w:val="nil"/>
          <w:between w:val="nil"/>
        </w:pBdr>
        <w:spacing w:after="0" w:line="360" w:lineRule="auto"/>
        <w:ind w:left="1080" w:right="539"/>
        <w:jc w:val="both"/>
        <w:rPr>
          <w:rFonts w:ascii="Palatino Linotype" w:eastAsia="Palatino Linotype" w:hAnsi="Palatino Linotype" w:cs="Palatino Linotype"/>
          <w:color w:val="000000"/>
          <w:sz w:val="24"/>
          <w:szCs w:val="24"/>
        </w:rPr>
      </w:pPr>
    </w:p>
    <w:p w:rsidR="008B7B66" w:rsidRDefault="0006689C">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p>
    <w:p w:rsidR="008B7B66" w:rsidRDefault="0006689C">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Al respecto, le comento que de la revisión de la solicitud de información publica de merito, se desprende el hecho de que “el particular” requiere le sea proporcionada diversa información, misma que se encuentra plasmada en múltiples documentos que, por su naturaleza, contienen además datos personales y/o sensibles, cuyo tratamiento es mayormente riguroso, por lo que su acceso es exclusivo de su titular…</w:t>
      </w:r>
    </w:p>
    <w:p w:rsidR="008B7B66" w:rsidRDefault="008B7B66">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sz w:val="20"/>
          <w:szCs w:val="20"/>
        </w:rPr>
      </w:pPr>
    </w:p>
    <w:p w:rsidR="008B7B66" w:rsidRDefault="0006689C">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En atención a lo anterior, es necesario llevar a cabo una minuciosa revisión en el archivo y bases de datos con que se cuenta en esta Dirección de Administración, asi como de las unidades administrativas adscritas a efecto que verifica la existencia de la información requerida, asi como de cada documento localizado que pudiera contener la información solicitada y someterla a un proceso de disociación, para después fotocopiar y/o digitalizar los documentos que se trate y reintegrarlos de nuyeva cuenta a suligar para posteriormente revisar y elaborar en su caso la versión pública, ello en atención a lo dispuesto en los artículos 3 fracción XLV, 52 y 137 de la Ley de la materia; si bien es cierto que la cantidad de información a procesar para la presente solicitud pudiera no sobrepasar los limites de lo posible para su cumplimentación, lo es también que en conjunto con las múltiples solicitudes recibidas en la misma fecha, aunado a las diversas </w:t>
      </w:r>
      <w:r>
        <w:rPr>
          <w:rFonts w:ascii="Palatino Linotype" w:eastAsia="Palatino Linotype" w:hAnsi="Palatino Linotype" w:cs="Palatino Linotype"/>
          <w:i/>
          <w:color w:val="000000"/>
          <w:sz w:val="20"/>
          <w:szCs w:val="20"/>
        </w:rPr>
        <w:lastRenderedPageBreak/>
        <w:t xml:space="preserve">actividades propias del área, dificultan sobremanera los trabajos necesarios para su debida atención, pues implica un importante consumo de recursos materiales y/o humanos, lo que consecuentemente nos impide atender la solicitud que nos ocupa dentro del tiempo que establece el artículo 163 de la Ley de Transparencia local, incluidos los hasta 7 días adicionales por concepto de prórroga; luego entonces, esta Dirección de Administración consideró viable el </w:t>
      </w:r>
      <w:r>
        <w:rPr>
          <w:rFonts w:ascii="Palatino Linotype" w:eastAsia="Palatino Linotype" w:hAnsi="Palatino Linotype" w:cs="Palatino Linotype"/>
          <w:i/>
          <w:color w:val="000000"/>
          <w:sz w:val="20"/>
          <w:szCs w:val="20"/>
          <w:u w:val="single"/>
        </w:rPr>
        <w:t>cambio de modalidad de</w:t>
      </w:r>
      <w:r>
        <w:rPr>
          <w:rFonts w:ascii="Palatino Linotype" w:eastAsia="Palatino Linotype" w:hAnsi="Palatino Linotype" w:cs="Palatino Linotype"/>
          <w:i/>
          <w:color w:val="000000"/>
          <w:sz w:val="20"/>
          <w:szCs w:val="20"/>
        </w:rPr>
        <w:t xml:space="preserve"> entrega de información, lo anterior, toda vez que es facultad de este sujeto obligado el determinar el cambio de modalidad, siempre que se ajuste a lo dispuesto en el artículo 158 de la Ley de la materia, por lo que solicito a usted tenga a bien informar a quien corresponda tal determinación, a razón de lo anterior se señalan los días 29 y 30 de septiembre y 6 y 7  de octubre del presente año para la </w:t>
      </w:r>
      <w:r>
        <w:rPr>
          <w:rFonts w:ascii="Palatino Linotype" w:eastAsia="Palatino Linotype" w:hAnsi="Palatino Linotype" w:cs="Palatino Linotype"/>
          <w:i/>
          <w:color w:val="000000"/>
          <w:sz w:val="20"/>
          <w:szCs w:val="20"/>
          <w:u w:val="single"/>
        </w:rPr>
        <w:t>Consulta Directa</w:t>
      </w:r>
      <w:r>
        <w:rPr>
          <w:rFonts w:ascii="Palatino Linotype" w:eastAsia="Palatino Linotype" w:hAnsi="Palatino Linotype" w:cs="Palatino Linotype"/>
          <w:i/>
          <w:color w:val="000000"/>
          <w:sz w:val="20"/>
          <w:szCs w:val="20"/>
        </w:rPr>
        <w:t xml:space="preserve"> de la Información, en un horario de 9:00 a 15:00 horas, en las oficinas que ocupa la Dirección de Administración, cito en  C. Adolfo Lopez Mateos No. 72, Barrio Señor de los Milagros, Melchor Ocampo, Estado de México, C. P. 54880, interior del Palacio Municipal, en donde el particular será atendido por el C. Jorge Valdez Vera, servidor publico habilitado de esta Dependencia; no omito mencionar que el particular deberá apersonarse en las oficinas antes señaladas, con copia certificada oficial vigente y original, para su cotejo, a efecto de dejar constancia en la que se describan los hechos, autos o circunstancias del proceso administrativo a desarrollar, además </w:t>
      </w:r>
      <w:r>
        <w:rPr>
          <w:rFonts w:ascii="Palatino Linotype" w:eastAsia="Palatino Linotype" w:hAnsi="Palatino Linotype" w:cs="Palatino Linotype"/>
          <w:i/>
          <w:color w:val="000000"/>
          <w:sz w:val="20"/>
          <w:szCs w:val="20"/>
          <w:u w:val="single"/>
        </w:rPr>
        <w:t>de un dispositivo de almacenamiento</w:t>
      </w:r>
      <w:r>
        <w:rPr>
          <w:rFonts w:ascii="Palatino Linotype" w:eastAsia="Palatino Linotype" w:hAnsi="Palatino Linotype" w:cs="Palatino Linotype"/>
          <w:i/>
          <w:color w:val="000000"/>
          <w:sz w:val="20"/>
          <w:szCs w:val="20"/>
        </w:rPr>
        <w:t xml:space="preserve"> para el caso de requerir le sea proporcionada la información en medio magnético; por último, le comento que se dejan a salvo los derechos del particular a efecto de que de considerarlo pertinente realice de nueva cuenta la solicitud objeto del presente, o de interponer el recurso previsto en la Ley de la Materia si no estuviere conforme, esto en un plazo de 15 días posteriores a la notificación de este. </w:t>
      </w:r>
    </w:p>
    <w:p w:rsidR="008B7B66" w:rsidRDefault="0006689C">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p>
    <w:p w:rsidR="008B7B66" w:rsidRDefault="008B7B66">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sz w:val="20"/>
          <w:szCs w:val="20"/>
        </w:rPr>
      </w:pPr>
    </w:p>
    <w:p w:rsidR="008B7B66" w:rsidRDefault="0006689C">
      <w:pPr>
        <w:spacing w:line="360" w:lineRule="auto"/>
        <w:ind w:right="539"/>
        <w:jc w:val="both"/>
        <w:rPr>
          <w:rFonts w:ascii="Palatino Linotype" w:eastAsia="Palatino Linotype" w:hAnsi="Palatino Linotype" w:cs="Palatino Linotype"/>
          <w:b/>
        </w:rPr>
      </w:pPr>
      <w:r>
        <w:rPr>
          <w:rFonts w:ascii="Palatino Linotype" w:eastAsia="Palatino Linotype" w:hAnsi="Palatino Linotype" w:cs="Palatino Linotype"/>
          <w:b/>
        </w:rPr>
        <w:t xml:space="preserve">Solicitud </w:t>
      </w:r>
      <w:r>
        <w:rPr>
          <w:rFonts w:ascii="Palatino Linotype" w:eastAsia="Palatino Linotype" w:hAnsi="Palatino Linotype" w:cs="Palatino Linotype"/>
          <w:b/>
          <w:color w:val="0D0D0D"/>
        </w:rPr>
        <w:t>00133/MELOCAM/IP/2022</w:t>
      </w:r>
      <w:r>
        <w:rPr>
          <w:rFonts w:ascii="Palatino Linotype" w:eastAsia="Palatino Linotype" w:hAnsi="Palatino Linotype" w:cs="Palatino Linotype"/>
          <w:b/>
        </w:rPr>
        <w:t>:</w:t>
      </w:r>
    </w:p>
    <w:p w:rsidR="008B7B66" w:rsidRDefault="000668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 Oficio número ADMON/DG155/2022, del cuatro de septiembre de dos mil veintidós, suscrito por la Directora de Administración y dirigido al Titular de la Unidad de Transparencia por medio del cual menciona lo siguiente:</w:t>
      </w:r>
    </w:p>
    <w:p w:rsidR="008B7B66" w:rsidRDefault="008B7B66">
      <w:pPr>
        <w:pBdr>
          <w:top w:val="nil"/>
          <w:left w:val="nil"/>
          <w:bottom w:val="nil"/>
          <w:right w:val="nil"/>
          <w:between w:val="nil"/>
        </w:pBdr>
        <w:spacing w:after="0" w:line="360" w:lineRule="auto"/>
        <w:ind w:left="1080" w:right="539"/>
        <w:jc w:val="both"/>
        <w:rPr>
          <w:rFonts w:ascii="Palatino Linotype" w:eastAsia="Palatino Linotype" w:hAnsi="Palatino Linotype" w:cs="Palatino Linotype"/>
          <w:color w:val="000000"/>
          <w:sz w:val="24"/>
          <w:szCs w:val="24"/>
        </w:rPr>
      </w:pPr>
    </w:p>
    <w:p w:rsidR="008B7B66" w:rsidRDefault="0006689C">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p>
    <w:p w:rsidR="008B7B66" w:rsidRDefault="0006689C">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Al respecto, le comento que de la revisión de la solicitud de información pública de mérito, se desprende el hecho de que “el particular” requiere le sea proporcionada diversa información, misma que se encuentra plasmada en múltiples documentos que, por su naturaleza, contienen además datos personales y/o sensibles, cuyo tratamiento es mayormente riguroso, por lo que su acceso es exclusivo de su titular…</w:t>
      </w:r>
    </w:p>
    <w:p w:rsidR="008B7B66" w:rsidRDefault="008B7B66">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sz w:val="20"/>
          <w:szCs w:val="20"/>
        </w:rPr>
      </w:pPr>
    </w:p>
    <w:p w:rsidR="008B7B66" w:rsidRDefault="0006689C">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En atención a lo anterior, es necesario llevar a cabo una minuciosa revisión en el archivo y bases de datos con que se cuenta en esta Dirección de Administración, así como de las unidades administrativas adscritas a efecto que verifica la existencia de la información requerida, así como de cada documento localizado que pudiera contener la información solicitada y someterla a un proceso de disociación, para después fotocopiar y/o digitalizar los documentos que se trate y reintegrarlos de nueva cuenta a su lugar para posteriormente revisar y elaborar en su caso la versión pública, ello en atención a lo dispuesto en los artículos 3 fracción XLV, 52 y 137 de la Ley de la materia; si bien es cierto que la cantidad de información a procesar para la presente solicitud pudiera no sobrepasar los límites de lo posible para su cumplimentación, lo es también que en conjunto con las múltiples solicitudes recibidas en la misma fecha, aunado a las diversas actividades propias del área, dificultan sobremanera los trabajos necesarios para su debida atención, pues implica un importante consumo de recursos materiales y/o humanos, lo que consecuentemente nos impide atender la solicitud que nos ocupa dentro del tiempo que establece el artículo 163 de la Ley de Transparencia local, incluidos los hasta 7 días adicionales por concepto de prórroga; luego entonces, esta Dirección de Administración consideró viable el </w:t>
      </w:r>
      <w:r>
        <w:rPr>
          <w:rFonts w:ascii="Palatino Linotype" w:eastAsia="Palatino Linotype" w:hAnsi="Palatino Linotype" w:cs="Palatino Linotype"/>
          <w:i/>
          <w:color w:val="000000"/>
          <w:sz w:val="20"/>
          <w:szCs w:val="20"/>
          <w:u w:val="single"/>
        </w:rPr>
        <w:t>cambio de modalidad de</w:t>
      </w:r>
      <w:r>
        <w:rPr>
          <w:rFonts w:ascii="Palatino Linotype" w:eastAsia="Palatino Linotype" w:hAnsi="Palatino Linotype" w:cs="Palatino Linotype"/>
          <w:i/>
          <w:color w:val="000000"/>
          <w:sz w:val="20"/>
          <w:szCs w:val="20"/>
        </w:rPr>
        <w:t xml:space="preserve"> entrega de información, lo anterior, toda vez que es facultad de este sujeto obligado el determinar el cambio de modalidad, siempre que se ajuste a lo dispuesto en el artículo 158 de la Ley de la materia, por lo que solicito a usted tenga a bien informar a quien corresponda tal determinación, a razón de lo anterior se señalan los días 29 y 30 de septiembre y 6 y 7  de octubre del presente año para la </w:t>
      </w:r>
      <w:r>
        <w:rPr>
          <w:rFonts w:ascii="Palatino Linotype" w:eastAsia="Palatino Linotype" w:hAnsi="Palatino Linotype" w:cs="Palatino Linotype"/>
          <w:i/>
          <w:color w:val="000000"/>
          <w:sz w:val="20"/>
          <w:szCs w:val="20"/>
          <w:u w:val="single"/>
        </w:rPr>
        <w:t>Consulta Directa</w:t>
      </w:r>
      <w:r>
        <w:rPr>
          <w:rFonts w:ascii="Palatino Linotype" w:eastAsia="Palatino Linotype" w:hAnsi="Palatino Linotype" w:cs="Palatino Linotype"/>
          <w:i/>
          <w:color w:val="000000"/>
          <w:sz w:val="20"/>
          <w:szCs w:val="20"/>
        </w:rPr>
        <w:t xml:space="preserve"> de la Información, en un horario de 9:00 a 15:00 horas, </w:t>
      </w:r>
      <w:r>
        <w:rPr>
          <w:rFonts w:ascii="Palatino Linotype" w:eastAsia="Palatino Linotype" w:hAnsi="Palatino Linotype" w:cs="Palatino Linotype"/>
          <w:i/>
          <w:color w:val="000000"/>
          <w:sz w:val="20"/>
          <w:szCs w:val="20"/>
        </w:rPr>
        <w:lastRenderedPageBreak/>
        <w:t xml:space="preserve">en las oficinas que ocupa la Dirección de Administración, cito en  C. Adolfo Lopez Mateos No. 72, Barrio Señor de los Milagros, Melchor Ocampo, Estado de México, C. P. 54880, interior del Palacio Municipal, en donde el particular será atendido por el C. Jorge Valdez Vera, servidor publico habilitado de esta Dependencia; no omito mencionar que el particular deberá apersonarse en las oficinas antes señaladas, con copia certificada oficial vigente y original, para su cotejo, a efecto de dejar constancia en la que se describan los hechos, autos o circunstancias del proceso administrativo a desarrollar, además </w:t>
      </w:r>
      <w:r>
        <w:rPr>
          <w:rFonts w:ascii="Palatino Linotype" w:eastAsia="Palatino Linotype" w:hAnsi="Palatino Linotype" w:cs="Palatino Linotype"/>
          <w:i/>
          <w:color w:val="000000"/>
          <w:sz w:val="20"/>
          <w:szCs w:val="20"/>
          <w:u w:val="single"/>
        </w:rPr>
        <w:t>de un dispositivo de almacenamiento</w:t>
      </w:r>
      <w:r>
        <w:rPr>
          <w:rFonts w:ascii="Palatino Linotype" w:eastAsia="Palatino Linotype" w:hAnsi="Palatino Linotype" w:cs="Palatino Linotype"/>
          <w:i/>
          <w:color w:val="000000"/>
          <w:sz w:val="20"/>
          <w:szCs w:val="20"/>
        </w:rPr>
        <w:t xml:space="preserve"> para el caso de requerir le sea proporcionada la información en medio magnético; por último, le comento que se dejan a salvo los derechos del particular a efecto de que de considerarlo pertinente realice de nueva cuenta la solicitud objeto del presente, o de interponer el recurso previsto en la Ley de la Materia si no estuviere conforme, esto en un plazo de 15 días posteriores a la notificación de este. </w:t>
      </w:r>
    </w:p>
    <w:p w:rsidR="008B7B66" w:rsidRDefault="0006689C">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p>
    <w:p w:rsidR="008B7B66" w:rsidRDefault="008B7B66">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sz w:val="20"/>
          <w:szCs w:val="20"/>
        </w:rPr>
      </w:pPr>
    </w:p>
    <w:p w:rsidR="008B7B66" w:rsidRDefault="0006689C">
      <w:pPr>
        <w:spacing w:line="360" w:lineRule="auto"/>
        <w:ind w:right="539"/>
        <w:jc w:val="both"/>
        <w:rPr>
          <w:rFonts w:ascii="Palatino Linotype" w:eastAsia="Palatino Linotype" w:hAnsi="Palatino Linotype" w:cs="Palatino Linotype"/>
          <w:b/>
        </w:rPr>
      </w:pPr>
      <w:r>
        <w:rPr>
          <w:rFonts w:ascii="Palatino Linotype" w:eastAsia="Palatino Linotype" w:hAnsi="Palatino Linotype" w:cs="Palatino Linotype"/>
          <w:b/>
        </w:rPr>
        <w:t xml:space="preserve">Solicitud </w:t>
      </w:r>
      <w:r>
        <w:rPr>
          <w:rFonts w:ascii="Palatino Linotype" w:eastAsia="Palatino Linotype" w:hAnsi="Palatino Linotype" w:cs="Palatino Linotype"/>
          <w:b/>
          <w:color w:val="0D0D0D"/>
        </w:rPr>
        <w:t>00162/MELOCAM/IP/2022</w:t>
      </w:r>
      <w:r>
        <w:rPr>
          <w:rFonts w:ascii="Palatino Linotype" w:eastAsia="Palatino Linotype" w:hAnsi="Palatino Linotype" w:cs="Palatino Linotype"/>
          <w:b/>
        </w:rPr>
        <w:t>:</w:t>
      </w:r>
    </w:p>
    <w:p w:rsidR="008B7B66" w:rsidRDefault="000668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 Oficio número ADMON/DG165/2022, del cuatro de septiembre de dos mil veintidós, suscrito por la Directora de Administración y dirigido al Titular de la Unidad de Transparencia por medio del cual menciona lo siguiente:</w:t>
      </w:r>
    </w:p>
    <w:p w:rsidR="008B7B66" w:rsidRDefault="0006689C">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p>
    <w:p w:rsidR="008B7B66" w:rsidRDefault="0006689C">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Al respecto, le comento que de la revisión de la solicitud de información publica de merito, se desprende el hecho de que “el particular” requiere le sea proporcionada diversa información, misma que se encuentra plasmada en múltiples documentos que, por su naturaleza, contienen además datos personales y/o sensibles, cuyo tratamiento es mayormente riguroso, por lo que su acceso es exclusivo de su titular…</w:t>
      </w:r>
    </w:p>
    <w:p w:rsidR="008B7B66" w:rsidRDefault="0006689C">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En atención a lo anterior, es necesario llevar a cabo una minuciosa revisión en el archivo y bases de datos con que se cuenta en esta Dirección de Administración, asi como de las unidades administrativas adscritas a efecto que verifica la existencia de la información requerida, asi como de cada documento localizado que pudiera contener la información solicitada y someterla a un </w:t>
      </w:r>
      <w:r>
        <w:rPr>
          <w:rFonts w:ascii="Palatino Linotype" w:eastAsia="Palatino Linotype" w:hAnsi="Palatino Linotype" w:cs="Palatino Linotype"/>
          <w:i/>
          <w:color w:val="000000"/>
          <w:sz w:val="20"/>
          <w:szCs w:val="20"/>
        </w:rPr>
        <w:lastRenderedPageBreak/>
        <w:t xml:space="preserve">proceso de disociación, para después fotocopiar y/o digitalizar los documentos que se trate y reintegrarlos de nuyeva cuenta a suligar para posteriormente revisar y elaborar en su caso la versión pública, ello en atención a lo dispuesto en los artículos 3 fracción XLV, 52 y 137 de la Ley de la materia; si bien es cierto que la cantidad de información a procesar para la presente solicitud pudiera no sobrepasar los limites de lo posible para su cumplimentación, lo es también que en conjunto con las múltiples solicitudes recibidas en la misma fecha, aunado a las diversas actividades propias del área, dificultan sobremanera los trabajos necesarios para su debida atención, pues implica un importante consumo de recursos materiales y/o humanos, lo que consecuentemente nos impide atender la solicitud que nos ocupa dentro del tiempo que establece el artículo 163 de la Ley de Transparencia local, incluidos los hasta 7 días adicionales por concepto de prórroga; luego entonces, esta Dirección de Administración consideró viable el </w:t>
      </w:r>
      <w:r>
        <w:rPr>
          <w:rFonts w:ascii="Palatino Linotype" w:eastAsia="Palatino Linotype" w:hAnsi="Palatino Linotype" w:cs="Palatino Linotype"/>
          <w:i/>
          <w:color w:val="000000"/>
          <w:sz w:val="20"/>
          <w:szCs w:val="20"/>
          <w:u w:val="single"/>
        </w:rPr>
        <w:t>cambio de modalidad de</w:t>
      </w:r>
      <w:r>
        <w:rPr>
          <w:rFonts w:ascii="Palatino Linotype" w:eastAsia="Palatino Linotype" w:hAnsi="Palatino Linotype" w:cs="Palatino Linotype"/>
          <w:i/>
          <w:color w:val="000000"/>
          <w:sz w:val="20"/>
          <w:szCs w:val="20"/>
        </w:rPr>
        <w:t xml:space="preserve"> entrega de información, lo anterior, toda vez que es facultad de este sujeto obligado el determinar el cambio de modalidad, siempre que se ajuste a lo dispuesto en el artículo 158 de la Ley de la materia, por lo que solicito a usted tenga a bien informar a quien corresponda tal determinación, a razón de lo anterior se señalan los días 29 y 30 de septiembre y 6 y 7  de octubre del presente año para la </w:t>
      </w:r>
      <w:r>
        <w:rPr>
          <w:rFonts w:ascii="Palatino Linotype" w:eastAsia="Palatino Linotype" w:hAnsi="Palatino Linotype" w:cs="Palatino Linotype"/>
          <w:i/>
          <w:color w:val="000000"/>
          <w:sz w:val="20"/>
          <w:szCs w:val="20"/>
          <w:u w:val="single"/>
        </w:rPr>
        <w:t>Consulta Directa</w:t>
      </w:r>
      <w:r>
        <w:rPr>
          <w:rFonts w:ascii="Palatino Linotype" w:eastAsia="Palatino Linotype" w:hAnsi="Palatino Linotype" w:cs="Palatino Linotype"/>
          <w:i/>
          <w:color w:val="000000"/>
          <w:sz w:val="20"/>
          <w:szCs w:val="20"/>
        </w:rPr>
        <w:t xml:space="preserve"> de la Información, en un horario de 9:00 a 15:00 horas, en las oficinas que ocupa la Dirección de Administración, cito en  C. Adolfo Lopez Mateos No. 72, Barrio Señor de los Milagros, Melchor Ocampo, Estado de México, C. P. 54880, interior del Palacio Municipal, en donde el particular será atendido por el C. Jorge Valdez Vera, servidor publico habilitado de esta Dependencia; no omito mencionar que el particular deberá apersonarse en las oficinas antes señaladas, con copia certificada oficial vigente y original, para su cotejo, a efecto de dejar constancia en la que se describan los hechos, autos o circunstancias del proceso administrativo a desarrollar, además </w:t>
      </w:r>
      <w:r>
        <w:rPr>
          <w:rFonts w:ascii="Palatino Linotype" w:eastAsia="Palatino Linotype" w:hAnsi="Palatino Linotype" w:cs="Palatino Linotype"/>
          <w:i/>
          <w:color w:val="000000"/>
          <w:sz w:val="20"/>
          <w:szCs w:val="20"/>
          <w:u w:val="single"/>
        </w:rPr>
        <w:t>de un dispositivo de almacenamiento</w:t>
      </w:r>
      <w:r>
        <w:rPr>
          <w:rFonts w:ascii="Palatino Linotype" w:eastAsia="Palatino Linotype" w:hAnsi="Palatino Linotype" w:cs="Palatino Linotype"/>
          <w:i/>
          <w:color w:val="000000"/>
          <w:sz w:val="20"/>
          <w:szCs w:val="20"/>
        </w:rPr>
        <w:t xml:space="preserve"> para el caso de requerir le sea proporcionada la información en medio magnético; por último, le comento que se dejan a salvo los derechos del particular a efecto de que de considerarlo pertinente realice de nueva cuenta la solicitud objeto del presente, o de interponer el recurso previsto en la Ley de la Materia si no estuviere conforme, esto en un plazo de 15 días posteriores a la notificación de este. </w:t>
      </w:r>
    </w:p>
    <w:p w:rsidR="008B7B66" w:rsidRDefault="0006689C">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p>
    <w:p w:rsidR="008B7B66" w:rsidRDefault="000668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ii) Catorce Currículum Vitae de lo Servidores Públicos adscritos al Sistema Municipal para el Desarrollo Integral de la Familia de Melchor Ocampo. </w:t>
      </w:r>
    </w:p>
    <w:p w:rsidR="008B7B66" w:rsidRDefault="008B7B66">
      <w:pPr>
        <w:spacing w:after="0" w:line="360" w:lineRule="auto"/>
        <w:ind w:right="-28"/>
        <w:jc w:val="both"/>
        <w:rPr>
          <w:rFonts w:ascii="Palatino Linotype" w:eastAsia="Palatino Linotype" w:hAnsi="Palatino Linotype" w:cs="Palatino Linotype"/>
          <w:i/>
          <w:sz w:val="24"/>
          <w:szCs w:val="24"/>
        </w:rPr>
      </w:pPr>
    </w:p>
    <w:p w:rsidR="008B7B66" w:rsidRDefault="0006689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del Sujeto Obligado,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interpuso los medios de impugnación citados al rubro, expresando lo siguiente:</w:t>
      </w:r>
    </w:p>
    <w:p w:rsidR="008B7B66" w:rsidRDefault="008B7B66">
      <w:pPr>
        <w:spacing w:after="0" w:line="360" w:lineRule="auto"/>
        <w:jc w:val="both"/>
        <w:rPr>
          <w:rFonts w:ascii="Palatino Linotype" w:eastAsia="Palatino Linotype" w:hAnsi="Palatino Linotype" w:cs="Palatino Linotype"/>
          <w:sz w:val="24"/>
          <w:szCs w:val="24"/>
        </w:rPr>
      </w:pPr>
    </w:p>
    <w:p w:rsidR="008B7B66" w:rsidRDefault="0006689C">
      <w:pPr>
        <w:spacing w:after="0" w:line="360" w:lineRule="auto"/>
        <w:ind w:left="567" w:right="567"/>
        <w:rPr>
          <w:rFonts w:ascii="Palatino Linotype" w:eastAsia="Palatino Linotype" w:hAnsi="Palatino Linotype" w:cs="Palatino Linotype"/>
          <w:b/>
        </w:rPr>
      </w:pPr>
      <w:r>
        <w:rPr>
          <w:rFonts w:ascii="Palatino Linotype" w:eastAsia="Palatino Linotype" w:hAnsi="Palatino Linotype" w:cs="Palatino Linotype"/>
          <w:b/>
        </w:rPr>
        <w:t>Solicitud con número de folio 00206/MELOCAM/IP/2022 referente al Medio de Impugnación 14566/INFOEM/IP/RR/2022</w:t>
      </w:r>
    </w:p>
    <w:p w:rsidR="008B7B66" w:rsidRDefault="0006689C">
      <w:pPr>
        <w:spacing w:after="0" w:line="360" w:lineRule="auto"/>
        <w:ind w:left="567" w:right="567"/>
        <w:rPr>
          <w:rFonts w:ascii="Palatino Linotype" w:eastAsia="Palatino Linotype" w:hAnsi="Palatino Linotype" w:cs="Palatino Linotype"/>
          <w:b/>
          <w:i/>
        </w:rPr>
      </w:pPr>
      <w:r>
        <w:rPr>
          <w:rFonts w:ascii="Palatino Linotype" w:eastAsia="Palatino Linotype" w:hAnsi="Palatino Linotype" w:cs="Palatino Linotype"/>
          <w:b/>
          <w:i/>
        </w:rPr>
        <w:t>“ACTO IMPUGNADO</w:t>
      </w:r>
    </w:p>
    <w:p w:rsidR="008B7B66" w:rsidRDefault="0006689C">
      <w:pPr>
        <w:tabs>
          <w:tab w:val="left" w:pos="4667"/>
        </w:tabs>
        <w:spacing w:line="360" w:lineRule="auto"/>
        <w:ind w:left="567" w:right="567"/>
        <w:rPr>
          <w:rFonts w:ascii="Palatino Linotype" w:eastAsia="Palatino Linotype" w:hAnsi="Palatino Linotype" w:cs="Palatino Linotype"/>
          <w:i/>
        </w:rPr>
      </w:pPr>
      <w:r>
        <w:rPr>
          <w:rFonts w:ascii="Palatino Linotype" w:eastAsia="Palatino Linotype" w:hAnsi="Palatino Linotype" w:cs="Palatino Linotype"/>
          <w:i/>
          <w:color w:val="000000"/>
        </w:rPr>
        <w:t>Mucha estrategia para negar la información, primero solicitan aclaración, misma que se realizó, después se aprueban una prorroga y además sin pasar por comité, solo a decisión del de la unidad, ganando más tiempo y al final niegan la información cambiando a modalidad con pretextos absurdo</w:t>
      </w:r>
      <w:r>
        <w:rPr>
          <w:rFonts w:ascii="Palatino Linotype" w:eastAsia="Palatino Linotype" w:hAnsi="Palatino Linotype" w:cs="Palatino Linotype"/>
          <w:i/>
        </w:rPr>
        <w:t>” (Sic.)</w:t>
      </w:r>
    </w:p>
    <w:p w:rsidR="008B7B66" w:rsidRDefault="008B7B66">
      <w:pPr>
        <w:tabs>
          <w:tab w:val="left" w:pos="4667"/>
        </w:tabs>
        <w:spacing w:line="360" w:lineRule="auto"/>
        <w:ind w:left="567" w:right="567"/>
        <w:rPr>
          <w:rFonts w:ascii="Palatino Linotype" w:eastAsia="Palatino Linotype" w:hAnsi="Palatino Linotype" w:cs="Palatino Linotype"/>
          <w:i/>
        </w:rPr>
      </w:pPr>
    </w:p>
    <w:p w:rsidR="008B7B66" w:rsidRDefault="0006689C">
      <w:pPr>
        <w:tabs>
          <w:tab w:val="left" w:pos="4667"/>
        </w:tabs>
        <w:spacing w:line="360" w:lineRule="auto"/>
        <w:ind w:left="567" w:right="567"/>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rsidR="008B7B66" w:rsidRDefault="0006689C">
      <w:pPr>
        <w:tabs>
          <w:tab w:val="left" w:pos="4667"/>
        </w:tabs>
        <w:spacing w:line="360" w:lineRule="auto"/>
        <w:ind w:left="567" w:right="567"/>
        <w:rPr>
          <w:rFonts w:ascii="Palatino Linotype" w:eastAsia="Palatino Linotype" w:hAnsi="Palatino Linotype" w:cs="Palatino Linotype"/>
          <w:i/>
        </w:rPr>
      </w:pPr>
      <w:r>
        <w:rPr>
          <w:rFonts w:ascii="Palatino Linotype" w:eastAsia="Palatino Linotype" w:hAnsi="Palatino Linotype" w:cs="Palatino Linotype"/>
          <w:i/>
          <w:color w:val="000000"/>
        </w:rPr>
        <w:t>Mucha estrategia para negar la información, primero solicitan aclaración, misma que se realizó, después se aprueban una prorroga y además sin pasar por comité, solo a decisión del de la unidad, ganando más tiempo y al final niegan la información cambiando a modalidad con pretextos absurdo</w:t>
      </w:r>
      <w:r>
        <w:rPr>
          <w:rFonts w:ascii="Palatino Linotype" w:eastAsia="Palatino Linotype" w:hAnsi="Palatino Linotype" w:cs="Palatino Linotype"/>
          <w:i/>
        </w:rPr>
        <w:t>” (Sic.)</w:t>
      </w:r>
    </w:p>
    <w:p w:rsidR="008B7B66" w:rsidRDefault="008B7B66">
      <w:pPr>
        <w:tabs>
          <w:tab w:val="left" w:pos="4667"/>
        </w:tabs>
        <w:spacing w:line="360" w:lineRule="auto"/>
        <w:ind w:left="567" w:right="567"/>
        <w:rPr>
          <w:rFonts w:ascii="Palatino Linotype" w:eastAsia="Palatino Linotype" w:hAnsi="Palatino Linotype" w:cs="Palatino Linotype"/>
          <w:i/>
        </w:rPr>
      </w:pPr>
    </w:p>
    <w:p w:rsidR="008B7B66" w:rsidRDefault="0006689C">
      <w:pPr>
        <w:spacing w:after="0" w:line="360" w:lineRule="auto"/>
        <w:ind w:left="567" w:right="567"/>
        <w:rPr>
          <w:rFonts w:ascii="Palatino Linotype" w:eastAsia="Palatino Linotype" w:hAnsi="Palatino Linotype" w:cs="Palatino Linotype"/>
          <w:b/>
        </w:rPr>
      </w:pPr>
      <w:r>
        <w:rPr>
          <w:rFonts w:ascii="Palatino Linotype" w:eastAsia="Palatino Linotype" w:hAnsi="Palatino Linotype" w:cs="Palatino Linotype"/>
          <w:b/>
        </w:rPr>
        <w:t>Solicitud con número de folio 00133/MELOCAM/IP/2022 referente al Medio de Impugnación 14569/INFOEM/IP/RR/2022</w:t>
      </w:r>
    </w:p>
    <w:p w:rsidR="008B7B66" w:rsidRDefault="0006689C">
      <w:pPr>
        <w:spacing w:after="0" w:line="360" w:lineRule="auto"/>
        <w:ind w:left="567" w:right="567"/>
        <w:rPr>
          <w:rFonts w:ascii="Palatino Linotype" w:eastAsia="Palatino Linotype" w:hAnsi="Palatino Linotype" w:cs="Palatino Linotype"/>
          <w:b/>
          <w:i/>
        </w:rPr>
      </w:pPr>
      <w:r>
        <w:rPr>
          <w:rFonts w:ascii="Palatino Linotype" w:eastAsia="Palatino Linotype" w:hAnsi="Palatino Linotype" w:cs="Palatino Linotype"/>
          <w:b/>
          <w:i/>
        </w:rPr>
        <w:t>“ACTO IMPUGNADO</w:t>
      </w:r>
    </w:p>
    <w:p w:rsidR="008B7B66" w:rsidRDefault="0006689C">
      <w:pPr>
        <w:tabs>
          <w:tab w:val="left" w:pos="4667"/>
        </w:tabs>
        <w:spacing w:line="360" w:lineRule="auto"/>
        <w:ind w:left="567" w:right="567"/>
        <w:rPr>
          <w:rFonts w:ascii="Palatino Linotype" w:eastAsia="Palatino Linotype" w:hAnsi="Palatino Linotype" w:cs="Palatino Linotype"/>
          <w:i/>
        </w:rPr>
      </w:pPr>
      <w:r>
        <w:rPr>
          <w:rFonts w:ascii="Palatino Linotype" w:eastAsia="Palatino Linotype" w:hAnsi="Palatino Linotype" w:cs="Palatino Linotype"/>
          <w:i/>
          <w:color w:val="000000"/>
        </w:rPr>
        <w:lastRenderedPageBreak/>
        <w:t>Negativa de la información</w:t>
      </w:r>
      <w:r>
        <w:rPr>
          <w:rFonts w:ascii="Palatino Linotype" w:eastAsia="Palatino Linotype" w:hAnsi="Palatino Linotype" w:cs="Palatino Linotype"/>
          <w:i/>
        </w:rPr>
        <w:t>” (Sic.)</w:t>
      </w:r>
    </w:p>
    <w:p w:rsidR="008B7B66" w:rsidRDefault="008B7B66">
      <w:pPr>
        <w:tabs>
          <w:tab w:val="left" w:pos="4667"/>
        </w:tabs>
        <w:spacing w:line="360" w:lineRule="auto"/>
        <w:ind w:left="567" w:right="567"/>
        <w:rPr>
          <w:rFonts w:ascii="Palatino Linotype" w:eastAsia="Palatino Linotype" w:hAnsi="Palatino Linotype" w:cs="Palatino Linotype"/>
          <w:i/>
        </w:rPr>
      </w:pPr>
    </w:p>
    <w:p w:rsidR="008B7B66" w:rsidRDefault="0006689C">
      <w:pPr>
        <w:tabs>
          <w:tab w:val="left" w:pos="4667"/>
        </w:tabs>
        <w:spacing w:line="360" w:lineRule="auto"/>
        <w:ind w:left="567" w:right="567"/>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rsidR="008B7B66" w:rsidRDefault="0006689C">
      <w:pPr>
        <w:tabs>
          <w:tab w:val="left" w:pos="4667"/>
        </w:tabs>
        <w:spacing w:line="360" w:lineRule="auto"/>
        <w:ind w:left="567" w:right="567"/>
        <w:rPr>
          <w:rFonts w:ascii="Palatino Linotype" w:eastAsia="Palatino Linotype" w:hAnsi="Palatino Linotype" w:cs="Palatino Linotype"/>
          <w:i/>
        </w:rPr>
      </w:pPr>
      <w:r>
        <w:rPr>
          <w:rFonts w:ascii="Palatino Linotype" w:eastAsia="Palatino Linotype" w:hAnsi="Palatino Linotype" w:cs="Palatino Linotype"/>
          <w:i/>
          <w:color w:val="000000"/>
        </w:rPr>
        <w:t>Negativa de la información</w:t>
      </w:r>
      <w:r>
        <w:rPr>
          <w:rFonts w:ascii="Palatino Linotype" w:eastAsia="Palatino Linotype" w:hAnsi="Palatino Linotype" w:cs="Palatino Linotype"/>
          <w:i/>
        </w:rPr>
        <w:t>” (Sic.)</w:t>
      </w:r>
    </w:p>
    <w:p w:rsidR="008B7B66" w:rsidRDefault="008B7B66">
      <w:pPr>
        <w:tabs>
          <w:tab w:val="left" w:pos="4667"/>
        </w:tabs>
        <w:spacing w:line="360" w:lineRule="auto"/>
        <w:ind w:left="567" w:right="567"/>
        <w:rPr>
          <w:rFonts w:ascii="Palatino Linotype" w:eastAsia="Palatino Linotype" w:hAnsi="Palatino Linotype" w:cs="Palatino Linotype"/>
          <w:i/>
        </w:rPr>
      </w:pPr>
    </w:p>
    <w:p w:rsidR="008B7B66" w:rsidRDefault="0006689C">
      <w:pPr>
        <w:spacing w:after="0" w:line="360" w:lineRule="auto"/>
        <w:ind w:left="567" w:right="567"/>
        <w:rPr>
          <w:rFonts w:ascii="Palatino Linotype" w:eastAsia="Palatino Linotype" w:hAnsi="Palatino Linotype" w:cs="Palatino Linotype"/>
          <w:b/>
        </w:rPr>
      </w:pPr>
      <w:r>
        <w:rPr>
          <w:rFonts w:ascii="Palatino Linotype" w:eastAsia="Palatino Linotype" w:hAnsi="Palatino Linotype" w:cs="Palatino Linotype"/>
          <w:b/>
        </w:rPr>
        <w:t>Solicitud con número de folio 00162/MELOCAM/IP/2022 referente al Medio de Impugnación 14576/INFOEM/IP/RR/2022</w:t>
      </w:r>
    </w:p>
    <w:p w:rsidR="008B7B66" w:rsidRDefault="0006689C">
      <w:pPr>
        <w:spacing w:after="0" w:line="360" w:lineRule="auto"/>
        <w:ind w:left="567" w:right="567"/>
        <w:rPr>
          <w:rFonts w:ascii="Palatino Linotype" w:eastAsia="Palatino Linotype" w:hAnsi="Palatino Linotype" w:cs="Palatino Linotype"/>
          <w:b/>
          <w:i/>
        </w:rPr>
      </w:pPr>
      <w:r>
        <w:rPr>
          <w:rFonts w:ascii="Palatino Linotype" w:eastAsia="Palatino Linotype" w:hAnsi="Palatino Linotype" w:cs="Palatino Linotype"/>
          <w:b/>
          <w:i/>
        </w:rPr>
        <w:t>“ACTO IMPUGNADO</w:t>
      </w:r>
    </w:p>
    <w:p w:rsidR="008B7B66" w:rsidRDefault="0006689C">
      <w:pPr>
        <w:tabs>
          <w:tab w:val="left" w:pos="4667"/>
        </w:tabs>
        <w:spacing w:line="360" w:lineRule="auto"/>
        <w:ind w:left="567" w:right="567"/>
        <w:rPr>
          <w:rFonts w:ascii="Palatino Linotype" w:eastAsia="Palatino Linotype" w:hAnsi="Palatino Linotype" w:cs="Palatino Linotype"/>
          <w:i/>
        </w:rPr>
      </w:pPr>
      <w:r>
        <w:rPr>
          <w:rFonts w:ascii="Palatino Linotype" w:eastAsia="Palatino Linotype" w:hAnsi="Palatino Linotype" w:cs="Palatino Linotype"/>
          <w:i/>
          <w:color w:val="000000"/>
        </w:rPr>
        <w:t>Negativa de la información al hacer el cambio de modalidad sin razón real</w:t>
      </w:r>
      <w:r>
        <w:rPr>
          <w:rFonts w:ascii="Palatino Linotype" w:eastAsia="Palatino Linotype" w:hAnsi="Palatino Linotype" w:cs="Palatino Linotype"/>
          <w:i/>
        </w:rPr>
        <w:t>” (Sic.)</w:t>
      </w:r>
    </w:p>
    <w:p w:rsidR="008B7B66" w:rsidRDefault="008B7B66">
      <w:pPr>
        <w:tabs>
          <w:tab w:val="left" w:pos="4667"/>
        </w:tabs>
        <w:spacing w:line="360" w:lineRule="auto"/>
        <w:ind w:left="567" w:right="567"/>
        <w:rPr>
          <w:rFonts w:ascii="Palatino Linotype" w:eastAsia="Palatino Linotype" w:hAnsi="Palatino Linotype" w:cs="Palatino Linotype"/>
          <w:i/>
        </w:rPr>
      </w:pPr>
    </w:p>
    <w:p w:rsidR="008B7B66" w:rsidRDefault="0006689C">
      <w:pPr>
        <w:tabs>
          <w:tab w:val="left" w:pos="4667"/>
        </w:tabs>
        <w:spacing w:line="360" w:lineRule="auto"/>
        <w:ind w:left="567" w:right="567"/>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rsidR="008B7B66" w:rsidRDefault="0006689C">
      <w:pPr>
        <w:tabs>
          <w:tab w:val="left" w:pos="4667"/>
        </w:tabs>
        <w:spacing w:line="360" w:lineRule="auto"/>
        <w:ind w:left="567" w:right="567"/>
        <w:rPr>
          <w:rFonts w:ascii="Palatino Linotype" w:eastAsia="Palatino Linotype" w:hAnsi="Palatino Linotype" w:cs="Palatino Linotype"/>
          <w:i/>
        </w:rPr>
      </w:pPr>
      <w:r>
        <w:rPr>
          <w:rFonts w:ascii="Palatino Linotype" w:eastAsia="Palatino Linotype" w:hAnsi="Palatino Linotype" w:cs="Palatino Linotype"/>
          <w:i/>
          <w:color w:val="000000"/>
        </w:rPr>
        <w:t>Negativa de la información al hacer el cambio de modalidad sin razón real</w:t>
      </w:r>
      <w:r>
        <w:rPr>
          <w:rFonts w:ascii="Palatino Linotype" w:eastAsia="Palatino Linotype" w:hAnsi="Palatino Linotype" w:cs="Palatino Linotype"/>
          <w:i/>
        </w:rPr>
        <w:t>” (Sic.)</w:t>
      </w:r>
    </w:p>
    <w:p w:rsidR="008B7B66" w:rsidRDefault="008B7B66">
      <w:pPr>
        <w:spacing w:after="0" w:line="360" w:lineRule="auto"/>
        <w:ind w:right="-28"/>
        <w:jc w:val="both"/>
        <w:rPr>
          <w:rFonts w:ascii="Palatino Linotype" w:eastAsia="Palatino Linotype" w:hAnsi="Palatino Linotype" w:cs="Palatino Linotype"/>
          <w:i/>
          <w:sz w:val="24"/>
          <w:szCs w:val="24"/>
        </w:rPr>
      </w:pPr>
    </w:p>
    <w:p w:rsidR="008B7B66" w:rsidRDefault="0006689C">
      <w:pP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Cabe resaltar </w:t>
      </w:r>
      <w:r>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resultó om</w:t>
      </w:r>
      <w:r>
        <w:rPr>
          <w:rFonts w:ascii="Palatino Linotype" w:eastAsia="Palatino Linotype" w:hAnsi="Palatino Linotype" w:cs="Palatino Linotype"/>
          <w:color w:val="000000"/>
          <w:sz w:val="24"/>
          <w:szCs w:val="24"/>
        </w:rPr>
        <w:t>isa</w:t>
      </w:r>
      <w:r>
        <w:rPr>
          <w:rFonts w:ascii="Palatino Linotype" w:eastAsia="Palatino Linotype" w:hAnsi="Palatino Linotype" w:cs="Palatino Linotype"/>
          <w:sz w:val="24"/>
          <w:szCs w:val="24"/>
        </w:rPr>
        <w:t xml:space="preserve"> de emitir sus manifestaciones conforme a derecho le corresponde, de igual forma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no emitió su informe justificado. </w:t>
      </w:r>
    </w:p>
    <w:p w:rsidR="008B7B66" w:rsidRDefault="008B7B66">
      <w:pPr>
        <w:spacing w:after="0" w:line="360" w:lineRule="auto"/>
        <w:ind w:right="142"/>
        <w:jc w:val="both"/>
        <w:rPr>
          <w:rFonts w:ascii="Palatino Linotype" w:eastAsia="Palatino Linotype" w:hAnsi="Palatino Linotype" w:cs="Palatino Linotype"/>
          <w:b/>
          <w:sz w:val="24"/>
          <w:szCs w:val="24"/>
        </w:rPr>
      </w:pPr>
    </w:p>
    <w:p w:rsidR="008B7B66" w:rsidRPr="0006689C" w:rsidRDefault="0006689C" w:rsidP="0006689C">
      <w:pP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las cosas</w:t>
      </w:r>
      <w:r>
        <w:rPr>
          <w:rFonts w:ascii="Palatino Linotype" w:eastAsia="Palatino Linotype" w:hAnsi="Palatino Linotype" w:cs="Palatino Linotype"/>
          <w:color w:val="000000"/>
          <w:sz w:val="24"/>
          <w:szCs w:val="24"/>
        </w:rPr>
        <w:t xml:space="preserve">, el Comisionado Ponente Luis Gustavo Parra Noriega </w:t>
      </w:r>
      <w:r>
        <w:rPr>
          <w:rFonts w:ascii="Palatino Linotype" w:eastAsia="Palatino Linotype" w:hAnsi="Palatino Linotype" w:cs="Palatino Linotype"/>
          <w:sz w:val="24"/>
          <w:szCs w:val="24"/>
        </w:rPr>
        <w:t xml:space="preserve">consideró que los motivos de inconformidad aducidos por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eran fundados, y determinó MODIFICAR y REVOCAR  la respuesta del Sujeto Obligado, ordenando lo siguiente:</w:t>
      </w:r>
    </w:p>
    <w:p w:rsidR="008B7B66" w:rsidRDefault="0006689C">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“TERCERO. Se ORDENA al Sujeto Obligado, a efecto de que entregue, en versión pública, a través del Sistema de Acceso a la Información Mexiquense (SAIMEX), lo siguiente: </w:t>
      </w:r>
    </w:p>
    <w:p w:rsidR="008B7B66" w:rsidRDefault="008B7B66">
      <w:pPr>
        <w:tabs>
          <w:tab w:val="left" w:pos="4962"/>
        </w:tabs>
        <w:spacing w:after="0" w:line="276" w:lineRule="auto"/>
        <w:ind w:left="851" w:right="758"/>
        <w:jc w:val="both"/>
        <w:rPr>
          <w:rFonts w:ascii="Palatino Linotype" w:eastAsia="Palatino Linotype" w:hAnsi="Palatino Linotype" w:cs="Palatino Linotype"/>
          <w:i/>
        </w:rPr>
      </w:pPr>
    </w:p>
    <w:p w:rsidR="008B7B66" w:rsidRDefault="0006689C">
      <w:pPr>
        <w:numPr>
          <w:ilvl w:val="0"/>
          <w:numId w:val="5"/>
        </w:numPr>
        <w:pBdr>
          <w:top w:val="nil"/>
          <w:left w:val="nil"/>
          <w:bottom w:val="nil"/>
          <w:right w:val="nil"/>
          <w:between w:val="nil"/>
        </w:pBdr>
        <w:tabs>
          <w:tab w:val="left" w:pos="4962"/>
        </w:tabs>
        <w:spacing w:after="0" w:line="276" w:lineRule="auto"/>
        <w:ind w:right="758"/>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Perfil de puestos e información curricular de todos los servidores públicos adscritos al Ayuntamiento, del primero de enero de dos mil veintiuno al primero de agosto de dos mil veintidós;</w:t>
      </w:r>
    </w:p>
    <w:p w:rsidR="008B7B66" w:rsidRDefault="008B7B66">
      <w:pPr>
        <w:tabs>
          <w:tab w:val="left" w:pos="4962"/>
        </w:tabs>
        <w:spacing w:after="0" w:line="276" w:lineRule="auto"/>
        <w:ind w:left="851" w:right="758"/>
        <w:jc w:val="both"/>
        <w:rPr>
          <w:rFonts w:ascii="Palatino Linotype" w:eastAsia="Palatino Linotype" w:hAnsi="Palatino Linotype" w:cs="Palatino Linotype"/>
          <w:i/>
        </w:rPr>
      </w:pPr>
    </w:p>
    <w:p w:rsidR="008B7B66" w:rsidRDefault="0006689C">
      <w:pPr>
        <w:numPr>
          <w:ilvl w:val="0"/>
          <w:numId w:val="5"/>
        </w:numPr>
        <w:pBdr>
          <w:top w:val="nil"/>
          <w:left w:val="nil"/>
          <w:bottom w:val="nil"/>
          <w:right w:val="nil"/>
          <w:between w:val="nil"/>
        </w:pBdr>
        <w:tabs>
          <w:tab w:val="left" w:pos="4962"/>
        </w:tabs>
        <w:spacing w:after="0" w:line="276" w:lineRule="auto"/>
        <w:ind w:right="758"/>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Deuda Pública del Municipio, del primero de enero al primero de agosto de dos mil veintidós, y</w:t>
      </w:r>
    </w:p>
    <w:p w:rsidR="008B7B66" w:rsidRDefault="008B7B66">
      <w:pPr>
        <w:tabs>
          <w:tab w:val="left" w:pos="4962"/>
        </w:tabs>
        <w:spacing w:after="0" w:line="276" w:lineRule="auto"/>
        <w:ind w:left="851" w:right="758"/>
        <w:jc w:val="both"/>
        <w:rPr>
          <w:rFonts w:ascii="Palatino Linotype" w:eastAsia="Palatino Linotype" w:hAnsi="Palatino Linotype" w:cs="Palatino Linotype"/>
          <w:i/>
        </w:rPr>
      </w:pPr>
    </w:p>
    <w:p w:rsidR="008B7B66" w:rsidRDefault="0006689C">
      <w:pPr>
        <w:numPr>
          <w:ilvl w:val="0"/>
          <w:numId w:val="5"/>
        </w:numPr>
        <w:pBdr>
          <w:top w:val="nil"/>
          <w:left w:val="nil"/>
          <w:bottom w:val="nil"/>
          <w:right w:val="nil"/>
          <w:between w:val="nil"/>
        </w:pBdr>
        <w:tabs>
          <w:tab w:val="left" w:pos="4962"/>
        </w:tabs>
        <w:spacing w:after="0" w:line="276" w:lineRule="auto"/>
        <w:ind w:right="758"/>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Funciones e Informe de actividades realizadas por el Tesorero Municipal y el Director Jurídico, del primero de enero al treinta de junio de dos mil veintidós.</w:t>
      </w:r>
    </w:p>
    <w:p w:rsidR="008B7B66" w:rsidRDefault="008B7B66">
      <w:pPr>
        <w:tabs>
          <w:tab w:val="left" w:pos="4962"/>
        </w:tabs>
        <w:spacing w:after="0" w:line="276" w:lineRule="auto"/>
        <w:ind w:left="851" w:right="758"/>
        <w:jc w:val="both"/>
        <w:rPr>
          <w:rFonts w:ascii="Palatino Linotype" w:eastAsia="Palatino Linotype" w:hAnsi="Palatino Linotype" w:cs="Palatino Linotype"/>
          <w:i/>
        </w:rPr>
      </w:pPr>
    </w:p>
    <w:p w:rsidR="008B7B66" w:rsidRDefault="0006689C">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8B7B66" w:rsidRDefault="008B7B66">
      <w:pPr>
        <w:tabs>
          <w:tab w:val="left" w:pos="4962"/>
        </w:tabs>
        <w:spacing w:after="0" w:line="276" w:lineRule="auto"/>
        <w:ind w:left="851" w:right="758"/>
        <w:jc w:val="both"/>
        <w:rPr>
          <w:rFonts w:ascii="Palatino Linotype" w:eastAsia="Palatino Linotype" w:hAnsi="Palatino Linotype" w:cs="Palatino Linotype"/>
          <w:i/>
        </w:rPr>
      </w:pPr>
    </w:p>
    <w:p w:rsidR="008B7B66" w:rsidRDefault="0006689C">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Para el caso, que no haya contraído deuda pública, durante el periodo referido en el inciso b, deberá hacerlo del conocimiento del Recurrente, de manera clara y precisa..”</w:t>
      </w:r>
    </w:p>
    <w:p w:rsidR="008B7B66" w:rsidRDefault="008B7B66"/>
    <w:p w:rsidR="008B7B66" w:rsidRDefault="0006689C">
      <w:pPr>
        <w:numPr>
          <w:ilvl w:val="0"/>
          <w:numId w:val="6"/>
        </w:num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Razones del Voto Particular. </w:t>
      </w:r>
    </w:p>
    <w:p w:rsidR="008B7B66" w:rsidRDefault="0006689C">
      <w:pPr>
        <w:numPr>
          <w:ilvl w:val="0"/>
          <w:numId w:val="4"/>
        </w:num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Del curriculum de los integrantes de cabildo. </w:t>
      </w:r>
    </w:p>
    <w:p w:rsidR="008B7B66" w:rsidRDefault="0006689C">
      <w:pPr>
        <w:spacing w:before="240" w:after="0" w:line="360" w:lineRule="auto"/>
        <w:ind w:right="142"/>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Respecto a la información que se ordenar relativa al curriculum de los servidores públicos, la suscrita </w:t>
      </w:r>
      <w:r>
        <w:rPr>
          <w:rFonts w:ascii="Palatino Linotype" w:eastAsia="Palatino Linotype" w:hAnsi="Palatino Linotype" w:cs="Palatino Linotype"/>
          <w:b/>
          <w:sz w:val="24"/>
          <w:szCs w:val="24"/>
        </w:rPr>
        <w:t xml:space="preserve">no comparte las consideraciones que fueron vertidas en la </w:t>
      </w:r>
      <w:r>
        <w:rPr>
          <w:rFonts w:ascii="Palatino Linotype" w:eastAsia="Palatino Linotype" w:hAnsi="Palatino Linotype" w:cs="Palatino Linotype"/>
          <w:b/>
          <w:sz w:val="24"/>
          <w:szCs w:val="24"/>
        </w:rPr>
        <w:lastRenderedPageBreak/>
        <w:t>presente resolución</w:t>
      </w:r>
      <w:r>
        <w:rPr>
          <w:rFonts w:ascii="Palatino Linotype" w:eastAsia="Palatino Linotype" w:hAnsi="Palatino Linotype" w:cs="Palatino Linotype"/>
          <w:sz w:val="24"/>
          <w:szCs w:val="24"/>
        </w:rPr>
        <w:t xml:space="preserve">, en virtud de que, para la emisora del voto, en el presente caso, no </w:t>
      </w:r>
      <w:r>
        <w:rPr>
          <w:rFonts w:ascii="Palatino Linotype" w:eastAsia="Palatino Linotype" w:hAnsi="Palatino Linotype" w:cs="Palatino Linotype"/>
          <w:b/>
          <w:sz w:val="24"/>
          <w:szCs w:val="24"/>
        </w:rPr>
        <w:t>se debió incluir y ordenar el curriculum de los servidores públicos integrantes del cabildo.</w:t>
      </w:r>
    </w:p>
    <w:p w:rsidR="008B7B66" w:rsidRDefault="008B7B66">
      <w:pPr>
        <w:spacing w:after="0" w:line="360" w:lineRule="auto"/>
        <w:ind w:right="142"/>
        <w:jc w:val="both"/>
        <w:rPr>
          <w:rFonts w:ascii="Palatino Linotype" w:eastAsia="Palatino Linotype" w:hAnsi="Palatino Linotype" w:cs="Palatino Linotype"/>
          <w:b/>
          <w:sz w:val="24"/>
          <w:szCs w:val="24"/>
        </w:rPr>
      </w:pPr>
    </w:p>
    <w:p w:rsidR="008B7B66" w:rsidRDefault="0006689C">
      <w:pPr>
        <w:spacing w:after="0" w:line="360" w:lineRule="auto"/>
        <w:ind w:right="142"/>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Lo anterior en virtud de que de conformidad con los artículos 117, 118, 119 y 120 de la Constitución Política del Estado Libre y Soberano de México, los integrantes del ayuntamiento, propietarios o suplentes deberán cumplir una serie de requisitos, de las cuales no se advierte la obligación de entregar documento o documentos que acrediten el último grado de estudios, solicitud de empleo, ficha curricular o documento que acredite el último grado de estudios;  sirve de ilustración las siguientes citas: </w:t>
      </w:r>
    </w:p>
    <w:p w:rsidR="008B7B66" w:rsidRDefault="008B7B66">
      <w:pPr>
        <w:spacing w:after="240" w:line="240" w:lineRule="auto"/>
        <w:ind w:left="567" w:right="851"/>
        <w:jc w:val="both"/>
        <w:rPr>
          <w:rFonts w:ascii="Palatino Linotype" w:eastAsia="Palatino Linotype" w:hAnsi="Palatino Linotype" w:cs="Palatino Linotype"/>
          <w:i/>
        </w:rPr>
      </w:pPr>
    </w:p>
    <w:p w:rsidR="008B7B66" w:rsidRDefault="0006689C">
      <w:pP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117.- </w:t>
      </w:r>
      <w:r>
        <w:rPr>
          <w:rFonts w:ascii="Palatino Linotype" w:eastAsia="Palatino Linotype" w:hAnsi="Palatino Linotype" w:cs="Palatino Linotype"/>
          <w:b/>
          <w:i/>
        </w:rPr>
        <w:t>Los ayuntamientos se integrarán con una jefa o jefe de asamblea que se denominará Presidenta o Presidente Municipal, respectivamente</w:t>
      </w:r>
      <w:r>
        <w:rPr>
          <w:rFonts w:ascii="Palatino Linotype" w:eastAsia="Palatino Linotype" w:hAnsi="Palatino Linotype" w:cs="Palatino Linotype"/>
          <w:i/>
        </w:rPr>
        <w:t xml:space="preserve">, </w:t>
      </w:r>
      <w:r>
        <w:rPr>
          <w:rFonts w:ascii="Palatino Linotype" w:eastAsia="Palatino Linotype" w:hAnsi="Palatino Linotype" w:cs="Palatino Linotype"/>
          <w:b/>
          <w:i/>
        </w:rPr>
        <w:t>y con varios miembros más llamados Síndicas o Síndicos y Regidoras o Regidores</w:t>
      </w:r>
      <w:r>
        <w:rPr>
          <w:rFonts w:ascii="Palatino Linotype" w:eastAsia="Palatino Linotype" w:hAnsi="Palatino Linotype" w:cs="Palatino Linotype"/>
          <w:i/>
        </w:rPr>
        <w:t xml:space="preserve">,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rsidR="008B7B66" w:rsidRDefault="0006689C">
      <w:pP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CAPITULO SEGUNDO </w:t>
      </w:r>
    </w:p>
    <w:p w:rsidR="008B7B66" w:rsidRDefault="0006689C">
      <w:pP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De los Miembros de los Ayuntamientos </w:t>
      </w:r>
    </w:p>
    <w:p w:rsidR="008B7B66" w:rsidRDefault="0006689C">
      <w:pP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118.- </w:t>
      </w:r>
      <w:r>
        <w:rPr>
          <w:rFonts w:ascii="Palatino Linotype" w:eastAsia="Palatino Linotype" w:hAnsi="Palatino Linotype" w:cs="Palatino Linotype"/>
          <w:b/>
          <w:i/>
        </w:rPr>
        <w:t>Los miembros de un ayuntamiento serán designados en una sola elección.</w:t>
      </w:r>
      <w:r>
        <w:rPr>
          <w:rFonts w:ascii="Palatino Linotype" w:eastAsia="Palatino Linotype" w:hAnsi="Palatino Linotype" w:cs="Palatino Linotype"/>
          <w:i/>
        </w:rPr>
        <w:t xml:space="preserve"> Se distinguirán las regidoras y los regidores por el orden numérico y los síndicos cuando sean dos, en la misma forma. Las regidoras y los regidores de mayoría relativa y de representación proporcional tendrán los mismos derechos y </w:t>
      </w:r>
      <w:r>
        <w:rPr>
          <w:rFonts w:ascii="Palatino Linotype" w:eastAsia="Palatino Linotype" w:hAnsi="Palatino Linotype" w:cs="Palatino Linotype"/>
          <w:i/>
        </w:rPr>
        <w:lastRenderedPageBreak/>
        <w:t xml:space="preserve">obligaciones, conforme a la ley de la materia. Las síndicas electas y los síndicos electos por ambas fórmulas tendrán las atribuciones que les señale la ley. Por cada miembro del ayuntamiento que se elija como propietario se elegirá un suplente. </w:t>
      </w:r>
    </w:p>
    <w:p w:rsidR="008B7B66" w:rsidRDefault="0006689C">
      <w:pPr>
        <w:spacing w:before="240" w:after="240" w:line="240" w:lineRule="auto"/>
        <w:ind w:left="567" w:right="851"/>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Artículo 119.- Para ser miembro propietario o suplente de un ayuntamiento se requiere: </w:t>
      </w:r>
    </w:p>
    <w:p w:rsidR="008B7B66" w:rsidRDefault="0006689C">
      <w:pPr>
        <w:numPr>
          <w:ilvl w:val="0"/>
          <w:numId w:val="7"/>
        </w:numPr>
        <w:pBdr>
          <w:top w:val="nil"/>
          <w:left w:val="nil"/>
          <w:bottom w:val="nil"/>
          <w:right w:val="nil"/>
          <w:between w:val="nil"/>
        </w:pBdr>
        <w:spacing w:before="240" w:after="240" w:line="240" w:lineRule="auto"/>
        <w:ind w:left="567" w:right="851"/>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Ser mexicana o mexicano, ciudadana o ciudadano del Estado, en pleno ejercicio de sus derechos; </w:t>
      </w:r>
    </w:p>
    <w:p w:rsidR="008B7B66" w:rsidRDefault="0006689C">
      <w:pPr>
        <w:numPr>
          <w:ilvl w:val="0"/>
          <w:numId w:val="7"/>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Ser mexiquense con residencia efectiva en el municipio no menor a un año o vecino del mismo, con residencia efectiva en su territorio no menor a tres años, anteriores al día de la elección; y </w:t>
      </w:r>
    </w:p>
    <w:p w:rsidR="008B7B66" w:rsidRDefault="0006689C">
      <w:pPr>
        <w:numPr>
          <w:ilvl w:val="0"/>
          <w:numId w:val="7"/>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Ser de reconocida probidad y buena fama pública. </w:t>
      </w:r>
    </w:p>
    <w:p w:rsidR="008B7B66" w:rsidRDefault="0006689C">
      <w:pPr>
        <w:numPr>
          <w:ilvl w:val="0"/>
          <w:numId w:val="7"/>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No estar condenada o condenado por sentencia ejecutoriada por el delito de violencia política contra las mujeres en razón de género; </w:t>
      </w:r>
    </w:p>
    <w:p w:rsidR="008B7B66" w:rsidRDefault="0006689C">
      <w:pPr>
        <w:numPr>
          <w:ilvl w:val="0"/>
          <w:numId w:val="7"/>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No estar inscrito en el Registro de Deudores Alimentarios Morosos en el Estado, ni en otra entidad federativa, y </w:t>
      </w:r>
    </w:p>
    <w:p w:rsidR="008B7B66" w:rsidRDefault="0006689C">
      <w:pPr>
        <w:numPr>
          <w:ilvl w:val="0"/>
          <w:numId w:val="7"/>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i/>
        </w:rPr>
      </w:pPr>
      <w:r>
        <w:rPr>
          <w:rFonts w:ascii="Palatino Linotype" w:eastAsia="Palatino Linotype" w:hAnsi="Palatino Linotype" w:cs="Palatino Linotype"/>
          <w:b/>
          <w:i/>
        </w:rPr>
        <w:t>No estar condenada o condenado por sentencia ejecutoriada por delitos de violencia familiar, contra la libertad sexual o de violencia de género.</w:t>
      </w:r>
    </w:p>
    <w:p w:rsidR="008B7B66" w:rsidRDefault="0006689C">
      <w:pPr>
        <w:pBdr>
          <w:top w:val="nil"/>
          <w:left w:val="nil"/>
          <w:bottom w:val="nil"/>
          <w:right w:val="nil"/>
          <w:between w:val="nil"/>
        </w:pBd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120.- No pueden ser miembros propietarios o suplentes de los ayuntamientos: </w:t>
      </w:r>
    </w:p>
    <w:p w:rsidR="008B7B66" w:rsidRDefault="0006689C">
      <w:pPr>
        <w:numPr>
          <w:ilvl w:val="0"/>
          <w:numId w:val="1"/>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rPr>
      </w:pPr>
      <w:r>
        <w:rPr>
          <w:rFonts w:ascii="Palatino Linotype" w:eastAsia="Palatino Linotype" w:hAnsi="Palatino Linotype" w:cs="Palatino Linotype"/>
          <w:i/>
        </w:rPr>
        <w:t xml:space="preserve">Las diputadas o diputados y senadoras o senadores al Congreso de la Unión que se encuentren en ejercicio de su cargo; </w:t>
      </w:r>
    </w:p>
    <w:p w:rsidR="008B7B66" w:rsidRDefault="0006689C">
      <w:pPr>
        <w:numPr>
          <w:ilvl w:val="0"/>
          <w:numId w:val="1"/>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rPr>
      </w:pPr>
      <w:r>
        <w:rPr>
          <w:rFonts w:ascii="Palatino Linotype" w:eastAsia="Palatino Linotype" w:hAnsi="Palatino Linotype" w:cs="Palatino Linotype"/>
          <w:i/>
        </w:rPr>
        <w:t xml:space="preserve">Las diputadas o diputados a la Legislatura del Estado que se encuentren en ejercicio de su cargo; </w:t>
      </w:r>
    </w:p>
    <w:p w:rsidR="008B7B66" w:rsidRDefault="0006689C">
      <w:pPr>
        <w:numPr>
          <w:ilvl w:val="0"/>
          <w:numId w:val="1"/>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rPr>
      </w:pPr>
      <w:r>
        <w:rPr>
          <w:rFonts w:ascii="Palatino Linotype" w:eastAsia="Palatino Linotype" w:hAnsi="Palatino Linotype" w:cs="Palatino Linotype"/>
          <w:i/>
        </w:rPr>
        <w:t xml:space="preserve">Las juezas o jueces, magistradas o magistrados o consejeras o consejeros de la Judicatura del Poder Judicial del Estado o de la Federación; </w:t>
      </w:r>
    </w:p>
    <w:p w:rsidR="008B7B66" w:rsidRDefault="0006689C">
      <w:pPr>
        <w:numPr>
          <w:ilvl w:val="0"/>
          <w:numId w:val="1"/>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rPr>
      </w:pPr>
      <w:r>
        <w:rPr>
          <w:rFonts w:ascii="Palatino Linotype" w:eastAsia="Palatino Linotype" w:hAnsi="Palatino Linotype" w:cs="Palatino Linotype"/>
          <w:i/>
        </w:rPr>
        <w:t xml:space="preserve">Las y los servidores públicos federales, estatales o municipales en ejercicio de autoridad; </w:t>
      </w:r>
    </w:p>
    <w:p w:rsidR="008B7B66" w:rsidRDefault="0006689C">
      <w:pPr>
        <w:numPr>
          <w:ilvl w:val="0"/>
          <w:numId w:val="1"/>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Las y los militares y los miembros de las fuerzas de seguridad pública del Estado y los de los municipios que ejerzan mando en el territorio de la elección; y </w:t>
      </w:r>
    </w:p>
    <w:p w:rsidR="008B7B66" w:rsidRDefault="0006689C">
      <w:pPr>
        <w:numPr>
          <w:ilvl w:val="0"/>
          <w:numId w:val="1"/>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rPr>
      </w:pPr>
      <w:r>
        <w:rPr>
          <w:rFonts w:ascii="Palatino Linotype" w:eastAsia="Palatino Linotype" w:hAnsi="Palatino Linotype" w:cs="Palatino Linotype"/>
          <w:i/>
        </w:rPr>
        <w:t xml:space="preserve">Las y los ministros de cualquier culto, a menos que se separen formal, material y definitivamente de su ministerio, cuando menos cinco años antes del día de la elección. </w:t>
      </w:r>
    </w:p>
    <w:p w:rsidR="008B7B66" w:rsidRDefault="0006689C">
      <w:p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rPr>
      </w:pPr>
      <w:r>
        <w:rPr>
          <w:rFonts w:ascii="Palatino Linotype" w:eastAsia="Palatino Linotype" w:hAnsi="Palatino Linotype" w:cs="Palatino Linotype"/>
          <w:i/>
        </w:rPr>
        <w:t>Las y los servidores públicos a que se refieren las fracciones de la I a la V serán exceptuados del impedimento si se separan de sus respectivos cargos por lo menos, veinticuatro horas antes del inicio de las campañas, conforme al calendario electoral vigente</w:t>
      </w:r>
      <w:r>
        <w:rPr>
          <w:rFonts w:ascii="Palatino Linotype" w:eastAsia="Palatino Linotype" w:hAnsi="Palatino Linotype" w:cs="Palatino Linotype"/>
          <w:b/>
          <w:i/>
        </w:rPr>
        <w:t xml:space="preserve">.” </w:t>
      </w:r>
      <w:r>
        <w:rPr>
          <w:rFonts w:ascii="Palatino Linotype" w:eastAsia="Palatino Linotype" w:hAnsi="Palatino Linotype" w:cs="Palatino Linotype"/>
          <w:i/>
        </w:rPr>
        <w:t>(Sic) (Énfasis añadido)</w:t>
      </w:r>
    </w:p>
    <w:p w:rsidR="008B7B66" w:rsidRDefault="0006689C">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igual forma, el Código Electoral del Estado de México señala: </w:t>
      </w:r>
    </w:p>
    <w:p w:rsidR="008B7B66" w:rsidRDefault="0006689C">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16.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 </w:t>
      </w:r>
    </w:p>
    <w:p w:rsidR="008B7B66" w:rsidRDefault="0006689C">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17. Además de los requisitos señalados en el artículo anterior, las ciudadanas y los ciudadanos que aspiren a las candidaturas a Gobernadora o Gobernador, Diputada, Diputado o integrante de los ayuntamientos deberán satisfacer lo siguiente: </w:t>
      </w:r>
    </w:p>
    <w:p w:rsidR="008B7B66" w:rsidRDefault="0006689C">
      <w:pPr>
        <w:widowControl w:val="0"/>
        <w:numPr>
          <w:ilvl w:val="0"/>
          <w:numId w:val="2"/>
        </w:numPr>
        <w:tabs>
          <w:tab w:val="left" w:pos="1701"/>
          <w:tab w:val="left" w:pos="1843"/>
        </w:tabs>
        <w:spacing w:before="240" w:after="240" w:line="276" w:lineRule="auto"/>
        <w:ind w:left="567" w:right="851" w:hanging="141"/>
        <w:jc w:val="both"/>
        <w:rPr>
          <w:rFonts w:ascii="Palatino Linotype" w:eastAsia="Palatino Linotype" w:hAnsi="Palatino Linotype" w:cs="Palatino Linotype"/>
          <w:i/>
        </w:rPr>
      </w:pPr>
      <w:r>
        <w:rPr>
          <w:rFonts w:ascii="Palatino Linotype" w:eastAsia="Palatino Linotype" w:hAnsi="Palatino Linotype" w:cs="Palatino Linotype"/>
          <w:i/>
        </w:rPr>
        <w:t xml:space="preserve">Estar inscrito en el padrón electoral correspondiente, la lista nominal y contar con credencial para votar vigente. </w:t>
      </w:r>
    </w:p>
    <w:p w:rsidR="008B7B66" w:rsidRDefault="0006689C">
      <w:pPr>
        <w:widowControl w:val="0"/>
        <w:numPr>
          <w:ilvl w:val="0"/>
          <w:numId w:val="2"/>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magistrada o magistrado del Tribunal Superior de Justicia o del Tribunal Electoral o funcionario de este, salvo que se separe del cargo dos años antes de la fecha </w:t>
      </w:r>
      <w:r>
        <w:rPr>
          <w:rFonts w:ascii="Palatino Linotype" w:eastAsia="Palatino Linotype" w:hAnsi="Palatino Linotype" w:cs="Palatino Linotype"/>
          <w:i/>
        </w:rPr>
        <w:lastRenderedPageBreak/>
        <w:t xml:space="preserve">de inicio del proceso electoral de que se trate. </w:t>
      </w:r>
    </w:p>
    <w:p w:rsidR="008B7B66" w:rsidRDefault="0006689C">
      <w:pPr>
        <w:widowControl w:val="0"/>
        <w:numPr>
          <w:ilvl w:val="0"/>
          <w:numId w:val="2"/>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rPr>
      </w:pPr>
      <w:r>
        <w:rPr>
          <w:rFonts w:ascii="Palatino Linotype" w:eastAsia="Palatino Linotype" w:hAnsi="Palatino Linotype" w:cs="Palatino Linotype"/>
          <w:i/>
        </w:rPr>
        <w:t xml:space="preserve">No formar parte del servicio profesional electoral del Instituto, salvo que se separe del cargo dos años antes de la fecha de inicio del proceso electoral de que se trate. </w:t>
      </w:r>
    </w:p>
    <w:p w:rsidR="008B7B66" w:rsidRDefault="0006689C">
      <w:pPr>
        <w:widowControl w:val="0"/>
        <w:numPr>
          <w:ilvl w:val="0"/>
          <w:numId w:val="2"/>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consejera o consejero electoral en el consejo general, del Instituto ni secretario ejecutivo, salvo que se separe del cargo dos años antes de la fecha de inicio del proceso electoral de que se trate. </w:t>
      </w:r>
    </w:p>
    <w:p w:rsidR="008B7B66" w:rsidRDefault="0006689C">
      <w:pPr>
        <w:widowControl w:val="0"/>
        <w:numPr>
          <w:ilvl w:val="0"/>
          <w:numId w:val="2"/>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consejera o consejero electoral en los consejos distritales o municipales del Instituto ni director del mismo, salvo que se haya separado del cargo dos años antes de la fecha de inicio del proceso electoral de que se trate. </w:t>
      </w:r>
    </w:p>
    <w:p w:rsidR="008B7B66" w:rsidRDefault="0006689C" w:rsidP="0006689C">
      <w:pPr>
        <w:widowControl w:val="0"/>
        <w:numPr>
          <w:ilvl w:val="0"/>
          <w:numId w:val="2"/>
        </w:numPr>
        <w:tabs>
          <w:tab w:val="left" w:pos="1701"/>
          <w:tab w:val="left" w:pos="1843"/>
        </w:tabs>
        <w:spacing w:before="240" w:after="240" w:line="276" w:lineRule="auto"/>
        <w:ind w:left="567" w:right="851" w:hanging="283"/>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integrante del órgano de dirección de los organismos a los que la Constitución Local otorga autonomía, salvo que se separe del cargo dos años antes de la fecha de inicio del proceso electoral de que se trate; </w:t>
      </w:r>
    </w:p>
    <w:p w:rsidR="008B7B66" w:rsidRDefault="0006689C" w:rsidP="0006689C">
      <w:pPr>
        <w:widowControl w:val="0"/>
        <w:numPr>
          <w:ilvl w:val="0"/>
          <w:numId w:val="2"/>
        </w:numPr>
        <w:tabs>
          <w:tab w:val="left" w:pos="1701"/>
          <w:tab w:val="left" w:pos="1843"/>
        </w:tabs>
        <w:spacing w:before="240" w:after="240" w:line="276" w:lineRule="auto"/>
        <w:ind w:left="567" w:right="851" w:hanging="425"/>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secretaria, secretario o subsecretaria o subsecretario de Estado, ni titular de los organismos públicos desconcentrados o descentralizados de la administración pública estatal, a menos que se separen noventa días antes de la elección, y </w:t>
      </w:r>
    </w:p>
    <w:p w:rsidR="008B7B66" w:rsidRDefault="0006689C" w:rsidP="0006689C">
      <w:pPr>
        <w:widowControl w:val="0"/>
        <w:tabs>
          <w:tab w:val="left" w:pos="1701"/>
          <w:tab w:val="left" w:pos="1843"/>
        </w:tabs>
        <w:spacing w:before="240" w:after="240" w:line="276" w:lineRule="auto"/>
        <w:ind w:left="567" w:right="851"/>
        <w:contextualSpacing/>
        <w:jc w:val="both"/>
        <w:rPr>
          <w:rFonts w:ascii="Palatino Linotype" w:eastAsia="Palatino Linotype" w:hAnsi="Palatino Linotype" w:cs="Palatino Linotype"/>
          <w:i/>
        </w:rPr>
      </w:pPr>
      <w:r>
        <w:rPr>
          <w:rFonts w:ascii="Palatino Linotype" w:eastAsia="Palatino Linotype" w:hAnsi="Palatino Linotype" w:cs="Palatino Linotype"/>
          <w:i/>
        </w:rPr>
        <w:t>VIII. Ser electo o designado candidata o candidato, de conformidad con los procedimientos democráticos internos del partido político que lo postule”</w:t>
      </w:r>
    </w:p>
    <w:p w:rsidR="0006689C" w:rsidRDefault="0006689C" w:rsidP="0006689C">
      <w:pPr>
        <w:widowControl w:val="0"/>
        <w:tabs>
          <w:tab w:val="left" w:pos="1701"/>
          <w:tab w:val="left" w:pos="1843"/>
        </w:tabs>
        <w:spacing w:before="240" w:after="240" w:line="360" w:lineRule="auto"/>
        <w:ind w:left="567" w:right="851"/>
        <w:contextualSpacing/>
        <w:jc w:val="both"/>
        <w:rPr>
          <w:rFonts w:ascii="Palatino Linotype" w:eastAsia="Palatino Linotype" w:hAnsi="Palatino Linotype" w:cs="Palatino Linotype"/>
          <w:i/>
        </w:rPr>
      </w:pPr>
    </w:p>
    <w:p w:rsidR="008B7B66" w:rsidRDefault="0006689C" w:rsidP="0006689C">
      <w:pPr>
        <w:widowControl w:val="0"/>
        <w:tabs>
          <w:tab w:val="left" w:pos="1701"/>
          <w:tab w:val="left" w:pos="1843"/>
        </w:tabs>
        <w:spacing w:before="240" w:after="0" w:line="360" w:lineRule="auto"/>
        <w:contextualSpacing/>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relación a estos preceptos, la Ley Orgánica Municipal en su artículo 18, fracción I dispone que una vez rendidos los informes de los ayuntamientos en funciones, previa convocatoria a sesión solemne, </w:t>
      </w:r>
      <w:r>
        <w:rPr>
          <w:rFonts w:ascii="Palatino Linotype" w:eastAsia="Palatino Linotype" w:hAnsi="Palatino Linotype" w:cs="Palatino Linotype"/>
          <w:b/>
          <w:sz w:val="24"/>
          <w:szCs w:val="24"/>
        </w:rPr>
        <w:t>deberán presentarse los ciudadanos que en términos de ley resultaron electos para rendir protesta y ocupar los cargos de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presidente municipal, síndico o síndicos y regidores</w:t>
      </w:r>
      <w:r>
        <w:rPr>
          <w:rFonts w:ascii="Palatino Linotype" w:eastAsia="Palatino Linotype" w:hAnsi="Palatino Linotype" w:cs="Palatino Linotype"/>
          <w:sz w:val="24"/>
          <w:szCs w:val="24"/>
        </w:rPr>
        <w:t xml:space="preserve">, sin que dicho plazo exceda el mes de diciembre del último año de la gestión del ayuntamiento saliente, </w:t>
      </w:r>
      <w:r>
        <w:rPr>
          <w:rFonts w:ascii="Palatino Linotype" w:eastAsia="Palatino Linotype" w:hAnsi="Palatino Linotype" w:cs="Palatino Linotype"/>
          <w:b/>
          <w:sz w:val="24"/>
          <w:szCs w:val="24"/>
        </w:rPr>
        <w:t xml:space="preserve">dicha reunión tendrá por objeto que los miembros del ayuntamiento entrante, rindan la </w:t>
      </w:r>
      <w:r>
        <w:rPr>
          <w:rFonts w:ascii="Palatino Linotype" w:eastAsia="Palatino Linotype" w:hAnsi="Palatino Linotype" w:cs="Palatino Linotype"/>
          <w:b/>
          <w:sz w:val="24"/>
          <w:szCs w:val="24"/>
        </w:rPr>
        <w:lastRenderedPageBreak/>
        <w:t>protesta en términos de lo dispuesto por el artículo 144</w:t>
      </w:r>
      <w:r>
        <w:rPr>
          <w:rFonts w:ascii="Palatino Linotype" w:eastAsia="Palatino Linotype" w:hAnsi="Palatino Linotype" w:cs="Palatino Linotype"/>
          <w:b/>
          <w:sz w:val="24"/>
          <w:szCs w:val="24"/>
          <w:vertAlign w:val="superscript"/>
        </w:rPr>
        <w:footnoteReference w:id="1"/>
      </w:r>
      <w:r>
        <w:rPr>
          <w:rFonts w:ascii="Palatino Linotype" w:eastAsia="Palatino Linotype" w:hAnsi="Palatino Linotype" w:cs="Palatino Linotype"/>
          <w:b/>
          <w:sz w:val="24"/>
          <w:szCs w:val="24"/>
        </w:rPr>
        <w:t xml:space="preserve"> de la Constitución Política del Estado Libre y Soberano de México</w:t>
      </w:r>
      <w:r>
        <w:rPr>
          <w:rFonts w:ascii="Palatino Linotype" w:eastAsia="Palatino Linotype" w:hAnsi="Palatino Linotype" w:cs="Palatino Linotype"/>
          <w:sz w:val="24"/>
          <w:szCs w:val="24"/>
        </w:rPr>
        <w:t>, por lo que el</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presidente municipal electo para el período siguiente lo hará ante el representante designado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por el Ejecutivo del Estado y a su vez, hará de inmediato lo propio con los demás miembros del</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ayuntamiento electo.</w:t>
      </w:r>
    </w:p>
    <w:p w:rsidR="008B7B66" w:rsidRDefault="008B7B66">
      <w:pPr>
        <w:widowControl w:val="0"/>
        <w:tabs>
          <w:tab w:val="left" w:pos="1701"/>
          <w:tab w:val="left" w:pos="1843"/>
        </w:tabs>
        <w:spacing w:after="0" w:line="360" w:lineRule="auto"/>
        <w:jc w:val="both"/>
        <w:rPr>
          <w:rFonts w:ascii="Palatino Linotype" w:eastAsia="Palatino Linotype" w:hAnsi="Palatino Linotype" w:cs="Palatino Linotype"/>
          <w:sz w:val="24"/>
          <w:szCs w:val="24"/>
        </w:rPr>
      </w:pPr>
    </w:p>
    <w:p w:rsidR="008B7B66" w:rsidRDefault="0006689C">
      <w:pPr>
        <w:widowControl w:val="0"/>
        <w:tabs>
          <w:tab w:val="left" w:pos="1701"/>
          <w:tab w:val="left" w:pos="1843"/>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suerte que la Constitución y la Ley Orgánica Municipal consideran al presidente municipal y demás integrantes del ayuntamiento como servidores que ostentan un cargo de elección popular, por lo tanto, se reitera que </w:t>
      </w:r>
      <w:r>
        <w:rPr>
          <w:rFonts w:ascii="Palatino Linotype" w:eastAsia="Palatino Linotype" w:hAnsi="Palatino Linotype" w:cs="Palatino Linotype"/>
          <w:b/>
          <w:sz w:val="24"/>
          <w:szCs w:val="24"/>
        </w:rPr>
        <w:t xml:space="preserve">no se encuentran constreñidos a entregar los documentos solicitados por el particular, </w:t>
      </w:r>
      <w:r>
        <w:rPr>
          <w:rFonts w:ascii="Palatino Linotype" w:eastAsia="Palatino Linotype" w:hAnsi="Palatino Linotype" w:cs="Palatino Linotype"/>
          <w:sz w:val="24"/>
          <w:szCs w:val="24"/>
        </w:rPr>
        <w:t>toda vez que</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por la naturaleza de su designación, estaríamos ante una excepción</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por lo que no es posible entregar la información solicitada, en virtud de que como se analizó en líneas anteriores, no se encuentran obligados a generarla, poseerla o administrarla. </w:t>
      </w:r>
    </w:p>
    <w:p w:rsidR="008B7B66" w:rsidRDefault="008B7B66">
      <w:pPr>
        <w:widowControl w:val="0"/>
        <w:tabs>
          <w:tab w:val="left" w:pos="1701"/>
          <w:tab w:val="left" w:pos="1843"/>
        </w:tabs>
        <w:spacing w:after="0" w:line="360" w:lineRule="auto"/>
        <w:jc w:val="both"/>
        <w:rPr>
          <w:rFonts w:ascii="Palatino Linotype" w:eastAsia="Palatino Linotype" w:hAnsi="Palatino Linotype" w:cs="Palatino Linotype"/>
          <w:sz w:val="24"/>
          <w:szCs w:val="24"/>
        </w:rPr>
      </w:pPr>
    </w:p>
    <w:p w:rsidR="008B7B66" w:rsidRDefault="0006689C">
      <w:pPr>
        <w:widowControl w:val="0"/>
        <w:tabs>
          <w:tab w:val="left" w:pos="1701"/>
          <w:tab w:val="left" w:pos="1843"/>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contexto, el Sujeto Obligado no está obligado a generar documento ad hoc para satisfacer el derecho de acceso a la información,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 </w:t>
      </w:r>
    </w:p>
    <w:p w:rsidR="008B7B66" w:rsidRDefault="0006689C" w:rsidP="0006689C">
      <w:pPr>
        <w:spacing w:line="276" w:lineRule="auto"/>
        <w:ind w:left="567" w:right="618"/>
        <w:contextualSpacing/>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No existe obligación de elaborar documentos ad hoc para atender las solicitudes de acceso a la información. </w:t>
      </w:r>
      <w:r>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B7B66" w:rsidRDefault="008B7B66" w:rsidP="0006689C">
      <w:pPr>
        <w:spacing w:line="276" w:lineRule="auto"/>
        <w:ind w:left="567" w:right="618"/>
        <w:contextualSpacing/>
        <w:jc w:val="both"/>
        <w:rPr>
          <w:rFonts w:ascii="Palatino Linotype" w:eastAsia="Palatino Linotype" w:hAnsi="Palatino Linotype" w:cs="Palatino Linotype"/>
          <w:b/>
          <w:i/>
        </w:rPr>
      </w:pPr>
    </w:p>
    <w:p w:rsidR="008B7B66" w:rsidRDefault="0006689C" w:rsidP="0006689C">
      <w:pPr>
        <w:spacing w:line="276" w:lineRule="auto"/>
        <w:ind w:left="567" w:right="618"/>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Resoluciones:</w:t>
      </w:r>
    </w:p>
    <w:p w:rsidR="008B7B66" w:rsidRDefault="0006689C" w:rsidP="0006689C">
      <w:pPr>
        <w:numPr>
          <w:ilvl w:val="0"/>
          <w:numId w:val="3"/>
        </w:numPr>
        <w:spacing w:after="0" w:line="276" w:lineRule="auto"/>
        <w:ind w:right="618"/>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RRA 0050/16.</w:t>
      </w:r>
      <w:r>
        <w:rPr>
          <w:rFonts w:ascii="Palatino Linotype" w:eastAsia="Palatino Linotype" w:hAnsi="Palatino Linotype" w:cs="Palatino Linotype"/>
          <w:i/>
        </w:rPr>
        <w:t xml:space="preserve"> Instituto Nacional para la Evaluación de la Educación. 13 julio de 2016. Por unanimidad. Comisionado Ponente: Francisco Javier Acuña Llamas.</w:t>
      </w:r>
    </w:p>
    <w:p w:rsidR="008B7B66" w:rsidRDefault="0006689C" w:rsidP="0006689C">
      <w:pPr>
        <w:numPr>
          <w:ilvl w:val="0"/>
          <w:numId w:val="3"/>
        </w:numPr>
        <w:spacing w:after="0" w:line="276" w:lineRule="auto"/>
        <w:ind w:right="618"/>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 xml:space="preserve">RRA 0310/16. </w:t>
      </w:r>
      <w:r>
        <w:rPr>
          <w:rFonts w:ascii="Palatino Linotype" w:eastAsia="Palatino Linotype" w:hAnsi="Palatino Linotype" w:cs="Palatino Linotype"/>
          <w:i/>
        </w:rPr>
        <w:t>Instituto Nacional de Transparencia, Acceso a la Información y Protección de Datos Personales. 10 de agosto de 2016. Por unanimidad. Comisionada Ponente. Areli Cano Guadiana.</w:t>
      </w:r>
    </w:p>
    <w:p w:rsidR="008B7B66" w:rsidRDefault="0006689C" w:rsidP="0006689C">
      <w:pPr>
        <w:numPr>
          <w:ilvl w:val="0"/>
          <w:numId w:val="3"/>
        </w:numPr>
        <w:spacing w:after="0" w:line="276" w:lineRule="auto"/>
        <w:ind w:right="618"/>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 xml:space="preserve">RRA 1889/16. </w:t>
      </w:r>
      <w:r>
        <w:rPr>
          <w:rFonts w:ascii="Palatino Linotype" w:eastAsia="Palatino Linotype" w:hAnsi="Palatino Linotype" w:cs="Palatino Linotype"/>
          <w:i/>
        </w:rPr>
        <w:t>Secretaría de Hacienda y Crédito Público. 05 de octubre de 2016. Por unanimidad. Comisionada Ponente. Ximena Puente de la Mora.</w:t>
      </w:r>
    </w:p>
    <w:p w:rsidR="008B7B66" w:rsidRPr="0006689C" w:rsidRDefault="008B7B66" w:rsidP="0006689C">
      <w:pPr>
        <w:spacing w:line="276" w:lineRule="auto"/>
        <w:ind w:left="567" w:right="618"/>
        <w:contextualSpacing/>
        <w:jc w:val="both"/>
        <w:rPr>
          <w:rFonts w:ascii="Palatino Linotype" w:eastAsia="Palatino Linotype" w:hAnsi="Palatino Linotype" w:cs="Palatino Linotype"/>
          <w:sz w:val="24"/>
        </w:rPr>
      </w:pPr>
    </w:p>
    <w:p w:rsidR="008B7B66" w:rsidRDefault="0006689C">
      <w:pPr>
        <w:numPr>
          <w:ilvl w:val="0"/>
          <w:numId w:val="6"/>
        </w:numPr>
        <w:pBdr>
          <w:top w:val="nil"/>
          <w:left w:val="nil"/>
          <w:bottom w:val="nil"/>
          <w:right w:val="nil"/>
          <w:between w:val="nil"/>
        </w:pBdr>
        <w:spacing w:before="240" w:after="0" w:line="360" w:lineRule="auto"/>
        <w:ind w:right="13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Estado de fuerza.</w:t>
      </w:r>
    </w:p>
    <w:p w:rsidR="008B7B66" w:rsidRDefault="008B7B66">
      <w:pPr>
        <w:pBdr>
          <w:top w:val="nil"/>
          <w:left w:val="nil"/>
          <w:bottom w:val="nil"/>
          <w:right w:val="nil"/>
          <w:between w:val="nil"/>
        </w:pBdr>
        <w:spacing w:after="0" w:line="360" w:lineRule="auto"/>
        <w:ind w:left="1080" w:right="139"/>
        <w:jc w:val="both"/>
        <w:rPr>
          <w:rFonts w:ascii="Palatino Linotype" w:eastAsia="Palatino Linotype" w:hAnsi="Palatino Linotype" w:cs="Palatino Linotype"/>
          <w:b/>
          <w:color w:val="000000"/>
          <w:sz w:val="24"/>
          <w:szCs w:val="24"/>
        </w:rPr>
      </w:pPr>
    </w:p>
    <w:p w:rsidR="008B7B66" w:rsidRDefault="000668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Sobre este punto, debemos partir desde la máxima establecida en nuestro texto Constitucional Federal pues el artículo 21 en su párrafo noveno reconoce que la seguridad pública es una función del Estado a cargo de la Federación, las Entidades Federativas y </w:t>
      </w:r>
      <w:r>
        <w:rPr>
          <w:rFonts w:ascii="Palatino Linotype" w:eastAsia="Palatino Linotype" w:hAnsi="Palatino Linotype" w:cs="Palatino Linotype"/>
          <w:b/>
          <w:color w:val="000000"/>
          <w:sz w:val="24"/>
          <w:szCs w:val="24"/>
        </w:rPr>
        <w:t>los Municipios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cuyos fines son salvaguardar la vida, las libertades, la integridad y el patrimonio de las personas, así como contribuir a la generación y preservación del orden público y la paz social</w:t>
      </w:r>
      <w:r>
        <w:rPr>
          <w:rFonts w:ascii="Palatino Linotype" w:eastAsia="Palatino Linotype" w:hAnsi="Palatino Linotype" w:cs="Palatino Linotype"/>
          <w:color w:val="000000"/>
          <w:sz w:val="24"/>
          <w:szCs w:val="24"/>
        </w:rPr>
        <w:t xml:space="preserve">. Asimismo señala que la actuación </w:t>
      </w:r>
      <w:r>
        <w:rPr>
          <w:rFonts w:ascii="Palatino Linotype" w:eastAsia="Palatino Linotype" w:hAnsi="Palatino Linotype" w:cs="Palatino Linotype"/>
          <w:color w:val="000000"/>
          <w:sz w:val="24"/>
          <w:szCs w:val="24"/>
        </w:rPr>
        <w:lastRenderedPageBreak/>
        <w:t>de las instituciones de seguridad pública se regirá por los principios de legalidad, objetividad, eficiencia, profesionalismo, honradez y respeto a los derechos humanos.</w:t>
      </w:r>
    </w:p>
    <w:p w:rsidR="008B7B66" w:rsidRDefault="008B7B6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7B66" w:rsidRDefault="000668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Dicha circunstancia es replicada por la Ley de Seguridad del Estado de México en su artículo 1, fracciones II, III y V, las cuales señalan que dicho ordenamiento es de orden público, de interés social y de observancia general en todo el territorio del Estado de México y tiene por objeto establecer las bases de coordinación del Estado y los Municipios con la Federación, las Entidades Federativas, Municipios y Alcaldías de la Ciudad de México; integrar el Sistema Estatal de Seguridad Pública, que a su vez contribuirá con el Sistema Nacional de Seguridad Pública; para la construcción de las bases para una plena seguridad ciudadana.</w:t>
      </w:r>
    </w:p>
    <w:p w:rsidR="008B7B66" w:rsidRDefault="008B7B66">
      <w:pPr>
        <w:pBdr>
          <w:top w:val="nil"/>
          <w:left w:val="nil"/>
          <w:bottom w:val="nil"/>
          <w:right w:val="nil"/>
          <w:between w:val="nil"/>
        </w:pBdr>
        <w:spacing w:after="120" w:line="360" w:lineRule="auto"/>
        <w:jc w:val="both"/>
        <w:rPr>
          <w:rFonts w:ascii="Palatino Linotype" w:eastAsia="Palatino Linotype" w:hAnsi="Palatino Linotype" w:cs="Palatino Linotype"/>
          <w:color w:val="000000"/>
          <w:sz w:val="24"/>
          <w:szCs w:val="24"/>
        </w:rPr>
      </w:pPr>
    </w:p>
    <w:p w:rsidR="008B7B66" w:rsidRDefault="0006689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tal suerte que con lo señalado hasta este punto se advierte que la finalidad de la función de seguridad pública indudablemente tienen como eje central a la persona humana y, por ende, contribuyen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w:t>
      </w:r>
    </w:p>
    <w:p w:rsidR="008B7B66" w:rsidRDefault="008B7B6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8B7B66" w:rsidRDefault="0006689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Una vez acreditado el objeto de la seguridad pública, así como los sujetos encargados de ejecutar las acciones para consumar esta función, podemos observar con claridad la importancia de los elementos operativos que ejecutan estas acciones encaminadas a preservar el orden dentro de la dinámica social y podemos partir de este punto para determinar el riesgo de la divulgación de esta información y por ende, la procedencia de su clasificación como información reservada. </w:t>
      </w:r>
    </w:p>
    <w:p w:rsidR="008B7B66" w:rsidRDefault="008B7B6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8B7B66" w:rsidRDefault="0006689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primer momento podemos vislumbrar que el artículo 81, fracción II de la Ley de Seguridad del Estado de México dispone de manera expresa que toda información para la seguridad pública generada o en poder de Instituciones de Seguridad Pública o de cualquier instancia del Sistema Estatal debe clasificarse, sirve de referencia la siguiente cita:</w:t>
      </w:r>
    </w:p>
    <w:p w:rsidR="008B7B66" w:rsidRDefault="008B7B6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8B7B66" w:rsidRDefault="0006689C" w:rsidP="0006689C">
      <w:pPr>
        <w:pBdr>
          <w:top w:val="nil"/>
          <w:left w:val="nil"/>
          <w:bottom w:val="nil"/>
          <w:right w:val="nil"/>
          <w:between w:val="nil"/>
        </w:pBdr>
        <w:spacing w:after="120" w:line="240" w:lineRule="auto"/>
        <w:ind w:left="567" w:right="992"/>
        <w:contextualSpacing/>
        <w:jc w:val="both"/>
        <w:rPr>
          <w:rFonts w:ascii="Palatino Linotype" w:eastAsia="Palatino Linotype" w:hAnsi="Palatino Linotype" w:cs="Palatino Linotype"/>
          <w:i/>
        </w:rPr>
      </w:pPr>
      <w:r>
        <w:rPr>
          <w:rFonts w:ascii="Palatino Linotype" w:eastAsia="Palatino Linotype" w:hAnsi="Palatino Linotype" w:cs="Palatino Linotype"/>
          <w:i/>
        </w:rPr>
        <w:t>“Artículo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rsidR="008B7B66" w:rsidRDefault="0006689C" w:rsidP="0006689C">
      <w:pPr>
        <w:pBdr>
          <w:top w:val="nil"/>
          <w:left w:val="nil"/>
          <w:bottom w:val="nil"/>
          <w:right w:val="nil"/>
          <w:between w:val="nil"/>
        </w:pBdr>
        <w:spacing w:after="120" w:line="240" w:lineRule="auto"/>
        <w:ind w:left="567" w:right="992"/>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rsidR="008B7B66" w:rsidRDefault="0006689C" w:rsidP="0006689C">
      <w:pPr>
        <w:pBdr>
          <w:top w:val="nil"/>
          <w:left w:val="nil"/>
          <w:bottom w:val="nil"/>
          <w:right w:val="nil"/>
          <w:between w:val="nil"/>
        </w:pBdr>
        <w:spacing w:after="120" w:line="240" w:lineRule="auto"/>
        <w:ind w:left="567" w:right="992"/>
        <w:contextualSpacing/>
        <w:jc w:val="both"/>
        <w:rPr>
          <w:rFonts w:ascii="Palatino Linotype" w:eastAsia="Palatino Linotype" w:hAnsi="Palatino Linotype" w:cs="Palatino Linotype"/>
          <w:i/>
        </w:rPr>
      </w:pPr>
      <w:r>
        <w:rPr>
          <w:rFonts w:ascii="Palatino Linotype" w:eastAsia="Palatino Linotype" w:hAnsi="Palatino Linotype" w:cs="Palatino Linotype"/>
          <w:b/>
          <w:i/>
          <w:u w:val="single"/>
        </w:rPr>
        <w:t>II. Aquella cuya revelación pueda ser utilizada para actualizar o potenciar una amenaza a la seguridad pública o a las instituciones del Estado de México;</w:t>
      </w:r>
      <w:r>
        <w:rPr>
          <w:rFonts w:ascii="Palatino Linotype" w:eastAsia="Palatino Linotype" w:hAnsi="Palatino Linotype" w:cs="Palatino Linotype"/>
          <w:b/>
          <w:i/>
        </w:rPr>
        <w:t xml:space="preserve">” </w:t>
      </w:r>
      <w:r>
        <w:rPr>
          <w:rFonts w:ascii="Palatino Linotype" w:eastAsia="Palatino Linotype" w:hAnsi="Palatino Linotype" w:cs="Palatino Linotype"/>
          <w:i/>
        </w:rPr>
        <w:t>(Énfasis añadido)</w:t>
      </w:r>
    </w:p>
    <w:p w:rsidR="008B7B66" w:rsidRDefault="008B7B66">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b/>
          <w:i/>
          <w:sz w:val="24"/>
          <w:szCs w:val="24"/>
          <w:u w:val="single"/>
        </w:rPr>
      </w:pPr>
    </w:p>
    <w:p w:rsidR="008B7B66" w:rsidRDefault="0006689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armonía con esta disposición normativa, la Ley General de Transparencia y Acceso a la Información Pública, en su artículo 113, fracción I señala que deberá reservarse la información que con su publicación se comprometa a la seguridad </w:t>
      </w:r>
      <w:r>
        <w:rPr>
          <w:rFonts w:ascii="Palatino Linotype" w:eastAsia="Palatino Linotype" w:hAnsi="Palatino Linotype" w:cs="Palatino Linotype"/>
          <w:sz w:val="24"/>
          <w:szCs w:val="24"/>
        </w:rPr>
        <w:lastRenderedPageBreak/>
        <w:t xml:space="preserve">pública y cuente con un efecto demostrable, posteriormente el artículo 140 fracción I de la Ley de Transparencia Local replica esta circunstancia de reserva. </w:t>
      </w:r>
    </w:p>
    <w:p w:rsidR="008B7B66" w:rsidRDefault="008B7B6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8B7B66" w:rsidRDefault="0006689C" w:rsidP="0006689C">
      <w:pPr>
        <w:pBdr>
          <w:top w:val="nil"/>
          <w:left w:val="nil"/>
          <w:bottom w:val="nil"/>
          <w:right w:val="nil"/>
          <w:between w:val="nil"/>
        </w:pBdr>
        <w:spacing w:after="0" w:line="276" w:lineRule="auto"/>
        <w:contextualSpacing/>
        <w:jc w:val="both"/>
        <w:rPr>
          <w:rFonts w:ascii="Palatino Linotype" w:eastAsia="Palatino Linotype" w:hAnsi="Palatino Linotype" w:cs="Palatino Linotype"/>
          <w:b/>
        </w:rPr>
      </w:pPr>
      <w:r>
        <w:rPr>
          <w:rFonts w:ascii="Palatino Linotype" w:eastAsia="Palatino Linotype" w:hAnsi="Palatino Linotype" w:cs="Palatino Linotype"/>
          <w:b/>
        </w:rPr>
        <w:t>“Ley General de Transparencia y Acceso a la Información Pública:</w:t>
      </w:r>
    </w:p>
    <w:p w:rsidR="008B7B66" w:rsidRDefault="0006689C" w:rsidP="0006689C">
      <w:pPr>
        <w:pBdr>
          <w:top w:val="nil"/>
          <w:left w:val="nil"/>
          <w:bottom w:val="nil"/>
          <w:right w:val="nil"/>
          <w:between w:val="nil"/>
        </w:pBdr>
        <w:spacing w:after="120" w:line="276" w:lineRule="auto"/>
        <w:ind w:left="567" w:right="990"/>
        <w:contextualSpacing/>
        <w:jc w:val="both"/>
        <w:rPr>
          <w:rFonts w:ascii="Palatino Linotype" w:eastAsia="Palatino Linotype" w:hAnsi="Palatino Linotype" w:cs="Palatino Linotype"/>
          <w:i/>
        </w:rPr>
      </w:pPr>
      <w:r>
        <w:rPr>
          <w:rFonts w:ascii="Palatino Linotype" w:eastAsia="Palatino Linotype" w:hAnsi="Palatino Linotype" w:cs="Palatino Linotype"/>
          <w:i/>
        </w:rPr>
        <w:t>Artículo 113. Como información reservada podrá clasificarse aquella cuya publicación:</w:t>
      </w:r>
    </w:p>
    <w:p w:rsidR="008B7B66" w:rsidRDefault="0006689C" w:rsidP="0006689C">
      <w:pPr>
        <w:pBdr>
          <w:top w:val="nil"/>
          <w:left w:val="nil"/>
          <w:bottom w:val="nil"/>
          <w:right w:val="nil"/>
          <w:between w:val="nil"/>
        </w:pBdr>
        <w:spacing w:after="120" w:line="276" w:lineRule="auto"/>
        <w:ind w:left="567" w:right="990"/>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I. Comprometa la seguridad nacional, la seguridad pública o la defensa nacional y cuente con un propósito genuino y un efecto demostrable</w:t>
      </w:r>
      <w:r>
        <w:rPr>
          <w:rFonts w:ascii="Palatino Linotype" w:eastAsia="Palatino Linotype" w:hAnsi="Palatino Linotype" w:cs="Palatino Linotype"/>
          <w:i/>
        </w:rPr>
        <w:t>;</w:t>
      </w:r>
    </w:p>
    <w:p w:rsidR="008B7B66" w:rsidRDefault="0006689C" w:rsidP="0006689C">
      <w:pPr>
        <w:pBdr>
          <w:top w:val="nil"/>
          <w:left w:val="nil"/>
          <w:bottom w:val="nil"/>
          <w:right w:val="nil"/>
          <w:between w:val="nil"/>
        </w:pBdr>
        <w:spacing w:after="120" w:line="276" w:lineRule="auto"/>
        <w:ind w:right="2124"/>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Ley de Transparencia y Acceso a la Información Pública del Estado de México y Municipios: </w:t>
      </w:r>
    </w:p>
    <w:p w:rsidR="008B7B66" w:rsidRDefault="0006689C" w:rsidP="0006689C">
      <w:pPr>
        <w:pBdr>
          <w:top w:val="nil"/>
          <w:left w:val="nil"/>
          <w:bottom w:val="nil"/>
          <w:right w:val="nil"/>
          <w:between w:val="nil"/>
        </w:pBdr>
        <w:spacing w:after="120" w:line="276" w:lineRule="auto"/>
        <w:ind w:left="567" w:right="990"/>
        <w:contextualSpacing/>
        <w:jc w:val="both"/>
        <w:rPr>
          <w:rFonts w:ascii="Palatino Linotype" w:eastAsia="Palatino Linotype" w:hAnsi="Palatino Linotype" w:cs="Palatino Linotype"/>
          <w:i/>
        </w:rPr>
      </w:pPr>
      <w:r>
        <w:rPr>
          <w:rFonts w:ascii="Palatino Linotype" w:eastAsia="Palatino Linotype" w:hAnsi="Palatino Linotype" w:cs="Palatino Linotype"/>
          <w:i/>
        </w:rPr>
        <w:t>Artículo 140. El acceso a la información pública será restringido excepcionalmente, cuando por razones de interés público, ésta sea clasificada como reservada, conforme a los criterios siguientes:</w:t>
      </w:r>
    </w:p>
    <w:p w:rsidR="008B7B66" w:rsidRDefault="0006689C" w:rsidP="0006689C">
      <w:pPr>
        <w:pBdr>
          <w:top w:val="nil"/>
          <w:left w:val="nil"/>
          <w:bottom w:val="nil"/>
          <w:right w:val="nil"/>
          <w:between w:val="nil"/>
        </w:pBdr>
        <w:spacing w:after="120" w:line="276" w:lineRule="auto"/>
        <w:ind w:left="567" w:right="990"/>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I. Comprometa la seguridad pública y cuente con un propósito genuino y un efecto demostrable</w:t>
      </w:r>
      <w:r>
        <w:rPr>
          <w:rFonts w:ascii="Palatino Linotype" w:eastAsia="Palatino Linotype" w:hAnsi="Palatino Linotype" w:cs="Palatino Linotype"/>
          <w:i/>
        </w:rPr>
        <w:t>;” (Énfasis añadido)</w:t>
      </w:r>
    </w:p>
    <w:p w:rsidR="008B7B66" w:rsidRPr="0006689C" w:rsidRDefault="008B7B66">
      <w:pPr>
        <w:pBdr>
          <w:top w:val="nil"/>
          <w:left w:val="nil"/>
          <w:bottom w:val="nil"/>
          <w:right w:val="nil"/>
          <w:between w:val="nil"/>
        </w:pBdr>
        <w:spacing w:after="120" w:line="276" w:lineRule="auto"/>
        <w:ind w:right="990"/>
        <w:jc w:val="both"/>
        <w:rPr>
          <w:rFonts w:ascii="Palatino Linotype" w:eastAsia="Palatino Linotype" w:hAnsi="Palatino Linotype" w:cs="Palatino Linotype"/>
          <w:b/>
          <w:sz w:val="24"/>
        </w:rPr>
      </w:pPr>
    </w:p>
    <w:p w:rsidR="008B7B66" w:rsidRDefault="0006689C">
      <w:p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Posteriormente los Lineamientos Generales en Materia de Clasificación y Desclasificación de la Información, así como para la Elaboración de Versiones Públicas, publicados el 16 de abril de 2016 y reformados el 18 de noviembre de 2022 señalan en su numeral décimo octavo que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8B7B66" w:rsidRDefault="008B7B66">
      <w:p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p>
    <w:p w:rsidR="008B7B66" w:rsidRDefault="0006689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Es crucial señalar que estos Lineamientos señalan </w:t>
      </w:r>
      <w:r>
        <w:rPr>
          <w:rFonts w:ascii="Palatino Linotype" w:eastAsia="Palatino Linotype" w:hAnsi="Palatino Linotype" w:cs="Palatino Linotype"/>
          <w:b/>
          <w:sz w:val="24"/>
          <w:szCs w:val="24"/>
          <w:u w:val="single"/>
        </w:rPr>
        <w:t>que es susceptible de considerarse como reservada aquella que revele datos que pudieran ser aprovechados para conocer la capacidad de reacción de las instituciones encargadas de la seguridad pública</w:t>
      </w:r>
      <w:r>
        <w:rPr>
          <w:rFonts w:ascii="Palatino Linotype" w:eastAsia="Palatino Linotype" w:hAnsi="Palatino Linotype" w:cs="Palatino Linotype"/>
          <w:sz w:val="24"/>
          <w:szCs w:val="24"/>
        </w:rPr>
        <w:t>, sus planes, estrategias, tecnología, información, sistemas de comunicaciones.</w:t>
      </w:r>
    </w:p>
    <w:p w:rsidR="008B7B66" w:rsidRDefault="008B7B6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u w:val="single"/>
        </w:rPr>
      </w:pPr>
    </w:p>
    <w:p w:rsidR="008B7B66" w:rsidRDefault="0006689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Hasta este punto tenemos que los instrumentos normativos que debemos observar en estricto sentido disponen puntualmente la reserva de información para los casos en los que se revele información que pueda ser empleada para conocer la capacidad de reacción, es decir, todo lo relativo a servidores públicos operativos que integran las instituciones de seguridad pública, ya que su divulgación podría ser utilizada para actualizar o potenciar una amenaza para la seguridad pública de la sociedad; teniendo esto en cuenta y trasladando estas premisas al caso particular se estima que con la entrega de información relativa a los servidores públicos con funciones operativas adscritos a instituciones de seguridad pública, revela información actualizada sobre el número de policías operativos en activo a la fecha de la solicitud de información y en consecuencia su estado de fuerza vigente, lo cual no sólo contraviene lo dispuesto expresamente por las disposiciones previamente insertadas, sino que, además, pone en riesgo los valores jurídicos y los principios bajo los cuales de las instituciones de seguridad pública se debe regir como son la legalidad, objetividad, eficiencia, profesionalismo, honradez y respeto a los derechos humanos reconocidos en la Constitución General.</w:t>
      </w:r>
    </w:p>
    <w:p w:rsidR="008B7B66" w:rsidRDefault="008B7B6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8B7B66" w:rsidRDefault="0006689C">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conclusión la reserva del personal operativo procede por dos circunstancias:</w:t>
      </w:r>
    </w:p>
    <w:p w:rsidR="008B7B66" w:rsidRDefault="008B7B66">
      <w:pPr>
        <w:spacing w:after="0" w:line="360" w:lineRule="auto"/>
        <w:ind w:right="-3"/>
        <w:jc w:val="both"/>
        <w:rPr>
          <w:rFonts w:ascii="Palatino Linotype" w:eastAsia="Palatino Linotype" w:hAnsi="Palatino Linotype" w:cs="Palatino Linotype"/>
          <w:sz w:val="24"/>
          <w:szCs w:val="24"/>
        </w:rPr>
      </w:pPr>
    </w:p>
    <w:p w:rsidR="008B7B66" w:rsidRDefault="0006689C">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1. Se identifica en términos concretos cómo es que la información requerida podría comprometer el ejercicio de sus facultades constitucionales y, con ello, la seguridad </w:t>
      </w:r>
      <w:r>
        <w:rPr>
          <w:rFonts w:ascii="Palatino Linotype" w:eastAsia="Palatino Linotype" w:hAnsi="Palatino Linotype" w:cs="Palatino Linotype"/>
          <w:color w:val="000000"/>
          <w:sz w:val="24"/>
          <w:szCs w:val="24"/>
        </w:rPr>
        <w:t xml:space="preserve">pública, </w:t>
      </w:r>
      <w:r>
        <w:rPr>
          <w:rFonts w:ascii="Palatino Linotype" w:eastAsia="Palatino Linotype" w:hAnsi="Palatino Linotype" w:cs="Palatino Linotype"/>
          <w:sz w:val="24"/>
          <w:szCs w:val="24"/>
        </w:rPr>
        <w:t xml:space="preserve">en virtud de que: </w:t>
      </w:r>
    </w:p>
    <w:p w:rsidR="008B7B66" w:rsidRDefault="0006689C">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 La información podría ser aprovechada por los grupos criminales para conocer la capacidad de reacción </w:t>
      </w:r>
    </w:p>
    <w:p w:rsidR="008B7B66" w:rsidRDefault="0006689C">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 Con dicha información se revelarían a detalle las características funcionales del personal y con ello, su organización para el cumplimiento de sus funciones; y </w:t>
      </w:r>
    </w:p>
    <w:p w:rsidR="008B7B66" w:rsidRDefault="008B7B66">
      <w:pPr>
        <w:spacing w:after="0" w:line="360" w:lineRule="auto"/>
        <w:ind w:right="-3"/>
        <w:jc w:val="both"/>
        <w:rPr>
          <w:rFonts w:ascii="Palatino Linotype" w:eastAsia="Palatino Linotype" w:hAnsi="Palatino Linotype" w:cs="Palatino Linotype"/>
          <w:sz w:val="24"/>
          <w:szCs w:val="24"/>
        </w:rPr>
      </w:pPr>
    </w:p>
    <w:p w:rsidR="008B7B66" w:rsidRDefault="0006689C">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2. Existe una relación causal general entre la entrega de la información y la afectación a la seguridad pública, pues los grupos criminales estarían en posibilidad de obstaculizar o bloquear actividades encaminadas a preservar el orden dentro de la dinámica social. </w:t>
      </w:r>
    </w:p>
    <w:p w:rsidR="008B7B66" w:rsidRDefault="008B7B66">
      <w:pPr>
        <w:spacing w:after="0" w:line="360" w:lineRule="auto"/>
        <w:ind w:right="-3"/>
        <w:jc w:val="both"/>
        <w:rPr>
          <w:rFonts w:ascii="Palatino Linotype" w:eastAsia="Palatino Linotype" w:hAnsi="Palatino Linotype" w:cs="Palatino Linotype"/>
          <w:sz w:val="24"/>
          <w:szCs w:val="24"/>
          <w:highlight w:val="yellow"/>
        </w:rPr>
      </w:pPr>
    </w:p>
    <w:p w:rsidR="008B7B66" w:rsidRDefault="0006689C">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entre mayor información se dé a conocer respecto del </w:t>
      </w:r>
      <w:r>
        <w:rPr>
          <w:rFonts w:ascii="Palatino Linotype" w:eastAsia="Palatino Linotype" w:hAnsi="Palatino Linotype" w:cs="Palatino Linotype"/>
          <w:b/>
          <w:i/>
          <w:sz w:val="24"/>
          <w:szCs w:val="24"/>
        </w:rPr>
        <w:t xml:space="preserve">estado de fuerza </w:t>
      </w:r>
      <w:r>
        <w:rPr>
          <w:rFonts w:ascii="Palatino Linotype" w:eastAsia="Palatino Linotype" w:hAnsi="Palatino Linotype" w:cs="Palatino Linotype"/>
          <w:sz w:val="24"/>
          <w:szCs w:val="24"/>
        </w:rPr>
        <w:t xml:space="preserve">con que cuentan el Estado y Municipios, mayor es la probabilidad de que la información pueda implementarse como medio para actualizar o potenciar una amenaza en contra de la seguridad pública de los mismos. </w:t>
      </w:r>
    </w:p>
    <w:p w:rsidR="008B7B66" w:rsidRDefault="008B7B66">
      <w:pPr>
        <w:spacing w:after="0" w:line="360" w:lineRule="auto"/>
        <w:ind w:right="-3"/>
        <w:jc w:val="both"/>
        <w:rPr>
          <w:rFonts w:ascii="Palatino Linotype" w:eastAsia="Palatino Linotype" w:hAnsi="Palatino Linotype" w:cs="Palatino Linotype"/>
          <w:sz w:val="24"/>
          <w:szCs w:val="24"/>
        </w:rPr>
      </w:pPr>
    </w:p>
    <w:p w:rsidR="008B7B66" w:rsidRDefault="0006689C">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No pasa inadvertido para la suscrita que en los casos en los que se publiciten diversas notas o documentos en los que se dé a conocer información estadística sobre el número de elementos de policía con los que cuentan los ayuntamientos, </w:t>
      </w:r>
      <w:r>
        <w:rPr>
          <w:rFonts w:ascii="Palatino Linotype" w:eastAsia="Palatino Linotype" w:hAnsi="Palatino Linotype" w:cs="Palatino Linotype"/>
          <w:sz w:val="24"/>
          <w:szCs w:val="24"/>
        </w:rPr>
        <w:lastRenderedPageBreak/>
        <w:t>esta información no se encuentra actualizada a la fecha de la solicitud, aunado a que no se hace una distinción entre el número de personal operativo y administrativo.</w:t>
      </w:r>
    </w:p>
    <w:p w:rsidR="008B7B66" w:rsidRDefault="008B7B66">
      <w:pPr>
        <w:spacing w:after="0" w:line="360" w:lineRule="auto"/>
        <w:ind w:right="139"/>
        <w:jc w:val="both"/>
        <w:rPr>
          <w:rFonts w:ascii="Palatino Linotype" w:eastAsia="Palatino Linotype" w:hAnsi="Palatino Linotype" w:cs="Palatino Linotype"/>
          <w:sz w:val="24"/>
          <w:szCs w:val="24"/>
        </w:rPr>
      </w:pPr>
    </w:p>
    <w:p w:rsidR="008B7B66" w:rsidRDefault="0006689C">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w:t>
      </w:r>
      <w:r>
        <w:rPr>
          <w:rFonts w:ascii="Palatino Linotype" w:eastAsia="Palatino Linotype" w:hAnsi="Palatino Linotype" w:cs="Palatino Linotype"/>
          <w:color w:val="000000"/>
          <w:sz w:val="24"/>
          <w:szCs w:val="24"/>
        </w:rPr>
        <w:t xml:space="preserve">la información relativa a los servidores públicos operativos </w:t>
      </w:r>
      <w:r>
        <w:rPr>
          <w:rFonts w:ascii="Palatino Linotype" w:eastAsia="Palatino Linotype" w:hAnsi="Palatino Linotype" w:cs="Palatino Linotype"/>
          <w:sz w:val="24"/>
          <w:szCs w:val="24"/>
        </w:rPr>
        <w:t xml:space="preserve">adscritos a instituciones de seguridad pública,  deben recibir un tratamiento de carácter excepcional, y esto es en razón de que,  son los responsables de procurar el orden, la estabilidad y la defensa de la sociedad a la que pertenecen, por lo que, se estima que al proporcionar </w:t>
      </w:r>
      <w:r>
        <w:rPr>
          <w:rFonts w:ascii="Palatino Linotype" w:eastAsia="Palatino Linotype" w:hAnsi="Palatino Linotype" w:cs="Palatino Linotype"/>
          <w:color w:val="000000"/>
          <w:sz w:val="24"/>
          <w:szCs w:val="24"/>
        </w:rPr>
        <w:t xml:space="preserve">documentales en las que se aprecie dicha información, </w:t>
      </w:r>
      <w:r>
        <w:rPr>
          <w:rFonts w:ascii="Palatino Linotype" w:eastAsia="Palatino Linotype" w:hAnsi="Palatino Linotype" w:cs="Palatino Linotype"/>
          <w:sz w:val="24"/>
          <w:szCs w:val="24"/>
        </w:rPr>
        <w:t xml:space="preserve">se revela el número de servidores públicos operativos con funciones de seguridad pública activos en el </w:t>
      </w:r>
      <w:r>
        <w:rPr>
          <w:rFonts w:ascii="Palatino Linotype" w:eastAsia="Palatino Linotype" w:hAnsi="Palatino Linotype" w:cs="Palatino Linotype"/>
          <w:color w:val="000000"/>
          <w:sz w:val="24"/>
          <w:szCs w:val="24"/>
        </w:rPr>
        <w:t>Sujeto Obligado</w:t>
      </w:r>
      <w:r>
        <w:rPr>
          <w:rFonts w:ascii="Palatino Linotype" w:eastAsia="Palatino Linotype" w:hAnsi="Palatino Linotype" w:cs="Palatino Linotype"/>
          <w:sz w:val="24"/>
          <w:szCs w:val="24"/>
        </w:rPr>
        <w:t>; información con la que se da a conocer el estado de fuerza y la capacidad de reacción del órgano público.</w:t>
      </w:r>
    </w:p>
    <w:p w:rsidR="008B7B66" w:rsidRDefault="008B7B66">
      <w:pPr>
        <w:spacing w:after="0" w:line="360" w:lineRule="auto"/>
        <w:ind w:right="139"/>
        <w:jc w:val="both"/>
        <w:rPr>
          <w:rFonts w:ascii="Palatino Linotype" w:eastAsia="Palatino Linotype" w:hAnsi="Palatino Linotype" w:cs="Palatino Linotype"/>
          <w:sz w:val="24"/>
          <w:szCs w:val="24"/>
        </w:rPr>
      </w:pPr>
    </w:p>
    <w:p w:rsidR="008B7B66" w:rsidRDefault="0006689C">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por todo lo anteriormente expuesto que considero que en las líneas argumentativas que anteceden, se acreditó de manera fehaciente que esta información debe ser reservada pues su entrega revela datos que pudieran ser aprovechados para conocer la capacidad de reacción de las instituciones encargadas de la seguridad pública y </w:t>
      </w:r>
      <w:r>
        <w:rPr>
          <w:rFonts w:ascii="Palatino Linotype" w:eastAsia="Palatino Linotype" w:hAnsi="Palatino Linotype" w:cs="Palatino Linotype"/>
          <w:b/>
          <w:sz w:val="24"/>
          <w:szCs w:val="24"/>
          <w:u w:val="single"/>
        </w:rPr>
        <w:t xml:space="preserve">facilitaría a las células delictivas el neutralizar las acciones implementadas o por implementar para la preservación de la paz pública, afectando así su estado de fuerza, o bien les permita </w:t>
      </w:r>
      <w:r>
        <w:rPr>
          <w:rFonts w:ascii="Palatino Linotype" w:eastAsia="Palatino Linotype" w:hAnsi="Palatino Linotype" w:cs="Palatino Linotype"/>
          <w:sz w:val="24"/>
          <w:szCs w:val="24"/>
        </w:rPr>
        <w:t xml:space="preserve">realizar actos para amenazar, inhibir, extorsionar o corromper las funciones del personal operativo, lo que causaría una vulneración a la Seguridad Municipal, por lo tanto la suscrita no comparte las consideraciones vertidas en la resolución respecto del </w:t>
      </w:r>
      <w:r>
        <w:rPr>
          <w:rFonts w:ascii="Palatino Linotype" w:eastAsia="Palatino Linotype" w:hAnsi="Palatino Linotype" w:cs="Palatino Linotype"/>
          <w:sz w:val="24"/>
          <w:szCs w:val="24"/>
        </w:rPr>
        <w:lastRenderedPageBreak/>
        <w:t>tratamiento que se le da a la información relativa a elementos operativos de instituciones de seguridad pública, y  por ende formula el presente voto particular.</w:t>
      </w:r>
    </w:p>
    <w:p w:rsidR="008B7B66" w:rsidRDefault="008B7B66">
      <w:pPr>
        <w:spacing w:after="360" w:line="360" w:lineRule="auto"/>
        <w:ind w:right="139"/>
        <w:jc w:val="both"/>
        <w:rPr>
          <w:rFonts w:ascii="Palatino Linotype" w:eastAsia="Palatino Linotype" w:hAnsi="Palatino Linotype" w:cs="Palatino Linotype"/>
          <w:b/>
        </w:rPr>
      </w:pPr>
      <w:bookmarkStart w:id="4" w:name="_heading=h.1fob9te" w:colFirst="0" w:colLast="0"/>
      <w:bookmarkEnd w:id="4"/>
    </w:p>
    <w:p w:rsidR="008B7B66" w:rsidRDefault="0006689C">
      <w:pPr>
        <w:numPr>
          <w:ilvl w:val="0"/>
          <w:numId w:val="6"/>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De la publicidad de la fotografía de servidores públicos. </w:t>
      </w:r>
    </w:p>
    <w:p w:rsidR="008B7B66" w:rsidRDefault="0006689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por cuanto hace a la fotografía que obran en documentos que dan cuenta del cumplimiento de funciones, requisitos legales o que acredita a las personas como servidores públicos, la ponencia que resolvió aseveró que son de acceso público, bajo los siguientes argumentos:</w:t>
      </w:r>
    </w:p>
    <w:p w:rsidR="008B7B66" w:rsidRDefault="008B7B66">
      <w:pPr>
        <w:spacing w:after="0" w:line="360" w:lineRule="auto"/>
        <w:jc w:val="both"/>
        <w:rPr>
          <w:rFonts w:ascii="Palatino Linotype" w:eastAsia="Palatino Linotype" w:hAnsi="Palatino Linotype" w:cs="Palatino Linotype"/>
          <w:sz w:val="24"/>
          <w:szCs w:val="24"/>
        </w:rPr>
      </w:pPr>
    </w:p>
    <w:p w:rsidR="0006689C" w:rsidRPr="0006689C" w:rsidRDefault="0006689C" w:rsidP="0006689C">
      <w:pPr>
        <w:pBdr>
          <w:top w:val="nil"/>
          <w:left w:val="nil"/>
          <w:bottom w:val="nil"/>
          <w:right w:val="nil"/>
          <w:between w:val="nil"/>
        </w:pBdr>
        <w:spacing w:after="120" w:line="240" w:lineRule="auto"/>
        <w:ind w:left="567" w:right="992"/>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Pr="0006689C">
        <w:rPr>
          <w:rFonts w:ascii="Palatino Linotype" w:hAnsi="Palatino Linotype" w:cs="Tahoma"/>
          <w:bCs/>
          <w:i/>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06689C" w:rsidRPr="0006689C" w:rsidRDefault="0006689C" w:rsidP="0006689C">
      <w:pPr>
        <w:pBdr>
          <w:top w:val="nil"/>
          <w:left w:val="nil"/>
          <w:bottom w:val="nil"/>
          <w:right w:val="nil"/>
          <w:between w:val="nil"/>
        </w:pBdr>
        <w:spacing w:after="120" w:line="240" w:lineRule="auto"/>
        <w:ind w:left="567" w:right="992"/>
        <w:contextualSpacing/>
        <w:jc w:val="both"/>
        <w:rPr>
          <w:rFonts w:ascii="Palatino Linotype" w:eastAsia="Palatino Linotype" w:hAnsi="Palatino Linotype" w:cs="Palatino Linotype"/>
          <w:i/>
        </w:rPr>
      </w:pPr>
    </w:p>
    <w:p w:rsidR="0006689C" w:rsidRPr="0006689C" w:rsidRDefault="0006689C" w:rsidP="0006689C">
      <w:pPr>
        <w:pBdr>
          <w:top w:val="nil"/>
          <w:left w:val="nil"/>
          <w:bottom w:val="nil"/>
          <w:right w:val="nil"/>
          <w:between w:val="nil"/>
        </w:pBdr>
        <w:spacing w:after="120" w:line="240" w:lineRule="auto"/>
        <w:ind w:left="567" w:right="992"/>
        <w:contextualSpacing/>
        <w:jc w:val="both"/>
        <w:rPr>
          <w:rFonts w:ascii="Palatino Linotype" w:eastAsia="Palatino Linotype" w:hAnsi="Palatino Linotype" w:cs="Palatino Linotype"/>
          <w:i/>
        </w:rPr>
      </w:pPr>
      <w:r w:rsidRPr="0006689C">
        <w:rPr>
          <w:rFonts w:ascii="Palatino Linotype" w:hAnsi="Palatino Linotype" w:cs="Tahoma"/>
          <w:bCs/>
          <w:i/>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06689C" w:rsidRPr="0006689C" w:rsidRDefault="0006689C" w:rsidP="0006689C">
      <w:pPr>
        <w:pBdr>
          <w:top w:val="nil"/>
          <w:left w:val="nil"/>
          <w:bottom w:val="nil"/>
          <w:right w:val="nil"/>
          <w:between w:val="nil"/>
        </w:pBdr>
        <w:spacing w:after="120" w:line="240" w:lineRule="auto"/>
        <w:ind w:left="567" w:right="992"/>
        <w:contextualSpacing/>
        <w:jc w:val="both"/>
        <w:rPr>
          <w:rFonts w:ascii="Palatino Linotype" w:eastAsia="Palatino Linotype" w:hAnsi="Palatino Linotype" w:cs="Palatino Linotype"/>
          <w:i/>
        </w:rPr>
      </w:pPr>
    </w:p>
    <w:p w:rsidR="0006689C" w:rsidRPr="0006689C" w:rsidRDefault="0006689C" w:rsidP="0006689C">
      <w:pPr>
        <w:pBdr>
          <w:top w:val="nil"/>
          <w:left w:val="nil"/>
          <w:bottom w:val="nil"/>
          <w:right w:val="nil"/>
          <w:between w:val="nil"/>
        </w:pBdr>
        <w:spacing w:after="120" w:line="240" w:lineRule="auto"/>
        <w:ind w:left="567" w:right="992"/>
        <w:contextualSpacing/>
        <w:jc w:val="both"/>
        <w:rPr>
          <w:rFonts w:ascii="Palatino Linotype" w:eastAsia="Palatino Linotype" w:hAnsi="Palatino Linotype" w:cs="Palatino Linotype"/>
          <w:i/>
        </w:rPr>
      </w:pPr>
      <w:r w:rsidRPr="0006689C">
        <w:rPr>
          <w:rFonts w:ascii="Palatino Linotype" w:hAnsi="Palatino Linotype" w:cs="Tahoma"/>
          <w:bCs/>
          <w:i/>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w:t>
      </w:r>
      <w:r w:rsidRPr="0006689C">
        <w:rPr>
          <w:rFonts w:ascii="Palatino Linotype" w:hAnsi="Palatino Linotype" w:cs="Tahoma"/>
          <w:bCs/>
          <w:i/>
        </w:rPr>
        <w:lastRenderedPageBreak/>
        <w:t>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rsidR="0006689C" w:rsidRPr="0006689C" w:rsidRDefault="0006689C" w:rsidP="0006689C">
      <w:pPr>
        <w:pBdr>
          <w:top w:val="nil"/>
          <w:left w:val="nil"/>
          <w:bottom w:val="nil"/>
          <w:right w:val="nil"/>
          <w:between w:val="nil"/>
        </w:pBdr>
        <w:spacing w:after="120" w:line="240" w:lineRule="auto"/>
        <w:ind w:left="567" w:right="992"/>
        <w:contextualSpacing/>
        <w:jc w:val="both"/>
        <w:rPr>
          <w:rFonts w:ascii="Palatino Linotype" w:eastAsia="Palatino Linotype" w:hAnsi="Palatino Linotype" w:cs="Palatino Linotype"/>
          <w:i/>
        </w:rPr>
      </w:pPr>
    </w:p>
    <w:p w:rsidR="0006689C" w:rsidRPr="0006689C" w:rsidRDefault="0006689C" w:rsidP="0006689C">
      <w:pPr>
        <w:pBdr>
          <w:top w:val="nil"/>
          <w:left w:val="nil"/>
          <w:bottom w:val="nil"/>
          <w:right w:val="nil"/>
          <w:between w:val="nil"/>
        </w:pBdr>
        <w:spacing w:after="120" w:line="240" w:lineRule="auto"/>
        <w:ind w:left="567" w:right="992"/>
        <w:contextualSpacing/>
        <w:jc w:val="both"/>
        <w:rPr>
          <w:rFonts w:ascii="Palatino Linotype" w:eastAsia="Palatino Linotype" w:hAnsi="Palatino Linotype" w:cs="Palatino Linotype"/>
          <w:i/>
        </w:rPr>
      </w:pPr>
      <w:r w:rsidRPr="0006689C">
        <w:rPr>
          <w:rFonts w:ascii="Palatino Linotype" w:hAnsi="Palatino Linotype" w:cs="Tahoma"/>
          <w:bCs/>
          <w:i/>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06689C" w:rsidRPr="0006689C" w:rsidRDefault="0006689C" w:rsidP="0006689C">
      <w:pPr>
        <w:pBdr>
          <w:top w:val="nil"/>
          <w:left w:val="nil"/>
          <w:bottom w:val="nil"/>
          <w:right w:val="nil"/>
          <w:between w:val="nil"/>
        </w:pBdr>
        <w:spacing w:after="120" w:line="240" w:lineRule="auto"/>
        <w:ind w:left="567" w:right="992"/>
        <w:contextualSpacing/>
        <w:jc w:val="both"/>
        <w:rPr>
          <w:rFonts w:ascii="Palatino Linotype" w:eastAsia="Palatino Linotype" w:hAnsi="Palatino Linotype" w:cs="Palatino Linotype"/>
          <w:i/>
        </w:rPr>
      </w:pPr>
    </w:p>
    <w:p w:rsidR="0006689C" w:rsidRPr="0006689C" w:rsidRDefault="0006689C" w:rsidP="0006689C">
      <w:pPr>
        <w:pBdr>
          <w:top w:val="nil"/>
          <w:left w:val="nil"/>
          <w:bottom w:val="nil"/>
          <w:right w:val="nil"/>
          <w:between w:val="nil"/>
        </w:pBdr>
        <w:spacing w:after="120" w:line="240" w:lineRule="auto"/>
        <w:ind w:left="567" w:right="992"/>
        <w:contextualSpacing/>
        <w:jc w:val="both"/>
        <w:rPr>
          <w:rFonts w:ascii="Palatino Linotype" w:eastAsia="Palatino Linotype" w:hAnsi="Palatino Linotype" w:cs="Palatino Linotype"/>
          <w:i/>
        </w:rPr>
      </w:pPr>
      <w:r w:rsidRPr="0006689C">
        <w:rPr>
          <w:rFonts w:ascii="Palatino Linotype" w:hAnsi="Palatino Linotype" w:cs="Tahoma"/>
          <w:bCs/>
          <w:i/>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rsidR="0006689C" w:rsidRPr="0006689C" w:rsidRDefault="0006689C" w:rsidP="0006689C">
      <w:pPr>
        <w:pBdr>
          <w:top w:val="nil"/>
          <w:left w:val="nil"/>
          <w:bottom w:val="nil"/>
          <w:right w:val="nil"/>
          <w:between w:val="nil"/>
        </w:pBdr>
        <w:spacing w:after="120" w:line="240" w:lineRule="auto"/>
        <w:ind w:left="567" w:right="992"/>
        <w:contextualSpacing/>
        <w:jc w:val="both"/>
        <w:rPr>
          <w:rFonts w:ascii="Palatino Linotype" w:eastAsia="Palatino Linotype" w:hAnsi="Palatino Linotype" w:cs="Palatino Linotype"/>
          <w:i/>
        </w:rPr>
      </w:pPr>
    </w:p>
    <w:p w:rsidR="0006689C" w:rsidRPr="0006689C" w:rsidRDefault="0006689C" w:rsidP="0006689C">
      <w:pPr>
        <w:pBdr>
          <w:top w:val="nil"/>
          <w:left w:val="nil"/>
          <w:bottom w:val="nil"/>
          <w:right w:val="nil"/>
          <w:between w:val="nil"/>
        </w:pBdr>
        <w:spacing w:after="120" w:line="240" w:lineRule="auto"/>
        <w:ind w:left="567" w:right="992"/>
        <w:contextualSpacing/>
        <w:jc w:val="both"/>
        <w:rPr>
          <w:rFonts w:ascii="Palatino Linotype" w:eastAsia="Palatino Linotype" w:hAnsi="Palatino Linotype" w:cs="Palatino Linotype"/>
          <w:i/>
        </w:rPr>
      </w:pPr>
      <w:r w:rsidRPr="0006689C">
        <w:rPr>
          <w:rFonts w:ascii="Palatino Linotype" w:hAnsi="Palatino Linotype" w:cs="Tahoma"/>
          <w:bCs/>
          <w:i/>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06689C" w:rsidRPr="0006689C" w:rsidRDefault="0006689C" w:rsidP="0006689C">
      <w:pPr>
        <w:pBdr>
          <w:top w:val="nil"/>
          <w:left w:val="nil"/>
          <w:bottom w:val="nil"/>
          <w:right w:val="nil"/>
          <w:between w:val="nil"/>
        </w:pBdr>
        <w:spacing w:after="120" w:line="240" w:lineRule="auto"/>
        <w:ind w:left="567" w:right="992"/>
        <w:contextualSpacing/>
        <w:jc w:val="both"/>
        <w:rPr>
          <w:rFonts w:ascii="Palatino Linotype" w:eastAsia="Palatino Linotype" w:hAnsi="Palatino Linotype" w:cs="Palatino Linotype"/>
          <w:i/>
        </w:rPr>
      </w:pPr>
    </w:p>
    <w:p w:rsidR="0006689C" w:rsidRPr="0006689C" w:rsidRDefault="0006689C" w:rsidP="0006689C">
      <w:pPr>
        <w:pBdr>
          <w:top w:val="nil"/>
          <w:left w:val="nil"/>
          <w:bottom w:val="nil"/>
          <w:right w:val="nil"/>
          <w:between w:val="nil"/>
        </w:pBdr>
        <w:spacing w:after="120" w:line="240" w:lineRule="auto"/>
        <w:ind w:left="567" w:right="992"/>
        <w:contextualSpacing/>
        <w:jc w:val="both"/>
        <w:rPr>
          <w:rFonts w:ascii="Palatino Linotype" w:eastAsia="Palatino Linotype" w:hAnsi="Palatino Linotype" w:cs="Palatino Linotype"/>
          <w:i/>
        </w:rPr>
      </w:pPr>
      <w:r w:rsidRPr="0006689C">
        <w:rPr>
          <w:rFonts w:ascii="Palatino Linotype" w:hAnsi="Palatino Linotype" w:cs="Tahoma"/>
          <w:bCs/>
          <w:i/>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rsidR="0006689C" w:rsidRPr="0006689C" w:rsidRDefault="0006689C" w:rsidP="0006689C">
      <w:pPr>
        <w:pBdr>
          <w:top w:val="nil"/>
          <w:left w:val="nil"/>
          <w:bottom w:val="nil"/>
          <w:right w:val="nil"/>
          <w:between w:val="nil"/>
        </w:pBdr>
        <w:spacing w:after="120" w:line="240" w:lineRule="auto"/>
        <w:ind w:left="567" w:right="992"/>
        <w:contextualSpacing/>
        <w:jc w:val="both"/>
        <w:rPr>
          <w:rFonts w:ascii="Palatino Linotype" w:eastAsia="Palatino Linotype" w:hAnsi="Palatino Linotype" w:cs="Palatino Linotype"/>
          <w:i/>
        </w:rPr>
      </w:pPr>
    </w:p>
    <w:p w:rsidR="0006689C" w:rsidRPr="0006689C" w:rsidRDefault="0006689C" w:rsidP="0006689C">
      <w:pPr>
        <w:pBdr>
          <w:top w:val="nil"/>
          <w:left w:val="nil"/>
          <w:bottom w:val="nil"/>
          <w:right w:val="nil"/>
          <w:between w:val="nil"/>
        </w:pBdr>
        <w:spacing w:after="120" w:line="240" w:lineRule="auto"/>
        <w:ind w:left="567" w:right="992"/>
        <w:contextualSpacing/>
        <w:jc w:val="both"/>
        <w:rPr>
          <w:rFonts w:ascii="Palatino Linotype" w:eastAsia="Palatino Linotype" w:hAnsi="Palatino Linotype" w:cs="Palatino Linotype"/>
          <w:i/>
        </w:rPr>
      </w:pPr>
      <w:r w:rsidRPr="0006689C">
        <w:rPr>
          <w:rFonts w:ascii="Palatino Linotype" w:hAnsi="Palatino Linotype" w:cs="Tahoma"/>
          <w:bCs/>
          <w:i/>
        </w:rPr>
        <w:t xml:space="preserve">Conforme a lo anterior, las fotografías de servidores públicos sin importar el nivel o rango guardan la naturaleza de públicas (con excepción del personal operativo en </w:t>
      </w:r>
      <w:r w:rsidRPr="0006689C">
        <w:rPr>
          <w:rFonts w:ascii="Palatino Linotype" w:hAnsi="Palatino Linotype" w:cs="Tahoma"/>
          <w:bCs/>
          <w:i/>
        </w:rPr>
        <w:lastRenderedPageBreak/>
        <w:t>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i/>
        </w:rPr>
        <w:t>(Énfasis añadido)</w:t>
      </w:r>
    </w:p>
    <w:p w:rsidR="0006689C" w:rsidRDefault="0006689C">
      <w:pPr>
        <w:spacing w:after="0" w:line="360" w:lineRule="auto"/>
        <w:jc w:val="both"/>
        <w:rPr>
          <w:rFonts w:ascii="Palatino Linotype" w:eastAsia="Palatino Linotype" w:hAnsi="Palatino Linotype" w:cs="Palatino Linotype"/>
          <w:sz w:val="24"/>
          <w:szCs w:val="24"/>
        </w:rPr>
      </w:pPr>
    </w:p>
    <w:p w:rsidR="008B7B66" w:rsidRDefault="0006689C" w:rsidP="0006689C">
      <w:pPr>
        <w:tabs>
          <w:tab w:val="left" w:pos="4962"/>
        </w:tabs>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no escapa de la óptica de la suscrita que por cuanto hace a  la fotografía constituye la reproducción fiel de las características físicas de una persona en un momento determinado, además, de que representa un instrumento de identificación, proyección exterior y factor imprescindible para su propio reconocimiento como sujeto individual; por tanto, es un dato personal confidencial que debe protegerse en los documentos que lo contengan, según lo dispuesto por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rsidR="0006689C" w:rsidRDefault="0006689C" w:rsidP="0006689C">
      <w:pPr>
        <w:tabs>
          <w:tab w:val="left" w:pos="4962"/>
        </w:tabs>
        <w:spacing w:before="240" w:after="240" w:line="360" w:lineRule="auto"/>
        <w:contextualSpacing/>
        <w:jc w:val="both"/>
        <w:rPr>
          <w:rFonts w:ascii="Palatino Linotype" w:eastAsia="Palatino Linotype" w:hAnsi="Palatino Linotype" w:cs="Palatino Linotype"/>
          <w:sz w:val="24"/>
          <w:szCs w:val="24"/>
        </w:rPr>
      </w:pPr>
    </w:p>
    <w:p w:rsidR="0006689C" w:rsidRDefault="0006689C" w:rsidP="0006689C">
      <w:pPr>
        <w:tabs>
          <w:tab w:val="left" w:pos="4962"/>
        </w:tabs>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en materia de servidores públicos existen funciones que por su naturaleza pueden ser de un mayor interés público, es decir, aquellas que tienen un impacto directo en la vida de las personas y en el funcionamiento de la sociedad o de las instituciones públicas, ejemplo de ello pueden ser los servidores públicos cuya función implica una posición de poder que deba estar sujeta a escrutinio y rendición de cuentas ante la sociedad; otros ejemplos son los servidores públicos responsables de la administración de recursos públicos, la implementación de políticas públicas, la prestación de servicios públicos, entre otros. Por lo que, dado el interés público que reviste a las funciones de las y los funcionarios que dan atención al público, así </w:t>
      </w:r>
      <w:r>
        <w:rPr>
          <w:rFonts w:ascii="Palatino Linotype" w:eastAsia="Palatino Linotype" w:hAnsi="Palatino Linotype" w:cs="Palatino Linotype"/>
          <w:sz w:val="24"/>
          <w:szCs w:val="24"/>
        </w:rPr>
        <w:lastRenderedPageBreak/>
        <w:t xml:space="preserve">como aquellos que cuenten con la calidad de mando medio y/o superior, considero que se debe dejar visible su fotografía pues, hacer pública la imagen de éstos, puede contribuir a la transparencia y la rendición de cuentas, ya que permite a la ciudadanía identificar a los funcionarios que toman decisiones importantes en su nombre. Sin embargo, para el caso que nos ocupa se ordenó la entrega de información que, dada su propia y especial naturaleza, podría contener la fotografía de servidoras y servidores públicos que laboran para EL SUJETO OBLIGADO que no son mandos medios ni superiores y que tampoco tienen funciones de atención al público, por lo que los documentos que contengan dicho dato deberían ser entregados en versión pública testando la fotografía, pues se considera  importante equilibrar el interés público con el derecho a la privacidad de las y los servidores públicos y ponderar si realmente es necesario y proporcional hacer pública su imagen, pues,  en algunos casos, el interés público de hacer pública la imagen de un servidor público puede justificar la limitación de su derecho a la privacidad, pero esto debe evaluarse cuidadosamente en cada caso y no ser la regla general. </w:t>
      </w:r>
    </w:p>
    <w:p w:rsidR="0006689C" w:rsidRDefault="0006689C" w:rsidP="0006689C">
      <w:pPr>
        <w:tabs>
          <w:tab w:val="left" w:pos="4962"/>
        </w:tabs>
        <w:spacing w:before="240" w:after="240" w:line="360" w:lineRule="auto"/>
        <w:contextualSpacing/>
        <w:jc w:val="both"/>
        <w:rPr>
          <w:rFonts w:ascii="Palatino Linotype" w:eastAsia="Palatino Linotype" w:hAnsi="Palatino Linotype" w:cs="Palatino Linotype"/>
          <w:sz w:val="24"/>
          <w:szCs w:val="24"/>
        </w:rPr>
      </w:pPr>
    </w:p>
    <w:p w:rsidR="008B7B66" w:rsidRDefault="0006689C" w:rsidP="0006689C">
      <w:pPr>
        <w:tabs>
          <w:tab w:val="left" w:pos="4962"/>
        </w:tabs>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por las razones antes expuestas no comparto este punto del estudio de la resolución dictada, y, por ende se emite el presente Voto Particular pues considero que no se debe dejar visible la fotografía de las y los servidores públicos que NO cuenten con la calidad de mando medio y/o superior, o no tengan atención al público por tanto, se estima que se actualiza la causal de clasificación establecida en el artículo 143, fracción I, de la Ley de la Ley de Transparencia y Acceso a la Información Pública del Estado de México y Municipios.</w:t>
      </w:r>
    </w:p>
    <w:p w:rsidR="008B7B66" w:rsidRDefault="008B7B66" w:rsidP="0006689C">
      <w:pPr>
        <w:spacing w:after="0" w:line="360" w:lineRule="auto"/>
        <w:ind w:right="139"/>
        <w:contextualSpacing/>
        <w:jc w:val="both"/>
        <w:rPr>
          <w:rFonts w:ascii="Palatino Linotype" w:eastAsia="Palatino Linotype" w:hAnsi="Palatino Linotype" w:cs="Palatino Linotype"/>
          <w:sz w:val="24"/>
          <w:szCs w:val="24"/>
        </w:rPr>
      </w:pPr>
      <w:bookmarkStart w:id="5" w:name="_heading=h.3dy6vkm" w:colFirst="0" w:colLast="0"/>
      <w:bookmarkEnd w:id="5"/>
    </w:p>
    <w:p w:rsidR="008B7B66" w:rsidRDefault="008B7B66"/>
    <w:p w:rsidR="008B7B66" w:rsidRDefault="008B7B66"/>
    <w:p w:rsidR="008B7B66" w:rsidRDefault="008B7B66"/>
    <w:p w:rsidR="008B7B66" w:rsidRDefault="008B7B66"/>
    <w:p w:rsidR="008B7B66" w:rsidRDefault="008B7B66"/>
    <w:p w:rsidR="008B7B66" w:rsidRDefault="008B7B66"/>
    <w:p w:rsidR="008B7B66" w:rsidRDefault="008B7B66"/>
    <w:p w:rsidR="008B7B66" w:rsidRDefault="008B7B66"/>
    <w:p w:rsidR="008B7B66" w:rsidRDefault="008B7B66"/>
    <w:p w:rsidR="008B7B66" w:rsidRDefault="008B7B66"/>
    <w:p w:rsidR="008B7B66" w:rsidRDefault="008B7B66"/>
    <w:p w:rsidR="008B7B66" w:rsidRDefault="008B7B66"/>
    <w:sectPr w:rsidR="008B7B66">
      <w:headerReference w:type="even" r:id="rId10"/>
      <w:headerReference w:type="default" r:id="rId11"/>
      <w:footerReference w:type="default" r:id="rId12"/>
      <w:headerReference w:type="first" r:id="rId13"/>
      <w:pgSz w:w="12240" w:h="15840"/>
      <w:pgMar w:top="1417" w:right="1701" w:bottom="1417" w:left="1701" w:header="0"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AC2" w:rsidRDefault="0006689C">
      <w:pPr>
        <w:spacing w:after="0" w:line="240" w:lineRule="auto"/>
      </w:pPr>
      <w:r>
        <w:separator/>
      </w:r>
    </w:p>
  </w:endnote>
  <w:endnote w:type="continuationSeparator" w:id="0">
    <w:p w:rsidR="00123AC2" w:rsidRDefault="00066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B66" w:rsidRDefault="0006689C">
    <w:pPr>
      <w:pBdr>
        <w:top w:val="nil"/>
        <w:left w:val="nil"/>
        <w:bottom w:val="nil"/>
        <w:right w:val="nil"/>
        <w:between w:val="nil"/>
      </w:pBdr>
      <w:tabs>
        <w:tab w:val="center" w:pos="4252"/>
        <w:tab w:val="right" w:pos="8504"/>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F12DB">
      <w:rPr>
        <w:b/>
        <w:noProof/>
        <w:color w:val="000000"/>
        <w:sz w:val="24"/>
        <w:szCs w:val="24"/>
      </w:rPr>
      <w:t>27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F12DB">
      <w:rPr>
        <w:b/>
        <w:noProof/>
        <w:color w:val="000000"/>
        <w:sz w:val="24"/>
        <w:szCs w:val="24"/>
      </w:rPr>
      <w:t>27</w:t>
    </w:r>
    <w:r>
      <w:rPr>
        <w:b/>
        <w:color w:val="000000"/>
        <w:sz w:val="24"/>
        <w:szCs w:val="24"/>
      </w:rPr>
      <w:fldChar w:fldCharType="end"/>
    </w:r>
  </w:p>
  <w:p w:rsidR="008B7B66" w:rsidRDefault="008B7B66">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AC2" w:rsidRDefault="0006689C">
      <w:pPr>
        <w:spacing w:after="0" w:line="240" w:lineRule="auto"/>
      </w:pPr>
      <w:r>
        <w:separator/>
      </w:r>
    </w:p>
  </w:footnote>
  <w:footnote w:type="continuationSeparator" w:id="0">
    <w:p w:rsidR="00123AC2" w:rsidRDefault="0006689C">
      <w:pPr>
        <w:spacing w:after="0" w:line="240" w:lineRule="auto"/>
      </w:pPr>
      <w:r>
        <w:continuationSeparator/>
      </w:r>
    </w:p>
  </w:footnote>
  <w:footnote w:id="1">
    <w:p w:rsidR="008B7B66" w:rsidRDefault="0006689C">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B66" w:rsidRDefault="00CF12DB">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41.8pt;height:81.25pt;rotation:315;z-index:-251654144;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r w:rsidR="0006689C">
      <w:rPr>
        <w:noProof/>
        <w:lang w:val="es-MX"/>
      </w:rPr>
      <mc:AlternateContent>
        <mc:Choice Requires="wpg">
          <w:drawing>
            <wp:anchor distT="0" distB="0" distL="114300" distR="114300" simplePos="0" relativeHeight="251657216" behindDoc="0" locked="0" layoutInCell="1" hidden="0" allowOverlap="1">
              <wp:simplePos x="0" y="0"/>
              <wp:positionH relativeFrom="column">
                <wp:posOffset>1</wp:posOffset>
              </wp:positionH>
              <wp:positionV relativeFrom="paragraph">
                <wp:posOffset>0</wp:posOffset>
              </wp:positionV>
              <wp:extent cx="673100" cy="673100"/>
              <wp:effectExtent l="0" t="0" r="0" b="0"/>
              <wp:wrapNone/>
              <wp:docPr id="359975038"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8B7B66" w:rsidRDefault="008B7B6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73100" cy="673100"/>
              <wp:effectExtent b="0" l="0" r="0" t="0"/>
              <wp:wrapNone/>
              <wp:docPr id="35997503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73100" cy="673100"/>
                      </a:xfrm>
                      <a:prstGeom prst="rect"/>
                      <a:ln/>
                    </pic:spPr>
                  </pic:pic>
                </a:graphicData>
              </a:graphic>
            </wp:anchor>
          </w:drawing>
        </mc:Fallback>
      </mc:AlternateContent>
    </w:r>
    <w:r w:rsidR="0006689C">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359975045"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8B7B66" w:rsidRDefault="008B7B6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359975045"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644525" cy="644525"/>
                      </a:xfrm>
                      <a:prstGeom prst="rect"/>
                      <a:ln/>
                    </pic:spPr>
                  </pic:pic>
                </a:graphicData>
              </a:graphic>
            </wp:anchor>
          </w:drawing>
        </mc:Fallback>
      </mc:AlternateContent>
    </w:r>
    <w:r w:rsidR="0006689C">
      <w:rPr>
        <w:noProof/>
        <w:lang w:val="es-MX"/>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359975040"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8B7B66" w:rsidRDefault="008B7B6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359975040"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644525" cy="644525"/>
                      </a:xfrm>
                      <a:prstGeom prst="rect"/>
                      <a:ln/>
                    </pic:spPr>
                  </pic:pic>
                </a:graphicData>
              </a:graphic>
            </wp:anchor>
          </w:drawing>
        </mc:Fallback>
      </mc:AlternateContent>
    </w:r>
    <w:r w:rsidR="0006689C">
      <w:rPr>
        <w:noProof/>
        <w:lang w:val="es-MX"/>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359975044"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8B7B66" w:rsidRDefault="008B7B6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359975044" name="image8.png"/>
              <a:graphic>
                <a:graphicData uri="http://schemas.openxmlformats.org/drawingml/2006/picture">
                  <pic:pic>
                    <pic:nvPicPr>
                      <pic:cNvPr id="0" name="image8.png"/>
                      <pic:cNvPicPr preferRelativeResize="0"/>
                    </pic:nvPicPr>
                    <pic:blipFill>
                      <a:blip r:embed="rId4"/>
                      <a:srcRect/>
                      <a:stretch>
                        <a:fillRect/>
                      </a:stretch>
                    </pic:blipFill>
                    <pic:spPr>
                      <a:xfrm>
                        <a:off x="0" y="0"/>
                        <a:ext cx="644525" cy="644525"/>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B66" w:rsidRDefault="008B7B66">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
      <w:tblW w:w="921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686"/>
      <w:gridCol w:w="5528"/>
    </w:tblGrid>
    <w:tr w:rsidR="008B7B66">
      <w:trPr>
        <w:trHeight w:val="1843"/>
      </w:trPr>
      <w:tc>
        <w:tcPr>
          <w:tcW w:w="3686" w:type="dxa"/>
          <w:vAlign w:val="bottom"/>
        </w:tcPr>
        <w:p w:rsidR="008B7B66" w:rsidRDefault="0006689C">
          <w:pPr>
            <w:pBdr>
              <w:top w:val="nil"/>
              <w:left w:val="nil"/>
              <w:bottom w:val="nil"/>
              <w:right w:val="nil"/>
              <w:between w:val="nil"/>
            </w:pBdr>
            <w:tabs>
              <w:tab w:val="center" w:pos="4252"/>
              <w:tab w:val="right" w:pos="8504"/>
              <w:tab w:val="center" w:pos="2614"/>
            </w:tabs>
            <w:ind w:left="-255"/>
            <w:rPr>
              <w:color w:val="000000"/>
            </w:rPr>
          </w:pPr>
          <w:r>
            <w:rPr>
              <w:noProof/>
              <w:color w:val="000000"/>
              <w:sz w:val="10"/>
              <w:szCs w:val="10"/>
              <w:lang w:val="es-MX"/>
            </w:rPr>
            <w:drawing>
              <wp:inline distT="0" distB="0" distL="0" distR="0">
                <wp:extent cx="1873633" cy="1126540"/>
                <wp:effectExtent l="0" t="0" r="0" b="0"/>
                <wp:docPr id="3599750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633" cy="1126540"/>
                        </a:xfrm>
                        <a:prstGeom prst="rect">
                          <a:avLst/>
                        </a:prstGeom>
                        <a:ln/>
                      </pic:spPr>
                    </pic:pic>
                  </a:graphicData>
                </a:graphic>
              </wp:inline>
            </w:drawing>
          </w:r>
        </w:p>
        <w:p w:rsidR="008B7B66" w:rsidRDefault="008B7B66">
          <w:pPr>
            <w:pBdr>
              <w:top w:val="nil"/>
              <w:left w:val="nil"/>
              <w:bottom w:val="nil"/>
              <w:right w:val="nil"/>
              <w:between w:val="nil"/>
            </w:pBdr>
            <w:tabs>
              <w:tab w:val="center" w:pos="4252"/>
              <w:tab w:val="right" w:pos="8504"/>
              <w:tab w:val="center" w:pos="2614"/>
            </w:tabs>
            <w:ind w:left="-255"/>
            <w:rPr>
              <w:color w:val="000000"/>
            </w:rPr>
          </w:pPr>
        </w:p>
      </w:tc>
      <w:tc>
        <w:tcPr>
          <w:tcW w:w="5528" w:type="dxa"/>
          <w:vAlign w:val="center"/>
        </w:tcPr>
        <w:p w:rsidR="008B7B66" w:rsidRDefault="008B7B66">
          <w:pPr>
            <w:pBdr>
              <w:top w:val="nil"/>
              <w:left w:val="nil"/>
              <w:bottom w:val="nil"/>
              <w:right w:val="nil"/>
              <w:between w:val="nil"/>
            </w:pBdr>
            <w:tabs>
              <w:tab w:val="center" w:pos="4252"/>
              <w:tab w:val="right" w:pos="8504"/>
            </w:tabs>
            <w:ind w:right="-250"/>
            <w:jc w:val="both"/>
            <w:rPr>
              <w:rFonts w:ascii="Palatino Linotype" w:eastAsia="Palatino Linotype" w:hAnsi="Palatino Linotype" w:cs="Palatino Linotype"/>
              <w:color w:val="000000"/>
            </w:rPr>
          </w:pPr>
        </w:p>
        <w:p w:rsidR="008B7B66" w:rsidRDefault="0006689C">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Particular.</w:t>
          </w:r>
        </w:p>
        <w:p w:rsidR="008B7B66" w:rsidRDefault="0006689C">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Recurso de Revisión: </w:t>
          </w:r>
          <w:r>
            <w:rPr>
              <w:rFonts w:ascii="Palatino Linotype" w:eastAsia="Palatino Linotype" w:hAnsi="Palatino Linotype" w:cs="Palatino Linotype"/>
              <w:color w:val="000000"/>
            </w:rPr>
            <w:t>14566/INFOEM/IP/RR/2022 y acumulados.</w:t>
          </w:r>
        </w:p>
        <w:p w:rsidR="008B7B66" w:rsidRDefault="0006689C">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Ayuntamiento de Melchor Ocampo.</w:t>
          </w:r>
        </w:p>
        <w:p w:rsidR="008B7B66" w:rsidRDefault="0006689C">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Comisionado Ponente: </w:t>
          </w:r>
          <w:r>
            <w:rPr>
              <w:rFonts w:ascii="Palatino Linotype" w:eastAsia="Palatino Linotype" w:hAnsi="Palatino Linotype" w:cs="Palatino Linotype"/>
              <w:color w:val="000000"/>
            </w:rPr>
            <w:t>Luis Gustavo Parra Noriega.</w:t>
          </w:r>
        </w:p>
      </w:tc>
    </w:tr>
  </w:tbl>
  <w:p w:rsidR="008B7B66" w:rsidRDefault="008B7B66">
    <w:pPr>
      <w:pBdr>
        <w:top w:val="nil"/>
        <w:left w:val="nil"/>
        <w:bottom w:val="nil"/>
        <w:right w:val="nil"/>
        <w:between w:val="nil"/>
      </w:pBdr>
      <w:tabs>
        <w:tab w:val="center" w:pos="4252"/>
        <w:tab w:val="right" w:pos="8504"/>
      </w:tabs>
      <w:spacing w:after="0" w:line="240" w:lineRule="auto"/>
      <w:rPr>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B66" w:rsidRDefault="00CF12DB">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541.8pt;height:81.25pt;rotation:315;z-index:-251655168;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r w:rsidR="0006689C">
      <w:rPr>
        <w:noProof/>
        <w:lang w:val="es-MX"/>
      </w:rPr>
      <mc:AlternateContent>
        <mc:Choice Requires="wpg">
          <w:drawing>
            <wp:anchor distT="0" distB="0" distL="114300" distR="114300" simplePos="0" relativeHeight="251653120" behindDoc="0" locked="0" layoutInCell="1" hidden="0" allowOverlap="1">
              <wp:simplePos x="0" y="0"/>
              <wp:positionH relativeFrom="column">
                <wp:posOffset>1</wp:posOffset>
              </wp:positionH>
              <wp:positionV relativeFrom="paragraph">
                <wp:posOffset>0</wp:posOffset>
              </wp:positionV>
              <wp:extent cx="673100" cy="673100"/>
              <wp:effectExtent l="0" t="0" r="0" b="0"/>
              <wp:wrapNone/>
              <wp:docPr id="359975046"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8B7B66" w:rsidRDefault="008B7B6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73100" cy="673100"/>
              <wp:effectExtent b="0" l="0" r="0" t="0"/>
              <wp:wrapNone/>
              <wp:docPr id="359975046"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673100" cy="673100"/>
                      </a:xfrm>
                      <a:prstGeom prst="rect"/>
                      <a:ln/>
                    </pic:spPr>
                  </pic:pic>
                </a:graphicData>
              </a:graphic>
            </wp:anchor>
          </w:drawing>
        </mc:Fallback>
      </mc:AlternateContent>
    </w:r>
    <w:r w:rsidR="0006689C">
      <w:rPr>
        <w:noProof/>
        <w:lang w:val="es-MX"/>
      </w:rPr>
      <mc:AlternateContent>
        <mc:Choice Requires="wpg">
          <w:drawing>
            <wp:anchor distT="0" distB="0" distL="114300" distR="114300" simplePos="0" relativeHeight="251654144"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359975041"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8B7B66" w:rsidRDefault="008B7B6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359975041"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44525" cy="644525"/>
                      </a:xfrm>
                      <a:prstGeom prst="rect"/>
                      <a:ln/>
                    </pic:spPr>
                  </pic:pic>
                </a:graphicData>
              </a:graphic>
            </wp:anchor>
          </w:drawing>
        </mc:Fallback>
      </mc:AlternateContent>
    </w:r>
    <w:r w:rsidR="0006689C">
      <w:rPr>
        <w:noProof/>
        <w:lang w:val="es-MX"/>
      </w:rPr>
      <mc:AlternateContent>
        <mc:Choice Requires="wpg">
          <w:drawing>
            <wp:anchor distT="0" distB="0" distL="114300" distR="114300" simplePos="0" relativeHeight="251655168"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359975043"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8B7B66" w:rsidRDefault="008B7B6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359975043"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644525" cy="644525"/>
                      </a:xfrm>
                      <a:prstGeom prst="rect"/>
                      <a:ln/>
                    </pic:spPr>
                  </pic:pic>
                </a:graphicData>
              </a:graphic>
            </wp:anchor>
          </w:drawing>
        </mc:Fallback>
      </mc:AlternateContent>
    </w:r>
    <w:r w:rsidR="0006689C">
      <w:rPr>
        <w:noProof/>
        <w:lang w:val="es-MX"/>
      </w:rPr>
      <mc:AlternateContent>
        <mc:Choice Requires="wpg">
          <w:drawing>
            <wp:anchor distT="0" distB="0" distL="114300" distR="114300" simplePos="0" relativeHeight="251656192"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359975042"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8B7B66" w:rsidRDefault="008B7B6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359975042" name="image6.png"/>
              <a:graphic>
                <a:graphicData uri="http://schemas.openxmlformats.org/drawingml/2006/picture">
                  <pic:pic>
                    <pic:nvPicPr>
                      <pic:cNvPr id="0" name="image6.png"/>
                      <pic:cNvPicPr preferRelativeResize="0"/>
                    </pic:nvPicPr>
                    <pic:blipFill>
                      <a:blip r:embed="rId4"/>
                      <a:srcRect/>
                      <a:stretch>
                        <a:fillRect/>
                      </a:stretch>
                    </pic:blipFill>
                    <pic:spPr>
                      <a:xfrm>
                        <a:off x="0" y="0"/>
                        <a:ext cx="644525" cy="644525"/>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75910"/>
    <w:multiLevelType w:val="multilevel"/>
    <w:tmpl w:val="2A50A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9F2C79"/>
    <w:multiLevelType w:val="multilevel"/>
    <w:tmpl w:val="ACD6F8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9E1BF1"/>
    <w:multiLevelType w:val="multilevel"/>
    <w:tmpl w:val="5768C6E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A52C55"/>
    <w:multiLevelType w:val="multilevel"/>
    <w:tmpl w:val="F4920B4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3D60BD"/>
    <w:multiLevelType w:val="multilevel"/>
    <w:tmpl w:val="F4145FB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5998572A"/>
    <w:multiLevelType w:val="multilevel"/>
    <w:tmpl w:val="58925FE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46126C2"/>
    <w:multiLevelType w:val="multilevel"/>
    <w:tmpl w:val="2002660C"/>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4"/>
  </w:num>
  <w:num w:numId="2">
    <w:abstractNumId w:val="3"/>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B66"/>
    <w:rsid w:val="0006689C"/>
    <w:rsid w:val="00123AC2"/>
    <w:rsid w:val="008B7B66"/>
    <w:rsid w:val="00CF12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F88C201-F21B-4B80-B46C-F908A5B0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480"/>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84480"/>
    <w:pPr>
      <w:spacing w:after="0" w:line="240" w:lineRule="auto"/>
      <w:ind w:left="720"/>
      <w:contextualSpacing/>
    </w:pPr>
    <w:rPr>
      <w:rFonts w:asciiTheme="minorHAnsi" w:eastAsiaTheme="minorEastAsia" w:hAnsiTheme="minorHAnsi" w:cstheme="minorBidi"/>
      <w:sz w:val="24"/>
      <w:szCs w:val="24"/>
      <w:lang w:val="es-MX"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84480"/>
    <w:rPr>
      <w:rFonts w:eastAsiaTheme="minorEastAsia"/>
      <w:sz w:val="24"/>
      <w:szCs w:val="24"/>
      <w:lang w:eastAsia="es-ES"/>
    </w:rPr>
  </w:style>
  <w:style w:type="paragraph" w:styleId="Piedepgina">
    <w:name w:val="footer"/>
    <w:basedOn w:val="Normal"/>
    <w:link w:val="PiedepginaCar"/>
    <w:uiPriority w:val="99"/>
    <w:unhideWhenUsed/>
    <w:rsid w:val="001844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4480"/>
    <w:rPr>
      <w:rFonts w:ascii="Calibri" w:eastAsia="Calibri" w:hAnsi="Calibri" w:cs="Calibri"/>
      <w:lang w:val="es-ES"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9.png"/><Relationship Id="rId1" Type="http://schemas.openxmlformats.org/officeDocument/2006/relationships/image" Target="media/image2.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5.png"/><Relationship Id="rId1" Type="http://schemas.openxmlformats.org/officeDocument/2006/relationships/image" Target="media/image10.png"/><Relationship Id="rId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oLEWuwUGCZy9yfoxlxND6DhaXA==">CgMxLjAyCWguMzBqMHpsbDIJaC4yZXQ5MnAwMghoLmdqZGd4czIJaC4zMGowemxsMgloLjFmb2I5dGUyCWguM2R5NnZrbTgAciExUVdYV1BkUWJoVUIxajNuVlVZeWM4S3dfUlZJUXFOWmU=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6944</Words>
  <Characters>38194</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cp:lastPrinted>2023-10-30T18:09:00Z</cp:lastPrinted>
  <dcterms:created xsi:type="dcterms:W3CDTF">2023-10-30T15:49:00Z</dcterms:created>
  <dcterms:modified xsi:type="dcterms:W3CDTF">2023-10-30T18:09:00Z</dcterms:modified>
</cp:coreProperties>
</file>