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E9B1D" w14:textId="082BC11E" w:rsidR="00445879" w:rsidRDefault="007B1CFA" w:rsidP="00CF3F65">
      <w:pPr>
        <w:spacing w:line="360" w:lineRule="auto"/>
        <w:jc w:val="both"/>
        <w:rPr>
          <w:rFonts w:ascii="Palatino Linotype" w:hAnsi="Palatino Linotype"/>
          <w:b/>
          <w:lang w:val="es-ES_tradnl"/>
        </w:rPr>
      </w:pPr>
      <w:r w:rsidRPr="00CF3F65">
        <w:rPr>
          <w:rFonts w:ascii="Palatino Linotype" w:hAnsi="Palatino Linotype" w:cs="Arial"/>
          <w:b/>
        </w:rPr>
        <w:t xml:space="preserve">VOTO </w:t>
      </w:r>
      <w:r w:rsidR="00445879" w:rsidRPr="00CF3F65">
        <w:rPr>
          <w:rFonts w:ascii="Palatino Linotype" w:hAnsi="Palatino Linotype" w:cs="Arial"/>
          <w:b/>
        </w:rPr>
        <w:t xml:space="preserve">PARTICULAR DE LA COMISIONADA MARÍA DEL ROSARIO MEJÍA AYALA EN </w:t>
      </w:r>
      <w:r w:rsidR="00EF3513">
        <w:rPr>
          <w:rFonts w:ascii="Palatino Linotype" w:hAnsi="Palatino Linotype" w:cs="Arial"/>
          <w:b/>
        </w:rPr>
        <w:t xml:space="preserve">EL </w:t>
      </w:r>
      <w:r w:rsidR="00445879" w:rsidRPr="00CF3F65">
        <w:rPr>
          <w:rFonts w:ascii="Palatino Linotype" w:hAnsi="Palatino Linotype" w:cs="Arial"/>
          <w:b/>
        </w:rPr>
        <w:t xml:space="preserve">RECURSO DE </w:t>
      </w:r>
      <w:r w:rsidR="006A7AB7" w:rsidRPr="00CF3F65">
        <w:rPr>
          <w:rFonts w:ascii="Palatino Linotype" w:hAnsi="Palatino Linotype" w:cs="Arial"/>
          <w:b/>
        </w:rPr>
        <w:t xml:space="preserve">REVISIÓN </w:t>
      </w:r>
      <w:r w:rsidR="007B578D">
        <w:rPr>
          <w:rFonts w:ascii="Palatino Linotype" w:hAnsi="Palatino Linotype" w:cs="Arial"/>
          <w:b/>
          <w:bCs/>
          <w:lang w:eastAsia="es-MX"/>
        </w:rPr>
        <w:t>01413</w:t>
      </w:r>
      <w:r w:rsidR="00DC0B15">
        <w:rPr>
          <w:rFonts w:ascii="Palatino Linotype" w:hAnsi="Palatino Linotype" w:cs="Arial"/>
          <w:b/>
          <w:bCs/>
          <w:lang w:eastAsia="es-MX"/>
        </w:rPr>
        <w:t>5/INFOEM/IP/RR/2022 y ACUMULADO.</w:t>
      </w:r>
      <w:bookmarkStart w:id="0" w:name="_GoBack"/>
      <w:bookmarkEnd w:id="0"/>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1" w:name="_Toc70345222"/>
      <w:r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60F0E591" w14:textId="7B6FFDBF"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7B578D">
        <w:rPr>
          <w:rFonts w:ascii="Palatino Linotype" w:hAnsi="Palatino Linotype" w:cs="Arial"/>
          <w:b/>
          <w:bCs/>
          <w:lang w:eastAsia="es-MX"/>
        </w:rPr>
        <w:t xml:space="preserve">014135/INFOEM/IP/RR/2022 </w:t>
      </w:r>
      <w:r w:rsidR="007B578D">
        <w:rPr>
          <w:rFonts w:ascii="Palatino Linotype" w:hAnsi="Palatino Linotype" w:cs="Arial"/>
          <w:bCs/>
          <w:lang w:eastAsia="es-MX"/>
        </w:rPr>
        <w:t xml:space="preserve">y acumulado,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7B578D">
        <w:rPr>
          <w:rFonts w:ascii="Palatino Linotype" w:hAnsi="Palatino Linotype" w:cs="Arial"/>
          <w:b/>
          <w:bCs/>
        </w:rPr>
        <w:t>Ayuntamiento de Atenco</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6414461F" w:rsidR="00BF358F" w:rsidRDefault="00EF3513" w:rsidP="00BF358F">
      <w:pPr>
        <w:spacing w:line="360" w:lineRule="auto"/>
        <w:jc w:val="both"/>
        <w:rPr>
          <w:rFonts w:ascii="Palatino Linotype" w:hAnsi="Palatino Linotype" w:cs="Arial"/>
          <w:lang w:val="es-MX"/>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 xml:space="preserve">las solicitudes de información pública registradas con los números </w:t>
      </w:r>
      <w:r w:rsidR="00BF358F">
        <w:rPr>
          <w:rFonts w:ascii="Palatino Linotype" w:hAnsi="Palatino Linotype" w:cs="Arial"/>
          <w:b/>
        </w:rPr>
        <w:t>00327/ATENCO/IP/2022</w:t>
      </w:r>
      <w:r w:rsidR="00BF358F">
        <w:rPr>
          <w:rFonts w:ascii="Palatino Linotype" w:hAnsi="Palatino Linotype" w:cs="Arial"/>
        </w:rPr>
        <w:t xml:space="preserve"> y </w:t>
      </w:r>
      <w:r w:rsidR="00BF358F">
        <w:rPr>
          <w:rFonts w:ascii="Palatino Linotype" w:hAnsi="Palatino Linotype" w:cs="Arial"/>
          <w:b/>
        </w:rPr>
        <w:t>00329/ATENCO/IP/2022</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BF358F">
        <w:rPr>
          <w:rFonts w:ascii="Palatino Linotype" w:hAnsi="Palatino Linotype" w:cs="Arial"/>
        </w:rPr>
        <w:t>mediante las cuales solicitó la siguiente información:</w:t>
      </w:r>
    </w:p>
    <w:p w14:paraId="153326FB" w14:textId="77777777" w:rsidR="00BF358F" w:rsidRDefault="00BF358F" w:rsidP="00BF358F">
      <w:pPr>
        <w:spacing w:line="360" w:lineRule="auto"/>
        <w:jc w:val="both"/>
        <w:rPr>
          <w:rFonts w:ascii="Palatino Linotype" w:hAnsi="Palatino Linotype" w:cs="Arial"/>
        </w:rPr>
      </w:pPr>
    </w:p>
    <w:p w14:paraId="666B1B6F" w14:textId="77777777" w:rsidR="00BF358F" w:rsidRDefault="00BF358F" w:rsidP="00BF358F">
      <w:pPr>
        <w:numPr>
          <w:ilvl w:val="0"/>
          <w:numId w:val="25"/>
        </w:numPr>
        <w:spacing w:line="360" w:lineRule="auto"/>
        <w:jc w:val="both"/>
        <w:rPr>
          <w:rFonts w:ascii="Palatino Linotype" w:hAnsi="Palatino Linotype" w:cs="Arial"/>
        </w:rPr>
      </w:pPr>
      <w:r>
        <w:rPr>
          <w:rFonts w:ascii="Palatino Linotype" w:hAnsi="Palatino Linotype" w:cs="Arial"/>
          <w:b/>
        </w:rPr>
        <w:t>00327/ATENCO/IP/2022:</w:t>
      </w:r>
    </w:p>
    <w:p w14:paraId="360870A1" w14:textId="77777777" w:rsidR="00BF358F" w:rsidRDefault="00BF358F" w:rsidP="00BF358F">
      <w:pPr>
        <w:spacing w:line="360" w:lineRule="auto"/>
        <w:jc w:val="both"/>
        <w:rPr>
          <w:rFonts w:ascii="Palatino Linotype" w:hAnsi="Palatino Linotype" w:cs="Arial"/>
        </w:rPr>
      </w:pPr>
    </w:p>
    <w:p w14:paraId="7CD59B43" w14:textId="77777777" w:rsidR="00BF358F" w:rsidRDefault="00BF358F" w:rsidP="00BF358F">
      <w:pPr>
        <w:tabs>
          <w:tab w:val="left" w:pos="5647"/>
        </w:tabs>
        <w:ind w:left="567" w:right="567"/>
        <w:jc w:val="both"/>
        <w:rPr>
          <w:rFonts w:ascii="Palatino Linotype" w:hAnsi="Palatino Linotype"/>
          <w:i/>
          <w:sz w:val="22"/>
          <w:lang w:val="es-ES_tradnl"/>
        </w:rPr>
      </w:pPr>
      <w:r>
        <w:rPr>
          <w:rFonts w:ascii="Palatino Linotype" w:hAnsi="Palatino Linotype"/>
          <w:i/>
          <w:lang w:val="es-ES_tradnl"/>
        </w:rPr>
        <w:lastRenderedPageBreak/>
        <w:t>"</w:t>
      </w:r>
      <w:r>
        <w:rPr>
          <w:rFonts w:ascii="Palatino Linotype" w:hAnsi="Palatino Linotype"/>
          <w:i/>
        </w:rPr>
        <w:t>Solicito el Curriculum Vitae, así como la semblanza curricular de la nueva directora del SMDIF</w:t>
      </w:r>
      <w:r>
        <w:rPr>
          <w:rFonts w:ascii="Palatino Linotype" w:hAnsi="Palatino Linotype"/>
          <w:i/>
          <w:lang w:val="es-ES_tradnl"/>
        </w:rPr>
        <w:t>"</w:t>
      </w:r>
    </w:p>
    <w:p w14:paraId="29B2642F" w14:textId="77777777" w:rsidR="00BF358F" w:rsidRDefault="00BF358F" w:rsidP="00BF358F">
      <w:pPr>
        <w:tabs>
          <w:tab w:val="left" w:pos="5647"/>
        </w:tabs>
        <w:spacing w:line="360" w:lineRule="auto"/>
        <w:ind w:right="567"/>
        <w:jc w:val="both"/>
        <w:rPr>
          <w:rFonts w:ascii="Palatino Linotype" w:hAnsi="Palatino Linotype"/>
          <w:lang w:val="es-ES_tradnl"/>
        </w:rPr>
      </w:pPr>
    </w:p>
    <w:p w14:paraId="3BBA28E1" w14:textId="77777777" w:rsidR="00BF358F" w:rsidRDefault="00BF358F" w:rsidP="00BF358F">
      <w:pPr>
        <w:numPr>
          <w:ilvl w:val="0"/>
          <w:numId w:val="25"/>
        </w:numPr>
        <w:spacing w:line="360" w:lineRule="auto"/>
        <w:jc w:val="both"/>
        <w:rPr>
          <w:rFonts w:ascii="Palatino Linotype" w:hAnsi="Palatino Linotype" w:cs="Arial"/>
        </w:rPr>
      </w:pPr>
      <w:r>
        <w:rPr>
          <w:rFonts w:ascii="Palatino Linotype" w:hAnsi="Palatino Linotype" w:cs="Arial"/>
          <w:b/>
        </w:rPr>
        <w:t>00329/ATENCO/IP/2022:</w:t>
      </w:r>
    </w:p>
    <w:p w14:paraId="6FBF165A" w14:textId="77777777" w:rsidR="00BF358F" w:rsidRDefault="00BF358F" w:rsidP="00BF358F">
      <w:pPr>
        <w:spacing w:line="360" w:lineRule="auto"/>
        <w:jc w:val="both"/>
        <w:rPr>
          <w:rFonts w:ascii="Palatino Linotype" w:eastAsiaTheme="minorHAnsi" w:hAnsi="Palatino Linotype" w:cs="Arial"/>
          <w:lang w:val="es-MX" w:eastAsia="en-US"/>
        </w:rPr>
      </w:pPr>
    </w:p>
    <w:p w14:paraId="10C97A00" w14:textId="77777777" w:rsidR="00BF358F" w:rsidRDefault="00BF358F" w:rsidP="00BF358F">
      <w:pPr>
        <w:tabs>
          <w:tab w:val="left" w:pos="5647"/>
        </w:tabs>
        <w:ind w:left="567" w:right="567"/>
        <w:jc w:val="both"/>
        <w:rPr>
          <w:rFonts w:ascii="Palatino Linotype" w:hAnsi="Palatino Linotype"/>
          <w:i/>
          <w:sz w:val="22"/>
          <w:lang w:val="es-ES_tradnl"/>
        </w:rPr>
      </w:pPr>
      <w:r>
        <w:rPr>
          <w:rFonts w:ascii="Palatino Linotype" w:hAnsi="Palatino Linotype"/>
          <w:i/>
          <w:lang w:val="es-ES_tradnl"/>
        </w:rPr>
        <w:t>"Solicito los Curriculums de los Regidores, del Director de Desarrollo Urbano, del Director o Encargado de Cultura, de la Directora de Administración, Director o Encargado de Eventos, del sindico Municipal, Secretario particular de la presidencia y de la presidenta municipal, así como los recibos de nomina de los mismo de enero del 2022 a la fecha que se de contestación y los procesos que se llevan por parte de contraloría en caso de tener algunos proceso algunos de ellos"</w:t>
      </w:r>
    </w:p>
    <w:p w14:paraId="1C5A1CDB" w14:textId="77777777" w:rsidR="00BF358F" w:rsidRDefault="00BF358F" w:rsidP="00BF358F">
      <w:pPr>
        <w:tabs>
          <w:tab w:val="left" w:pos="5647"/>
        </w:tabs>
        <w:spacing w:line="360" w:lineRule="auto"/>
        <w:ind w:right="850"/>
        <w:jc w:val="both"/>
        <w:rPr>
          <w:rFonts w:ascii="Palatino Linotype" w:hAnsi="Palatino Linotype"/>
          <w:lang w:val="es-ES_tradnl"/>
        </w:rPr>
      </w:pPr>
    </w:p>
    <w:p w14:paraId="4811C2A4" w14:textId="77777777" w:rsidR="00BF358F" w:rsidRDefault="00BF358F" w:rsidP="00BF358F">
      <w:pPr>
        <w:tabs>
          <w:tab w:val="left" w:pos="5647"/>
        </w:tabs>
        <w:spacing w:line="360" w:lineRule="auto"/>
        <w:ind w:right="850"/>
        <w:jc w:val="both"/>
        <w:rPr>
          <w:rFonts w:ascii="Palatino Linotype" w:eastAsiaTheme="minorHAnsi" w:hAnsi="Palatino Linotype" w:cstheme="minorBidi"/>
          <w:b/>
          <w:i/>
          <w:color w:val="000000"/>
          <w:lang w:val="es-MX" w:eastAsia="en-US"/>
        </w:rPr>
      </w:pPr>
      <w:r>
        <w:rPr>
          <w:rFonts w:ascii="Palatino Linotype" w:hAnsi="Palatino Linotype"/>
          <w:lang w:val="es-ES_tradnl"/>
        </w:rPr>
        <w:t xml:space="preserve">Modalidad de entrega: </w:t>
      </w:r>
      <w:r>
        <w:rPr>
          <w:rFonts w:ascii="Palatino Linotype" w:hAnsi="Palatino Linotype"/>
          <w:b/>
          <w:i/>
          <w:color w:val="000000"/>
        </w:rPr>
        <w:t>A través del SAIMEX</w:t>
      </w:r>
    </w:p>
    <w:p w14:paraId="6C64F98C" w14:textId="77777777" w:rsidR="00BF358F" w:rsidRPr="00BF358F" w:rsidRDefault="00BF358F" w:rsidP="00BF358F">
      <w:pPr>
        <w:tabs>
          <w:tab w:val="left" w:pos="5647"/>
        </w:tabs>
        <w:spacing w:line="360" w:lineRule="auto"/>
        <w:ind w:right="850"/>
        <w:jc w:val="both"/>
        <w:rPr>
          <w:rFonts w:ascii="Palatino Linotype" w:hAnsi="Palatino Linotype" w:cs="Arial"/>
          <w:color w:val="000000" w:themeColor="text1"/>
        </w:rPr>
      </w:pPr>
    </w:p>
    <w:p w14:paraId="215F879B" w14:textId="0EE50BE6" w:rsidR="00BF358F" w:rsidRPr="00BF358F" w:rsidRDefault="00BF358F" w:rsidP="00BF358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Respecto al punto que interesa en el presente voto, e</w:t>
      </w:r>
      <w:r w:rsidR="00EF3513">
        <w:rPr>
          <w:rFonts w:ascii="Palatino Linotype" w:hAnsi="Palatino Linotype" w:cs="Arial"/>
          <w:color w:val="000000" w:themeColor="text1"/>
        </w:rPr>
        <w:t xml:space="preserve">l </w:t>
      </w:r>
      <w:r w:rsidR="00326EEA">
        <w:rPr>
          <w:rFonts w:ascii="Palatino Linotype" w:hAnsi="Palatino Linotype" w:cs="Arial"/>
          <w:color w:val="000000" w:themeColor="text1"/>
        </w:rPr>
        <w:t xml:space="preserve">sujeto obligado </w:t>
      </w:r>
      <w:r w:rsidRPr="00BF358F">
        <w:rPr>
          <w:rFonts w:ascii="Palatino Linotype" w:hAnsi="Palatino Linotype" w:cs="Arial"/>
          <w:color w:val="000000" w:themeColor="text1"/>
        </w:rPr>
        <w:t>a través del Contralor Interno Municipal manifiesta sustancialmente lo siguiente:</w:t>
      </w:r>
    </w:p>
    <w:p w14:paraId="68E1F689" w14:textId="77777777" w:rsidR="00BF358F" w:rsidRDefault="00BF358F" w:rsidP="00BF358F">
      <w:pPr>
        <w:spacing w:line="360" w:lineRule="auto"/>
        <w:jc w:val="both"/>
        <w:rPr>
          <w:rFonts w:ascii="Palatino Linotype" w:hAnsi="Palatino Linotype" w:cs="Arial"/>
        </w:rPr>
      </w:pPr>
    </w:p>
    <w:p w14:paraId="3FBBCC92" w14:textId="77777777" w:rsidR="00BF358F" w:rsidRDefault="00BF358F" w:rsidP="00BF358F">
      <w:pPr>
        <w:ind w:left="567" w:right="567"/>
        <w:jc w:val="both"/>
        <w:rPr>
          <w:rFonts w:ascii="Palatino Linotype" w:hAnsi="Palatino Linotype" w:cs="Arial"/>
          <w:i/>
          <w:sz w:val="22"/>
        </w:rPr>
      </w:pPr>
      <w:r>
        <w:rPr>
          <w:rFonts w:ascii="Palatino Linotype" w:hAnsi="Palatino Linotype" w:cs="Arial"/>
          <w:i/>
        </w:rPr>
        <w:t xml:space="preserve">“Se hace de su conocimiento que en la parte que compete a esa contraloría referente a los </w:t>
      </w:r>
      <w:r>
        <w:rPr>
          <w:rFonts w:ascii="Palatino Linotype" w:hAnsi="Palatino Linotype" w:cs="Arial"/>
          <w:b/>
          <w:i/>
        </w:rPr>
        <w:t>procesos</w:t>
      </w:r>
      <w:r>
        <w:rPr>
          <w:rFonts w:ascii="Palatino Linotype" w:hAnsi="Palatino Linotype" w:cs="Arial"/>
          <w:i/>
        </w:rPr>
        <w:t xml:space="preserve"> que se llevan en contraloría, contamos con los procesos de observaciones por parte de los titulares de área, mismas que se encuentran en el momento de clasificación y calificación del procesamiento de la información.”</w:t>
      </w:r>
    </w:p>
    <w:p w14:paraId="7AD97ECD" w14:textId="49540CA5" w:rsidR="00EF3513" w:rsidRDefault="00EF3513" w:rsidP="00BF358F">
      <w:pPr>
        <w:tabs>
          <w:tab w:val="left" w:pos="709"/>
        </w:tabs>
        <w:spacing w:before="100" w:beforeAutospacing="1" w:after="100" w:afterAutospacing="1" w:line="360" w:lineRule="auto"/>
        <w:ind w:right="49"/>
        <w:jc w:val="both"/>
        <w:rPr>
          <w:rFonts w:ascii="Palatino Linotype" w:eastAsia="Calibri" w:hAnsi="Palatino Linotype" w:cs="Arial"/>
          <w:highlight w:val="cyan"/>
        </w:rPr>
      </w:pPr>
    </w:p>
    <w:p w14:paraId="10C0DF0E" w14:textId="64960373" w:rsidR="00EF3513" w:rsidRDefault="00EF3513" w:rsidP="00EF3513">
      <w:pPr>
        <w:spacing w:line="360" w:lineRule="auto"/>
        <w:jc w:val="both"/>
        <w:rPr>
          <w:rFonts w:ascii="Palatino Linotype" w:hAnsi="Palatino Linotype" w:cs="Arial"/>
          <w:color w:val="000000" w:themeColor="text1"/>
        </w:rPr>
      </w:pPr>
      <w:r w:rsidRPr="00EF3513">
        <w:rPr>
          <w:rFonts w:ascii="Palatino Linotype" w:hAnsi="Palatino Linotype" w:cs="Arial"/>
          <w:color w:val="000000" w:themeColor="text1"/>
        </w:rPr>
        <w:t>La resolución MODIFICA la respuesta proporcionada por el Ayuntamiento y  ordena haga entrega al RECURRENTE, vía el Sistema de Acceso a la Información Mexiquense (SAIMEX), de lo siguiente:</w:t>
      </w:r>
    </w:p>
    <w:p w14:paraId="7DA04D52" w14:textId="77777777" w:rsidR="00326EEA" w:rsidRPr="00EF3513" w:rsidRDefault="00326EEA" w:rsidP="00EF3513">
      <w:pPr>
        <w:spacing w:line="360" w:lineRule="auto"/>
        <w:jc w:val="both"/>
        <w:rPr>
          <w:rFonts w:ascii="Palatino Linotype" w:hAnsi="Palatino Linotype" w:cs="Arial"/>
          <w:color w:val="000000" w:themeColor="text1"/>
        </w:rPr>
      </w:pPr>
    </w:p>
    <w:p w14:paraId="4D466ED1" w14:textId="45E0B076" w:rsidR="00BF358F" w:rsidRPr="00BF358F" w:rsidRDefault="00BF358F" w:rsidP="00BF358F">
      <w:pPr>
        <w:pStyle w:val="Prrafodelista"/>
        <w:numPr>
          <w:ilvl w:val="0"/>
          <w:numId w:val="28"/>
        </w:numPr>
        <w:spacing w:line="360" w:lineRule="auto"/>
        <w:jc w:val="both"/>
        <w:rPr>
          <w:rFonts w:ascii="Palatino Linotype" w:hAnsi="Palatino Linotype" w:cs="Arial"/>
        </w:rPr>
      </w:pPr>
      <w:r w:rsidRPr="00BF358F">
        <w:rPr>
          <w:rFonts w:ascii="Palatino Linotype" w:hAnsi="Palatino Linotype" w:cs="Arial"/>
        </w:rPr>
        <w:t>Expediente de un proceso en contra de alguno de los servidores: del Director de Desarrollo Urbano, del Director o Encargado de Cultura, de la Directora de Administración, Director o Encargado de Eventos y Secretario particular de la Presidencia Municipal; y</w:t>
      </w:r>
    </w:p>
    <w:p w14:paraId="5239D794" w14:textId="77777777" w:rsidR="00EF3513" w:rsidRPr="00EF3513" w:rsidRDefault="00EF3513" w:rsidP="00EF3513">
      <w:pPr>
        <w:spacing w:line="276" w:lineRule="auto"/>
        <w:ind w:left="850" w:right="901"/>
        <w:jc w:val="both"/>
        <w:rPr>
          <w:rFonts w:ascii="Palatino Linotype" w:hAnsi="Palatino Linotype" w:cs="Arial"/>
          <w:color w:val="000000" w:themeColor="text1"/>
        </w:rPr>
      </w:pPr>
    </w:p>
    <w:p w14:paraId="540E82ED" w14:textId="61663A3E" w:rsidR="00BF358F" w:rsidRDefault="00BF358F" w:rsidP="00BF358F">
      <w:pPr>
        <w:tabs>
          <w:tab w:val="left" w:pos="709"/>
        </w:tabs>
        <w:spacing w:line="360" w:lineRule="auto"/>
        <w:jc w:val="both"/>
        <w:rPr>
          <w:rFonts w:ascii="Palatino Linotype" w:hAnsi="Palatino Linotype"/>
          <w:lang w:val="es-MX"/>
        </w:rPr>
      </w:pPr>
      <w:r>
        <w:rPr>
          <w:rFonts w:ascii="Palatino Linotype" w:hAnsi="Palatino Linotype"/>
        </w:rPr>
        <w:t>Indicando que, para el caso que los procedimientos administrativos devengan de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4BC193E4" w14:textId="77777777" w:rsidR="00BF358F" w:rsidRDefault="00BF358F" w:rsidP="00BF358F">
      <w:pPr>
        <w:tabs>
          <w:tab w:val="left" w:pos="709"/>
        </w:tabs>
        <w:spacing w:line="360" w:lineRule="auto"/>
        <w:jc w:val="both"/>
        <w:rPr>
          <w:rFonts w:ascii="Palatino Linotype" w:hAnsi="Palatino Linotype"/>
          <w:b/>
        </w:rPr>
      </w:pPr>
    </w:p>
    <w:p w14:paraId="6C4FC206" w14:textId="7E6670B0" w:rsidR="00EF3513" w:rsidRPr="00105578" w:rsidRDefault="00A7532A" w:rsidP="00EF351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Esta Ponencia no</w:t>
      </w:r>
      <w:r>
        <w:rPr>
          <w:rFonts w:ascii="Palatino Linotype" w:eastAsia="Palatino Linotype" w:hAnsi="Palatino Linotype" w:cs="Palatino Linotype"/>
        </w:rPr>
        <w:t xml:space="preserve"> comparte </w:t>
      </w:r>
      <w:r>
        <w:rPr>
          <w:rFonts w:ascii="Palatino Linotype" w:eastAsia="Palatino Linotype" w:hAnsi="Palatino Linotype" w:cs="Palatino Linotype"/>
          <w:color w:val="000000"/>
        </w:rPr>
        <w:t>reservar  el nombre, cargo y área de adscripción del Servidor Público absuelto</w:t>
      </w:r>
      <w:r>
        <w:rPr>
          <w:rFonts w:ascii="Palatino Linotype" w:eastAsia="Palatino Linotype" w:hAnsi="Palatino Linotype" w:cs="Palatino Linotype"/>
        </w:rPr>
        <w:t>, en los Procedimientos administrativos concluidos derivados de faltas graves, ya que no se aprecia que</w:t>
      </w:r>
      <w:r w:rsidR="00EF3513" w:rsidRPr="00105578">
        <w:rPr>
          <w:rFonts w:ascii="Palatino Linotype" w:eastAsia="Palatino Linotype" w:hAnsi="Palatino Linotype" w:cs="Palatino Linotype"/>
        </w:rPr>
        <w:t xml:space="preserve"> la información solicitada afecte la esfera privada de</w:t>
      </w:r>
      <w:r>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2"/>
    </w:p>
    <w:p w14:paraId="419FEA63" w14:textId="1517E566" w:rsidR="00A7532A" w:rsidRPr="00A7532A" w:rsidRDefault="00A7532A" w:rsidP="00A753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reserva del nombre, cargo y área de adscripción del Servidor Público absuelto en los Procedimientos administrativos concluidos derivados de faltas graves, al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361C33F8" w14:textId="77777777" w:rsidR="00530898" w:rsidRPr="00530898" w:rsidRDefault="00530898" w:rsidP="00530898">
      <w:pPr>
        <w:rPr>
          <w:rFonts w:eastAsia="Calibri"/>
        </w:rPr>
      </w:pPr>
    </w:p>
    <w:p w14:paraId="0A8BDD92" w14:textId="16B61CE2" w:rsidR="0043105B" w:rsidRDefault="0043105B" w:rsidP="00D96441">
      <w:pPr>
        <w:autoSpaceDE w:val="0"/>
        <w:autoSpaceDN w:val="0"/>
        <w:adjustRightInd w:val="0"/>
        <w:spacing w:line="360" w:lineRule="auto"/>
        <w:ind w:right="49"/>
        <w:jc w:val="both"/>
        <w:rPr>
          <w:rFonts w:ascii="Palatino Linotype" w:hAnsi="Palatino Linotype" w:cs="Arial"/>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72F73" w14:textId="77777777" w:rsidR="00BF07C9" w:rsidRDefault="00BF07C9" w:rsidP="00C80F8C">
      <w:r>
        <w:separator/>
      </w:r>
    </w:p>
  </w:endnote>
  <w:endnote w:type="continuationSeparator" w:id="0">
    <w:p w14:paraId="435EF024" w14:textId="77777777" w:rsidR="00BF07C9" w:rsidRDefault="00BF07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94E7D" w14:textId="77777777" w:rsidR="00BF07C9" w:rsidRDefault="00BF07C9" w:rsidP="00C80F8C">
      <w:r>
        <w:separator/>
      </w:r>
    </w:p>
  </w:footnote>
  <w:footnote w:type="continuationSeparator" w:id="0">
    <w:p w14:paraId="3A7BCC1E" w14:textId="77777777" w:rsidR="00BF07C9" w:rsidRDefault="00BF07C9"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https://www.oecd.org/corruption/ethics/estudio-integridad-mexico-aspectos-claves.p</w:t>
      </w:r>
      <w:r w:rsidR="00B05E5A">
        <w:t xml:space="preserve">df, p.3. </w:t>
      </w:r>
    </w:p>
  </w:footnote>
  <w:footnote w:id="5">
    <w:p w14:paraId="0B030E72" w14:textId="3129FDD7" w:rsidR="00B703D7" w:rsidRDefault="00B703D7" w:rsidP="00B703D7">
      <w:pPr>
        <w:pStyle w:val="Textonotapie"/>
        <w:jc w:val="both"/>
      </w:pPr>
      <w:r>
        <w:rPr>
          <w:rStyle w:val="Refdenotaalpie"/>
        </w:rPr>
        <w:footnoteRef/>
      </w:r>
      <w: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BF07C9">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BF07C9"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BF07C9">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2">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7"/>
  </w:num>
  <w:num w:numId="3">
    <w:abstractNumId w:val="7"/>
  </w:num>
  <w:num w:numId="4">
    <w:abstractNumId w:val="10"/>
  </w:num>
  <w:num w:numId="5">
    <w:abstractNumId w:val="20"/>
  </w:num>
  <w:num w:numId="6">
    <w:abstractNumId w:val="18"/>
  </w:num>
  <w:num w:numId="7">
    <w:abstractNumId w:val="15"/>
  </w:num>
  <w:num w:numId="8">
    <w:abstractNumId w:val="2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7D9"/>
    <w:rsid w:val="000B3FFD"/>
    <w:rsid w:val="000C43E5"/>
    <w:rsid w:val="000C4453"/>
    <w:rsid w:val="000D656A"/>
    <w:rsid w:val="00105578"/>
    <w:rsid w:val="001112E6"/>
    <w:rsid w:val="00115E7A"/>
    <w:rsid w:val="00135555"/>
    <w:rsid w:val="0018216B"/>
    <w:rsid w:val="001B3D11"/>
    <w:rsid w:val="001C7B07"/>
    <w:rsid w:val="0020666A"/>
    <w:rsid w:val="00216C06"/>
    <w:rsid w:val="002378AC"/>
    <w:rsid w:val="00284217"/>
    <w:rsid w:val="00294490"/>
    <w:rsid w:val="002D5B21"/>
    <w:rsid w:val="002E7D97"/>
    <w:rsid w:val="00312863"/>
    <w:rsid w:val="00326EEA"/>
    <w:rsid w:val="003D1F47"/>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F3A48"/>
    <w:rsid w:val="00621357"/>
    <w:rsid w:val="00634485"/>
    <w:rsid w:val="0067340C"/>
    <w:rsid w:val="0068101D"/>
    <w:rsid w:val="00685B0E"/>
    <w:rsid w:val="006A7AB7"/>
    <w:rsid w:val="006B2674"/>
    <w:rsid w:val="006E6389"/>
    <w:rsid w:val="006F0A6E"/>
    <w:rsid w:val="006F30F8"/>
    <w:rsid w:val="0071093C"/>
    <w:rsid w:val="00736C06"/>
    <w:rsid w:val="00760037"/>
    <w:rsid w:val="007617C8"/>
    <w:rsid w:val="00762C20"/>
    <w:rsid w:val="007A0EB7"/>
    <w:rsid w:val="007A1C9F"/>
    <w:rsid w:val="007B1CFA"/>
    <w:rsid w:val="007B578D"/>
    <w:rsid w:val="007C766E"/>
    <w:rsid w:val="007D4251"/>
    <w:rsid w:val="007D46B1"/>
    <w:rsid w:val="007D49CE"/>
    <w:rsid w:val="007E2D4F"/>
    <w:rsid w:val="007E70F8"/>
    <w:rsid w:val="00820022"/>
    <w:rsid w:val="00820034"/>
    <w:rsid w:val="00861117"/>
    <w:rsid w:val="00861A61"/>
    <w:rsid w:val="00892AFC"/>
    <w:rsid w:val="008B0A68"/>
    <w:rsid w:val="008D1526"/>
    <w:rsid w:val="008F67BC"/>
    <w:rsid w:val="00956B18"/>
    <w:rsid w:val="00961995"/>
    <w:rsid w:val="00975EB9"/>
    <w:rsid w:val="00997CD5"/>
    <w:rsid w:val="009E155A"/>
    <w:rsid w:val="009F0D8D"/>
    <w:rsid w:val="00A16950"/>
    <w:rsid w:val="00A303B0"/>
    <w:rsid w:val="00A53363"/>
    <w:rsid w:val="00A610D3"/>
    <w:rsid w:val="00A74BB7"/>
    <w:rsid w:val="00A7532A"/>
    <w:rsid w:val="00A81140"/>
    <w:rsid w:val="00AB78CF"/>
    <w:rsid w:val="00AC0680"/>
    <w:rsid w:val="00AE7763"/>
    <w:rsid w:val="00B014D8"/>
    <w:rsid w:val="00B05E5A"/>
    <w:rsid w:val="00B53290"/>
    <w:rsid w:val="00B64CFB"/>
    <w:rsid w:val="00B703D7"/>
    <w:rsid w:val="00B7360E"/>
    <w:rsid w:val="00B868A5"/>
    <w:rsid w:val="00BB11DB"/>
    <w:rsid w:val="00BB2AD1"/>
    <w:rsid w:val="00BC1756"/>
    <w:rsid w:val="00BD07E6"/>
    <w:rsid w:val="00BD7483"/>
    <w:rsid w:val="00BF07C9"/>
    <w:rsid w:val="00BF358F"/>
    <w:rsid w:val="00BF68F0"/>
    <w:rsid w:val="00BF6974"/>
    <w:rsid w:val="00C27236"/>
    <w:rsid w:val="00C65950"/>
    <w:rsid w:val="00C75CBC"/>
    <w:rsid w:val="00C80F8C"/>
    <w:rsid w:val="00C85F1D"/>
    <w:rsid w:val="00C8760D"/>
    <w:rsid w:val="00CF3F65"/>
    <w:rsid w:val="00D03369"/>
    <w:rsid w:val="00D20156"/>
    <w:rsid w:val="00D36ABC"/>
    <w:rsid w:val="00D96441"/>
    <w:rsid w:val="00DC0B15"/>
    <w:rsid w:val="00DC2CB7"/>
    <w:rsid w:val="00DC3082"/>
    <w:rsid w:val="00DD45AC"/>
    <w:rsid w:val="00DD5CD5"/>
    <w:rsid w:val="00DE1629"/>
    <w:rsid w:val="00DE5C27"/>
    <w:rsid w:val="00E429BA"/>
    <w:rsid w:val="00EF3513"/>
    <w:rsid w:val="00F05A30"/>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9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6B10-BAD6-4DB5-A3AC-B9690C3B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1584</Words>
  <Characters>8717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2022-09-05T17:37:00Z</cp:lastPrinted>
  <dcterms:created xsi:type="dcterms:W3CDTF">2023-01-23T21:44:00Z</dcterms:created>
  <dcterms:modified xsi:type="dcterms:W3CDTF">2023-12-20T18:24:00Z</dcterms:modified>
</cp:coreProperties>
</file>