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825F3" w14:textId="616D274E" w:rsidR="00F1670B" w:rsidRDefault="00642E0D" w:rsidP="007F24B9">
      <w:pPr>
        <w:spacing w:line="360" w:lineRule="auto"/>
        <w:jc w:val="both"/>
        <w:rPr>
          <w:rFonts w:ascii="Palatino Linotype" w:hAnsi="Palatino Linotype" w:cs="Tahoma"/>
          <w:sz w:val="22"/>
          <w:szCs w:val="22"/>
        </w:rPr>
      </w:pPr>
      <w:r w:rsidRPr="000D7476">
        <w:rPr>
          <w:rFonts w:ascii="Palatino Linotype" w:hAnsi="Palatino Linotype" w:cs="Tahoma"/>
          <w:b/>
        </w:rPr>
        <w:t xml:space="preserve">VOTO PARTICULAR QUE FORMULA LA COMISIONADA MARÍA DEL ROSARIO MEJÍA AYALA, CON RELACIÓN A LA RESOLUCIÓN EMITIDA POR EL PLENO DEL INSTITUTO DE TRANSPARENCIA, ACCESO A LA </w:t>
      </w:r>
      <w:r w:rsidRPr="007A70E8">
        <w:rPr>
          <w:rFonts w:ascii="Palatino Linotype" w:hAnsi="Palatino Linotype" w:cs="Tahoma"/>
          <w:b/>
        </w:rPr>
        <w:t xml:space="preserve">INFORMACIÓN </w:t>
      </w:r>
      <w:r w:rsidR="00093FBB" w:rsidRPr="00093FBB">
        <w:rPr>
          <w:rFonts w:ascii="Palatino Linotype" w:hAnsi="Palatino Linotype" w:cs="Tahoma"/>
          <w:b/>
        </w:rPr>
        <w:t xml:space="preserve">PÚBLICA Y PROTECCIÓN DE DATOS PERSONALES DEL ESTADO DE MÉXICO Y MUNICIPIOS AL RECURSO DE REVISIÓN </w:t>
      </w:r>
      <w:r w:rsidR="00093FBB" w:rsidRPr="00093FBB">
        <w:rPr>
          <w:rFonts w:ascii="Palatino Linotype" w:eastAsia="Calibri" w:hAnsi="Palatino Linotype" w:cs="Tahoma"/>
          <w:b/>
          <w:color w:val="000000"/>
        </w:rPr>
        <w:t>04826/INFOEM/IP/RR/2023</w:t>
      </w:r>
      <w:r w:rsidR="00093FBB" w:rsidRPr="00093FBB">
        <w:rPr>
          <w:rFonts w:ascii="Palatino Linotype" w:hAnsi="Palatino Linotype" w:cs="Tahoma"/>
          <w:b/>
        </w:rPr>
        <w:t xml:space="preserve">, PROMOVIDO EN CONTRA DEL </w:t>
      </w:r>
      <w:r w:rsidR="00093FBB" w:rsidRPr="00093FBB">
        <w:rPr>
          <w:rFonts w:ascii="Palatino Linotype" w:eastAsia="Calibri" w:hAnsi="Palatino Linotype" w:cs="Tahoma"/>
          <w:b/>
          <w:color w:val="000000"/>
        </w:rPr>
        <w:t>AYUNTAMIENTO DE VILLA DE ALLENDE</w:t>
      </w:r>
      <w:r w:rsidR="00060237">
        <w:rPr>
          <w:rFonts w:ascii="Palatino Linotype" w:hAnsi="Palatino Linotype" w:cs="Tahoma"/>
          <w:b/>
        </w:rPr>
        <w:t>.</w:t>
      </w:r>
    </w:p>
    <w:p w14:paraId="677F22C1" w14:textId="77777777" w:rsidR="005A2858" w:rsidRPr="000D7476" w:rsidRDefault="005A2858" w:rsidP="007F24B9">
      <w:pPr>
        <w:spacing w:line="360" w:lineRule="auto"/>
        <w:jc w:val="both"/>
        <w:rPr>
          <w:rFonts w:ascii="Palatino Linotype" w:hAnsi="Palatino Linotype" w:cs="Arial"/>
          <w:b/>
        </w:rPr>
      </w:pPr>
    </w:p>
    <w:p w14:paraId="51A10ACA" w14:textId="77777777" w:rsidR="007B1CFA" w:rsidRPr="000D7476" w:rsidRDefault="007B1CFA" w:rsidP="00E661AA">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0D7476">
        <w:rPr>
          <w:rFonts w:ascii="Palatino Linotype" w:hAnsi="Palatino Linotype"/>
          <w:color w:val="000000" w:themeColor="text1"/>
          <w:sz w:val="24"/>
          <w:szCs w:val="24"/>
        </w:rPr>
        <w:t>Consideraciones Generales.</w:t>
      </w:r>
      <w:bookmarkEnd w:id="0"/>
    </w:p>
    <w:p w14:paraId="2A27C14C" w14:textId="77777777" w:rsidR="007B1CFA" w:rsidRPr="000D7476" w:rsidRDefault="007B1CFA" w:rsidP="007F24B9">
      <w:pPr>
        <w:spacing w:line="360" w:lineRule="auto"/>
        <w:rPr>
          <w:rFonts w:ascii="Palatino Linotype" w:hAnsi="Palatino Linotype"/>
        </w:rPr>
      </w:pPr>
    </w:p>
    <w:p w14:paraId="60F0E591" w14:textId="0EFE50AB" w:rsidR="00530898" w:rsidRPr="005A2858" w:rsidRDefault="00CF3F65" w:rsidP="007F24B9">
      <w:pPr>
        <w:spacing w:line="360" w:lineRule="auto"/>
        <w:jc w:val="both"/>
        <w:rPr>
          <w:rFonts w:ascii="Palatino Linotype" w:hAnsi="Palatino Linotype" w:cs="Arial"/>
        </w:rPr>
      </w:pPr>
      <w:r w:rsidRPr="000D747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0D7476">
        <w:rPr>
          <w:rFonts w:ascii="Palatino Linotype" w:hAnsi="Palatino Linotype" w:cs="Arial"/>
        </w:rPr>
        <w:t xml:space="preserve"> que sustentan la Resolución del</w:t>
      </w:r>
      <w:r w:rsidR="006A7AB7" w:rsidRPr="000D7476">
        <w:rPr>
          <w:rFonts w:ascii="Palatino Linotype" w:hAnsi="Palatino Linotype" w:cs="Arial"/>
        </w:rPr>
        <w:t xml:space="preserve"> </w:t>
      </w:r>
      <w:r w:rsidRPr="000D7476">
        <w:rPr>
          <w:rFonts w:ascii="Palatino Linotype" w:hAnsi="Palatino Linotype" w:cs="Arial"/>
        </w:rPr>
        <w:t xml:space="preserve">Recurso de Revisión </w:t>
      </w:r>
      <w:r w:rsidR="00A96C64" w:rsidRPr="00A96C64">
        <w:rPr>
          <w:rFonts w:ascii="Palatino Linotype" w:hAnsi="Palatino Linotype" w:cs="Arial"/>
          <w:b/>
        </w:rPr>
        <w:t>04826/INFOEM/IP/RR/2023</w:t>
      </w:r>
      <w:r w:rsidR="007B578D" w:rsidRPr="00A96C64">
        <w:rPr>
          <w:rFonts w:ascii="Palatino Linotype" w:hAnsi="Palatino Linotype" w:cs="Arial"/>
        </w:rPr>
        <w:t xml:space="preserve">, </w:t>
      </w:r>
      <w:r w:rsidR="008B0A68" w:rsidRPr="000D7476">
        <w:rPr>
          <w:rFonts w:ascii="Palatino Linotype" w:hAnsi="Palatino Linotype" w:cs="Arial"/>
        </w:rPr>
        <w:t xml:space="preserve">presentado conforme al criterio mayoritario del Pleno, </w:t>
      </w:r>
      <w:r w:rsidRPr="000D7476">
        <w:rPr>
          <w:rFonts w:ascii="Palatino Linotype" w:hAnsi="Palatino Linotype" w:cs="Arial"/>
        </w:rPr>
        <w:t>promovido en contra de</w:t>
      </w:r>
      <w:r w:rsidR="0068101D" w:rsidRPr="000D7476">
        <w:rPr>
          <w:rFonts w:ascii="Palatino Linotype" w:hAnsi="Palatino Linotype" w:cs="Arial"/>
        </w:rPr>
        <w:t xml:space="preserve">l </w:t>
      </w:r>
      <w:r w:rsidR="00BC1756" w:rsidRPr="000D7476">
        <w:rPr>
          <w:rFonts w:ascii="Palatino Linotype" w:hAnsi="Palatino Linotype" w:cs="Arial"/>
        </w:rPr>
        <w:t xml:space="preserve"> </w:t>
      </w:r>
      <w:r w:rsidR="00A96C64" w:rsidRPr="00A96C64">
        <w:rPr>
          <w:rFonts w:ascii="Palatino Linotype" w:hAnsi="Palatino Linotype" w:cs="Arial"/>
        </w:rPr>
        <w:t>Ayuntamiento de Villa de Allende</w:t>
      </w:r>
      <w:r w:rsidR="00E119BC" w:rsidRPr="002A790D">
        <w:rPr>
          <w:rFonts w:ascii="Palatino Linotype" w:hAnsi="Palatino Linotype" w:cs="Arial"/>
        </w:rPr>
        <w:t>.</w:t>
      </w:r>
    </w:p>
    <w:p w14:paraId="66D32CD4" w14:textId="77777777" w:rsidR="00EF3513" w:rsidRPr="000D7476" w:rsidRDefault="00EF3513" w:rsidP="007F24B9">
      <w:pPr>
        <w:spacing w:line="360" w:lineRule="auto"/>
        <w:jc w:val="both"/>
        <w:rPr>
          <w:rFonts w:ascii="Palatino Linotype" w:eastAsia="Palatino Linotype" w:hAnsi="Palatino Linotype" w:cs="Palatino Linotype"/>
          <w:b/>
        </w:rPr>
      </w:pPr>
    </w:p>
    <w:p w14:paraId="17AEA9F0" w14:textId="77B0EC7E" w:rsidR="0039131A" w:rsidRPr="000D7476" w:rsidRDefault="00A765FA" w:rsidP="007F24B9">
      <w:pPr>
        <w:spacing w:line="360" w:lineRule="auto"/>
        <w:jc w:val="both"/>
        <w:rPr>
          <w:rFonts w:ascii="Palatino Linotype" w:hAnsi="Palatino Linotype" w:cs="Arial"/>
        </w:rPr>
      </w:pPr>
      <w:r w:rsidRPr="000D7476">
        <w:rPr>
          <w:rFonts w:ascii="Palatino Linotype" w:eastAsia="Calibri" w:hAnsi="Palatino Linotype"/>
          <w:bCs/>
        </w:rPr>
        <w:t>La parte</w:t>
      </w:r>
      <w:r w:rsidRPr="000D7476">
        <w:rPr>
          <w:rFonts w:ascii="Palatino Linotype" w:eastAsia="Calibri" w:hAnsi="Palatino Linotype"/>
          <w:b/>
        </w:rPr>
        <w:t xml:space="preserve"> </w:t>
      </w:r>
      <w:r w:rsidR="00EF3513" w:rsidRPr="000D7476">
        <w:rPr>
          <w:rFonts w:ascii="Palatino Linotype" w:eastAsia="Calibri" w:hAnsi="Palatino Linotype"/>
          <w:b/>
        </w:rPr>
        <w:t xml:space="preserve">RECURRENTE </w:t>
      </w:r>
      <w:r w:rsidR="00EF3513" w:rsidRPr="000D7476">
        <w:rPr>
          <w:rFonts w:ascii="Palatino Linotype" w:eastAsia="Calibri" w:hAnsi="Palatino Linotype"/>
          <w:bCs/>
        </w:rPr>
        <w:t>presentó</w:t>
      </w:r>
      <w:r w:rsidR="00EF3513" w:rsidRPr="000D7476">
        <w:rPr>
          <w:rFonts w:ascii="Palatino Linotype" w:eastAsia="Calibri" w:hAnsi="Palatino Linotype" w:cs="Arial"/>
        </w:rPr>
        <w:t xml:space="preserve"> vía Sistema de Acceso a la Información Mexiquense (</w:t>
      </w:r>
      <w:r w:rsidR="00EF3513" w:rsidRPr="000D7476">
        <w:rPr>
          <w:rFonts w:ascii="Palatino Linotype" w:eastAsia="Calibri" w:hAnsi="Palatino Linotype" w:cs="Arial"/>
          <w:b/>
        </w:rPr>
        <w:t>SAIMEX)</w:t>
      </w:r>
      <w:r w:rsidR="00EF3513" w:rsidRPr="000D7476">
        <w:rPr>
          <w:rFonts w:ascii="Palatino Linotype" w:eastAsia="Calibri" w:hAnsi="Palatino Linotype" w:cs="Arial"/>
        </w:rPr>
        <w:t>,</w:t>
      </w:r>
      <w:r w:rsidR="00A11D40" w:rsidRPr="000D7476">
        <w:rPr>
          <w:rFonts w:ascii="Palatino Linotype" w:eastAsia="Calibri" w:hAnsi="Palatino Linotype" w:cs="Arial"/>
        </w:rPr>
        <w:t xml:space="preserve"> </w:t>
      </w:r>
      <w:r w:rsidR="00BF358F" w:rsidRPr="000D7476">
        <w:rPr>
          <w:rFonts w:ascii="Palatino Linotype" w:eastAsia="Calibri" w:hAnsi="Palatino Linotype" w:cs="Arial"/>
        </w:rPr>
        <w:t>la</w:t>
      </w:r>
      <w:r w:rsidR="008C19BE" w:rsidRPr="000D7476">
        <w:rPr>
          <w:rFonts w:ascii="Palatino Linotype" w:eastAsia="Calibri" w:hAnsi="Palatino Linotype" w:cs="Arial"/>
        </w:rPr>
        <w:t xml:space="preserve"> solicitud</w:t>
      </w:r>
      <w:r w:rsidR="00BF358F" w:rsidRPr="000D7476">
        <w:rPr>
          <w:rFonts w:ascii="Palatino Linotype" w:eastAsia="Calibri" w:hAnsi="Palatino Linotype" w:cs="Arial"/>
        </w:rPr>
        <w:t xml:space="preserve"> de información pública</w:t>
      </w:r>
      <w:r w:rsidR="00B64C7A" w:rsidRPr="000D7476">
        <w:rPr>
          <w:rFonts w:ascii="Palatino Linotype" w:hAnsi="Palatino Linotype"/>
          <w:b/>
          <w:bCs/>
        </w:rPr>
        <w:t>,</w:t>
      </w:r>
      <w:r w:rsidR="00BF358F" w:rsidRPr="000D7476">
        <w:rPr>
          <w:rFonts w:ascii="Palatino Linotype" w:hAnsi="Palatino Linotype" w:cs="Arial"/>
          <w:b/>
          <w:lang w:eastAsia="es-MX"/>
        </w:rPr>
        <w:t xml:space="preserve"> </w:t>
      </w:r>
      <w:r w:rsidR="00E00BE5" w:rsidRPr="000D7476">
        <w:rPr>
          <w:rFonts w:ascii="Palatino Linotype" w:hAnsi="Palatino Linotype" w:cs="Arial"/>
        </w:rPr>
        <w:t>mediante la</w:t>
      </w:r>
      <w:r w:rsidR="00BF358F" w:rsidRPr="000D7476">
        <w:rPr>
          <w:rFonts w:ascii="Palatino Linotype" w:hAnsi="Palatino Linotype" w:cs="Arial"/>
        </w:rPr>
        <w:t xml:space="preserve"> cual </w:t>
      </w:r>
      <w:r w:rsidR="00B03386" w:rsidRPr="000D7476">
        <w:rPr>
          <w:rFonts w:ascii="Palatino Linotype" w:hAnsi="Palatino Linotype" w:cs="Arial"/>
        </w:rPr>
        <w:t xml:space="preserve">se </w:t>
      </w:r>
      <w:r w:rsidRPr="000D7476">
        <w:rPr>
          <w:rFonts w:ascii="Palatino Linotype" w:hAnsi="Palatino Linotype" w:cs="Arial"/>
        </w:rPr>
        <w:t>requiere</w:t>
      </w:r>
      <w:r w:rsidR="0039131A" w:rsidRPr="000D7476">
        <w:rPr>
          <w:rFonts w:ascii="Palatino Linotype" w:hAnsi="Palatino Linotype" w:cs="Arial"/>
        </w:rPr>
        <w:t>:</w:t>
      </w:r>
    </w:p>
    <w:p w14:paraId="52CCE3F4" w14:textId="77777777" w:rsidR="0039131A" w:rsidRPr="000D7476" w:rsidRDefault="0039131A" w:rsidP="007F24B9">
      <w:pPr>
        <w:spacing w:line="360" w:lineRule="auto"/>
        <w:ind w:right="758"/>
        <w:jc w:val="both"/>
        <w:rPr>
          <w:rFonts w:ascii="Palatino Linotype" w:hAnsi="Palatino Linotype" w:cs="Arial"/>
        </w:rPr>
      </w:pPr>
    </w:p>
    <w:p w14:paraId="4F506E97" w14:textId="77777777" w:rsidR="00A96C64" w:rsidRDefault="00A96C64" w:rsidP="00A96C64">
      <w:pPr>
        <w:spacing w:line="360" w:lineRule="auto"/>
        <w:jc w:val="both"/>
        <w:rPr>
          <w:rFonts w:ascii="Palatino Linotype" w:eastAsia="Calibri" w:hAnsi="Palatino Linotype" w:cs="Tahoma"/>
          <w:color w:val="000000"/>
          <w:lang w:val="es-MX"/>
        </w:rPr>
      </w:pPr>
      <w:bookmarkStart w:id="1" w:name="_heading=h.gjdgxs" w:colFirst="0" w:colLast="0"/>
      <w:bookmarkEnd w:id="1"/>
    </w:p>
    <w:p w14:paraId="5BAF7F74" w14:textId="77777777" w:rsidR="00A96C64" w:rsidRDefault="00A96C64" w:rsidP="00A96C64">
      <w:pPr>
        <w:tabs>
          <w:tab w:val="left" w:pos="4667"/>
        </w:tabs>
        <w:spacing w:line="360" w:lineRule="auto"/>
        <w:ind w:left="567" w:right="567"/>
        <w:jc w:val="both"/>
        <w:rPr>
          <w:rFonts w:ascii="Palatino Linotype" w:hAnsi="Palatino Linotype" w:cs="Tahoma"/>
          <w:b/>
          <w:i/>
          <w:iCs/>
          <w:sz w:val="20"/>
          <w:szCs w:val="20"/>
        </w:rPr>
      </w:pPr>
      <w:r>
        <w:rPr>
          <w:rFonts w:ascii="Palatino Linotype" w:hAnsi="Palatino Linotype" w:cs="Tahoma"/>
          <w:b/>
          <w:i/>
          <w:iCs/>
          <w:sz w:val="20"/>
          <w:szCs w:val="20"/>
        </w:rPr>
        <w:t>“DESCRIPCIÓN CLARA Y PRECISA DE LA INFORMACIÓN SOLICITADA.</w:t>
      </w:r>
    </w:p>
    <w:p w14:paraId="76B974DB" w14:textId="77777777" w:rsidR="00A96C64" w:rsidRDefault="00A96C64" w:rsidP="00A96C64">
      <w:pPr>
        <w:tabs>
          <w:tab w:val="left" w:pos="4667"/>
        </w:tabs>
        <w:spacing w:line="360" w:lineRule="auto"/>
        <w:ind w:left="567" w:right="567"/>
        <w:jc w:val="both"/>
        <w:rPr>
          <w:rFonts w:ascii="Palatino Linotype" w:hAnsi="Palatino Linotype" w:cs="Tahoma"/>
          <w:bCs/>
          <w:i/>
          <w:iCs/>
          <w:sz w:val="20"/>
          <w:szCs w:val="20"/>
        </w:rPr>
      </w:pPr>
      <w:r>
        <w:rPr>
          <w:rFonts w:ascii="Palatino Linotype" w:hAnsi="Palatino Linotype" w:cs="Arial"/>
          <w:bCs/>
          <w:i/>
          <w:iCs/>
          <w:sz w:val="20"/>
        </w:rPr>
        <w:t>Las bajas y altas de personal del ayuntamiento de villa de allende de enero 2022 a la fecha</w:t>
      </w:r>
      <w:r>
        <w:rPr>
          <w:rFonts w:ascii="Palatino Linotype" w:hAnsi="Palatino Linotype" w:cs="Tahoma"/>
          <w:bCs/>
          <w:i/>
          <w:iCs/>
          <w:sz w:val="20"/>
          <w:szCs w:val="20"/>
        </w:rPr>
        <w:t xml:space="preserve">” (Sic) </w:t>
      </w:r>
    </w:p>
    <w:p w14:paraId="4FCA3D1F" w14:textId="77777777" w:rsidR="00A96C64" w:rsidRDefault="00A96C64" w:rsidP="00A96C64">
      <w:pPr>
        <w:spacing w:line="360" w:lineRule="auto"/>
        <w:jc w:val="both"/>
        <w:rPr>
          <w:rFonts w:ascii="Palatino Linotype" w:eastAsia="Calibri" w:hAnsi="Palatino Linotype"/>
          <w:color w:val="000000"/>
        </w:rPr>
      </w:pPr>
    </w:p>
    <w:p w14:paraId="16275640" w14:textId="77777777" w:rsidR="00A96C64" w:rsidRDefault="00A96C64" w:rsidP="00A96C64">
      <w:pPr>
        <w:spacing w:line="360" w:lineRule="auto"/>
        <w:jc w:val="both"/>
        <w:rPr>
          <w:rFonts w:ascii="Palatino Linotype" w:eastAsia="Calibri" w:hAnsi="Palatino Linotype"/>
          <w:color w:val="000000"/>
          <w:lang w:val="es-MX"/>
        </w:rPr>
      </w:pPr>
      <w:r>
        <w:rPr>
          <w:rFonts w:ascii="Palatino Linotype" w:eastAsia="Calibri" w:hAnsi="Palatino Linotype"/>
          <w:color w:val="000000"/>
        </w:rPr>
        <w:t>Con fecha veintidós de agosto de dos mil veintitrés, el Sujeto Obligado notificó, a través del Sistema de Acceso a la Información Mexiquense (SAIMEX), la respuesta a la solicitud de acceso a la información pública, por medio de una relación, que contiene el número de altas y bajas, tal como se muestra a continuación:</w:t>
      </w:r>
    </w:p>
    <w:p w14:paraId="7E248C9E" w14:textId="77777777" w:rsidR="00A96C64" w:rsidRDefault="00A96C64" w:rsidP="00A96C64">
      <w:pPr>
        <w:spacing w:line="360" w:lineRule="auto"/>
        <w:jc w:val="both"/>
        <w:rPr>
          <w:rFonts w:ascii="Palatino Linotype" w:hAnsi="Palatino Linotype" w:cs="Tahoma"/>
          <w:i/>
        </w:rPr>
      </w:pPr>
    </w:p>
    <w:tbl>
      <w:tblPr>
        <w:tblStyle w:val="Tablaconcuadrcula"/>
        <w:tblW w:w="0" w:type="auto"/>
        <w:tblInd w:w="720" w:type="dxa"/>
        <w:tblLook w:val="04A0" w:firstRow="1" w:lastRow="0" w:firstColumn="1" w:lastColumn="0" w:noHBand="0" w:noVBand="1"/>
      </w:tblPr>
      <w:tblGrid>
        <w:gridCol w:w="4074"/>
        <w:gridCol w:w="4034"/>
      </w:tblGrid>
      <w:tr w:rsidR="00A96C64" w14:paraId="6C894184" w14:textId="77777777" w:rsidTr="00A96C64">
        <w:tc>
          <w:tcPr>
            <w:tcW w:w="4555" w:type="dxa"/>
            <w:tcBorders>
              <w:top w:val="single" w:sz="4" w:space="0" w:color="auto"/>
              <w:left w:val="single" w:sz="4" w:space="0" w:color="auto"/>
              <w:bottom w:val="single" w:sz="4" w:space="0" w:color="auto"/>
              <w:right w:val="single" w:sz="4" w:space="0" w:color="auto"/>
            </w:tcBorders>
            <w:hideMark/>
          </w:tcPr>
          <w:p w14:paraId="5B339284" w14:textId="77777777" w:rsidR="00A96C64" w:rsidRDefault="00A96C64">
            <w:pPr>
              <w:pStyle w:val="Prrafodelista"/>
              <w:spacing w:line="360" w:lineRule="auto"/>
              <w:ind w:left="0"/>
              <w:jc w:val="center"/>
              <w:rPr>
                <w:rFonts w:ascii="Palatino Linotype" w:hAnsi="Palatino Linotype" w:cs="Tahoma"/>
                <w:b/>
                <w:i/>
                <w:szCs w:val="24"/>
                <w:lang w:eastAsia="es-ES"/>
              </w:rPr>
            </w:pPr>
            <w:r>
              <w:rPr>
                <w:rFonts w:ascii="Palatino Linotype" w:hAnsi="Palatino Linotype" w:cs="Tahoma"/>
                <w:b/>
                <w:i/>
                <w:szCs w:val="24"/>
                <w:lang w:eastAsia="es-ES"/>
              </w:rPr>
              <w:t>2022</w:t>
            </w:r>
          </w:p>
        </w:tc>
        <w:tc>
          <w:tcPr>
            <w:tcW w:w="4556" w:type="dxa"/>
            <w:tcBorders>
              <w:top w:val="single" w:sz="4" w:space="0" w:color="auto"/>
              <w:left w:val="single" w:sz="4" w:space="0" w:color="auto"/>
              <w:bottom w:val="single" w:sz="4" w:space="0" w:color="auto"/>
              <w:right w:val="single" w:sz="4" w:space="0" w:color="auto"/>
            </w:tcBorders>
          </w:tcPr>
          <w:p w14:paraId="6488BB60" w14:textId="77777777" w:rsidR="00A96C64" w:rsidRDefault="00A96C64">
            <w:pPr>
              <w:pStyle w:val="Prrafodelista"/>
              <w:spacing w:line="360" w:lineRule="auto"/>
              <w:ind w:left="0"/>
              <w:jc w:val="center"/>
              <w:rPr>
                <w:rFonts w:ascii="Palatino Linotype" w:hAnsi="Palatino Linotype" w:cs="Tahoma"/>
                <w:b/>
                <w:i/>
                <w:szCs w:val="24"/>
                <w:lang w:eastAsia="es-ES"/>
              </w:rPr>
            </w:pPr>
          </w:p>
        </w:tc>
      </w:tr>
      <w:tr w:rsidR="00A96C64" w14:paraId="7A99190C" w14:textId="77777777" w:rsidTr="00A96C64">
        <w:tc>
          <w:tcPr>
            <w:tcW w:w="4555" w:type="dxa"/>
            <w:tcBorders>
              <w:top w:val="single" w:sz="4" w:space="0" w:color="auto"/>
              <w:left w:val="single" w:sz="4" w:space="0" w:color="auto"/>
              <w:bottom w:val="single" w:sz="4" w:space="0" w:color="auto"/>
              <w:right w:val="single" w:sz="4" w:space="0" w:color="auto"/>
            </w:tcBorders>
            <w:hideMark/>
          </w:tcPr>
          <w:p w14:paraId="68A35784" w14:textId="77777777" w:rsidR="00A96C64" w:rsidRDefault="00A96C64">
            <w:pPr>
              <w:pStyle w:val="Prrafodelista"/>
              <w:spacing w:line="360" w:lineRule="auto"/>
              <w:ind w:left="0"/>
              <w:jc w:val="center"/>
              <w:rPr>
                <w:rFonts w:ascii="Palatino Linotype" w:hAnsi="Palatino Linotype" w:cs="Tahoma"/>
                <w:b/>
                <w:i/>
                <w:szCs w:val="24"/>
                <w:lang w:eastAsia="es-ES"/>
              </w:rPr>
            </w:pPr>
            <w:r>
              <w:rPr>
                <w:rFonts w:ascii="Palatino Linotype" w:hAnsi="Palatino Linotype" w:cs="Tahoma"/>
                <w:b/>
                <w:i/>
                <w:szCs w:val="24"/>
                <w:lang w:eastAsia="es-ES"/>
              </w:rPr>
              <w:t>ALTAS</w:t>
            </w:r>
          </w:p>
        </w:tc>
        <w:tc>
          <w:tcPr>
            <w:tcW w:w="4556" w:type="dxa"/>
            <w:tcBorders>
              <w:top w:val="single" w:sz="4" w:space="0" w:color="auto"/>
              <w:left w:val="single" w:sz="4" w:space="0" w:color="auto"/>
              <w:bottom w:val="single" w:sz="4" w:space="0" w:color="auto"/>
              <w:right w:val="single" w:sz="4" w:space="0" w:color="auto"/>
            </w:tcBorders>
            <w:hideMark/>
          </w:tcPr>
          <w:p w14:paraId="5D6158D0" w14:textId="77777777" w:rsidR="00A96C64" w:rsidRDefault="00A96C64">
            <w:pPr>
              <w:pStyle w:val="Prrafodelista"/>
              <w:spacing w:line="360" w:lineRule="auto"/>
              <w:ind w:left="0"/>
              <w:jc w:val="center"/>
              <w:rPr>
                <w:rFonts w:ascii="Palatino Linotype" w:hAnsi="Palatino Linotype" w:cs="Tahoma"/>
                <w:b/>
                <w:i/>
                <w:szCs w:val="24"/>
                <w:lang w:eastAsia="es-ES"/>
              </w:rPr>
            </w:pPr>
            <w:r>
              <w:rPr>
                <w:rFonts w:ascii="Palatino Linotype" w:hAnsi="Palatino Linotype" w:cs="Tahoma"/>
                <w:b/>
                <w:i/>
                <w:szCs w:val="24"/>
                <w:lang w:eastAsia="es-ES"/>
              </w:rPr>
              <w:t>BAJAS</w:t>
            </w:r>
          </w:p>
        </w:tc>
      </w:tr>
      <w:tr w:rsidR="00A96C64" w14:paraId="320A214E" w14:textId="77777777" w:rsidTr="00A96C64">
        <w:tc>
          <w:tcPr>
            <w:tcW w:w="4555" w:type="dxa"/>
            <w:tcBorders>
              <w:top w:val="single" w:sz="4" w:space="0" w:color="auto"/>
              <w:left w:val="single" w:sz="4" w:space="0" w:color="auto"/>
              <w:bottom w:val="single" w:sz="4" w:space="0" w:color="auto"/>
              <w:right w:val="single" w:sz="4" w:space="0" w:color="auto"/>
            </w:tcBorders>
            <w:hideMark/>
          </w:tcPr>
          <w:p w14:paraId="5E62DA5E" w14:textId="77777777" w:rsidR="00A96C64" w:rsidRDefault="00A96C64">
            <w:pPr>
              <w:pStyle w:val="Prrafodelista"/>
              <w:spacing w:line="360" w:lineRule="auto"/>
              <w:ind w:left="0"/>
              <w:jc w:val="center"/>
              <w:rPr>
                <w:rFonts w:ascii="Palatino Linotype" w:hAnsi="Palatino Linotype" w:cs="Tahoma"/>
                <w:b/>
                <w:i/>
                <w:szCs w:val="24"/>
                <w:lang w:eastAsia="es-ES"/>
              </w:rPr>
            </w:pPr>
            <w:r>
              <w:rPr>
                <w:rFonts w:ascii="Palatino Linotype" w:hAnsi="Palatino Linotype" w:cs="Tahoma"/>
                <w:b/>
                <w:i/>
                <w:szCs w:val="24"/>
                <w:lang w:eastAsia="es-ES"/>
              </w:rPr>
              <w:t>157</w:t>
            </w:r>
          </w:p>
        </w:tc>
        <w:tc>
          <w:tcPr>
            <w:tcW w:w="4556" w:type="dxa"/>
            <w:tcBorders>
              <w:top w:val="single" w:sz="4" w:space="0" w:color="auto"/>
              <w:left w:val="single" w:sz="4" w:space="0" w:color="auto"/>
              <w:bottom w:val="single" w:sz="4" w:space="0" w:color="auto"/>
              <w:right w:val="single" w:sz="4" w:space="0" w:color="auto"/>
            </w:tcBorders>
            <w:hideMark/>
          </w:tcPr>
          <w:p w14:paraId="11602F7A" w14:textId="77777777" w:rsidR="00A96C64" w:rsidRDefault="00A96C64">
            <w:pPr>
              <w:pStyle w:val="Prrafodelista"/>
              <w:spacing w:line="360" w:lineRule="auto"/>
              <w:ind w:left="0"/>
              <w:jc w:val="center"/>
              <w:rPr>
                <w:rFonts w:ascii="Palatino Linotype" w:hAnsi="Palatino Linotype" w:cs="Tahoma"/>
                <w:b/>
                <w:i/>
                <w:szCs w:val="24"/>
                <w:lang w:eastAsia="es-ES"/>
              </w:rPr>
            </w:pPr>
            <w:r>
              <w:rPr>
                <w:rFonts w:ascii="Palatino Linotype" w:hAnsi="Palatino Linotype" w:cs="Tahoma"/>
                <w:b/>
                <w:i/>
                <w:szCs w:val="24"/>
                <w:lang w:eastAsia="es-ES"/>
              </w:rPr>
              <w:t>12</w:t>
            </w:r>
          </w:p>
        </w:tc>
      </w:tr>
      <w:tr w:rsidR="00A96C64" w14:paraId="1CB447AC" w14:textId="77777777" w:rsidTr="00A96C64">
        <w:tc>
          <w:tcPr>
            <w:tcW w:w="4555" w:type="dxa"/>
            <w:tcBorders>
              <w:top w:val="single" w:sz="4" w:space="0" w:color="auto"/>
              <w:left w:val="single" w:sz="4" w:space="0" w:color="auto"/>
              <w:bottom w:val="single" w:sz="4" w:space="0" w:color="auto"/>
              <w:right w:val="single" w:sz="4" w:space="0" w:color="auto"/>
            </w:tcBorders>
            <w:hideMark/>
          </w:tcPr>
          <w:p w14:paraId="49AC79D6" w14:textId="77777777" w:rsidR="00A96C64" w:rsidRDefault="00A96C64">
            <w:pPr>
              <w:pStyle w:val="Prrafodelista"/>
              <w:spacing w:line="360" w:lineRule="auto"/>
              <w:ind w:left="0"/>
              <w:jc w:val="center"/>
              <w:rPr>
                <w:rFonts w:ascii="Palatino Linotype" w:hAnsi="Palatino Linotype" w:cs="Tahoma"/>
                <w:b/>
                <w:i/>
                <w:szCs w:val="24"/>
                <w:lang w:eastAsia="es-ES"/>
              </w:rPr>
            </w:pPr>
            <w:r>
              <w:rPr>
                <w:rFonts w:ascii="Palatino Linotype" w:hAnsi="Palatino Linotype" w:cs="Tahoma"/>
                <w:b/>
                <w:i/>
                <w:color w:val="FF0000"/>
                <w:szCs w:val="24"/>
                <w:lang w:eastAsia="es-ES"/>
              </w:rPr>
              <w:t>21 DE AGOSTO DE 2023</w:t>
            </w:r>
          </w:p>
        </w:tc>
        <w:tc>
          <w:tcPr>
            <w:tcW w:w="4556" w:type="dxa"/>
            <w:tcBorders>
              <w:top w:val="single" w:sz="4" w:space="0" w:color="auto"/>
              <w:left w:val="single" w:sz="4" w:space="0" w:color="auto"/>
              <w:bottom w:val="single" w:sz="4" w:space="0" w:color="auto"/>
              <w:right w:val="single" w:sz="4" w:space="0" w:color="auto"/>
            </w:tcBorders>
          </w:tcPr>
          <w:p w14:paraId="78CAF209" w14:textId="77777777" w:rsidR="00A96C64" w:rsidRDefault="00A96C64">
            <w:pPr>
              <w:pStyle w:val="Prrafodelista"/>
              <w:spacing w:line="360" w:lineRule="auto"/>
              <w:ind w:left="0"/>
              <w:jc w:val="center"/>
              <w:rPr>
                <w:rFonts w:ascii="Palatino Linotype" w:hAnsi="Palatino Linotype" w:cs="Tahoma"/>
                <w:b/>
                <w:i/>
                <w:szCs w:val="24"/>
                <w:lang w:eastAsia="es-ES"/>
              </w:rPr>
            </w:pPr>
          </w:p>
        </w:tc>
      </w:tr>
      <w:tr w:rsidR="00A96C64" w14:paraId="2A1C0A36" w14:textId="77777777" w:rsidTr="00A96C64">
        <w:tc>
          <w:tcPr>
            <w:tcW w:w="4555" w:type="dxa"/>
            <w:tcBorders>
              <w:top w:val="single" w:sz="4" w:space="0" w:color="auto"/>
              <w:left w:val="single" w:sz="4" w:space="0" w:color="auto"/>
              <w:bottom w:val="single" w:sz="4" w:space="0" w:color="auto"/>
              <w:right w:val="single" w:sz="4" w:space="0" w:color="auto"/>
            </w:tcBorders>
            <w:hideMark/>
          </w:tcPr>
          <w:p w14:paraId="4B2E4376" w14:textId="77777777" w:rsidR="00A96C64" w:rsidRDefault="00A96C64">
            <w:pPr>
              <w:pStyle w:val="Prrafodelista"/>
              <w:spacing w:line="360" w:lineRule="auto"/>
              <w:ind w:left="0"/>
              <w:jc w:val="center"/>
              <w:rPr>
                <w:rFonts w:ascii="Palatino Linotype" w:hAnsi="Palatino Linotype" w:cs="Tahoma"/>
                <w:b/>
                <w:i/>
                <w:szCs w:val="24"/>
                <w:lang w:eastAsia="es-ES"/>
              </w:rPr>
            </w:pPr>
            <w:r>
              <w:rPr>
                <w:rFonts w:ascii="Palatino Linotype" w:hAnsi="Palatino Linotype" w:cs="Tahoma"/>
                <w:b/>
                <w:i/>
                <w:szCs w:val="24"/>
                <w:lang w:eastAsia="es-ES"/>
              </w:rPr>
              <w:t>ALTAS</w:t>
            </w:r>
          </w:p>
        </w:tc>
        <w:tc>
          <w:tcPr>
            <w:tcW w:w="4556" w:type="dxa"/>
            <w:tcBorders>
              <w:top w:val="single" w:sz="4" w:space="0" w:color="auto"/>
              <w:left w:val="single" w:sz="4" w:space="0" w:color="auto"/>
              <w:bottom w:val="single" w:sz="4" w:space="0" w:color="auto"/>
              <w:right w:val="single" w:sz="4" w:space="0" w:color="auto"/>
            </w:tcBorders>
            <w:hideMark/>
          </w:tcPr>
          <w:p w14:paraId="48DEE5A0" w14:textId="77777777" w:rsidR="00A96C64" w:rsidRDefault="00A96C64">
            <w:pPr>
              <w:pStyle w:val="Prrafodelista"/>
              <w:spacing w:line="360" w:lineRule="auto"/>
              <w:ind w:left="0"/>
              <w:jc w:val="center"/>
              <w:rPr>
                <w:rFonts w:ascii="Palatino Linotype" w:hAnsi="Palatino Linotype" w:cs="Tahoma"/>
                <w:b/>
                <w:i/>
                <w:szCs w:val="24"/>
                <w:lang w:eastAsia="es-ES"/>
              </w:rPr>
            </w:pPr>
            <w:r>
              <w:rPr>
                <w:rFonts w:ascii="Palatino Linotype" w:hAnsi="Palatino Linotype" w:cs="Tahoma"/>
                <w:b/>
                <w:i/>
                <w:szCs w:val="24"/>
                <w:lang w:eastAsia="es-ES"/>
              </w:rPr>
              <w:t>BAJAS</w:t>
            </w:r>
          </w:p>
        </w:tc>
      </w:tr>
      <w:tr w:rsidR="00A96C64" w14:paraId="1F0D3A9F" w14:textId="77777777" w:rsidTr="00A96C64">
        <w:tc>
          <w:tcPr>
            <w:tcW w:w="4555" w:type="dxa"/>
            <w:tcBorders>
              <w:top w:val="single" w:sz="4" w:space="0" w:color="auto"/>
              <w:left w:val="single" w:sz="4" w:space="0" w:color="auto"/>
              <w:bottom w:val="single" w:sz="4" w:space="0" w:color="auto"/>
              <w:right w:val="single" w:sz="4" w:space="0" w:color="auto"/>
            </w:tcBorders>
            <w:hideMark/>
          </w:tcPr>
          <w:p w14:paraId="10C0805A" w14:textId="77777777" w:rsidR="00A96C64" w:rsidRDefault="00A96C64">
            <w:pPr>
              <w:pStyle w:val="Prrafodelista"/>
              <w:spacing w:line="360" w:lineRule="auto"/>
              <w:ind w:left="0"/>
              <w:jc w:val="center"/>
              <w:rPr>
                <w:rFonts w:ascii="Palatino Linotype" w:hAnsi="Palatino Linotype" w:cs="Tahoma"/>
                <w:b/>
                <w:i/>
                <w:szCs w:val="24"/>
                <w:lang w:eastAsia="es-ES"/>
              </w:rPr>
            </w:pPr>
            <w:r>
              <w:rPr>
                <w:rFonts w:ascii="Palatino Linotype" w:hAnsi="Palatino Linotype" w:cs="Tahoma"/>
                <w:b/>
                <w:i/>
                <w:szCs w:val="24"/>
                <w:lang w:eastAsia="es-ES"/>
              </w:rPr>
              <w:t>39</w:t>
            </w:r>
          </w:p>
        </w:tc>
        <w:tc>
          <w:tcPr>
            <w:tcW w:w="4556" w:type="dxa"/>
            <w:tcBorders>
              <w:top w:val="single" w:sz="4" w:space="0" w:color="auto"/>
              <w:left w:val="single" w:sz="4" w:space="0" w:color="auto"/>
              <w:bottom w:val="single" w:sz="4" w:space="0" w:color="auto"/>
              <w:right w:val="single" w:sz="4" w:space="0" w:color="auto"/>
            </w:tcBorders>
            <w:hideMark/>
          </w:tcPr>
          <w:p w14:paraId="4408C227" w14:textId="77777777" w:rsidR="00A96C64" w:rsidRDefault="00A96C64">
            <w:pPr>
              <w:pStyle w:val="Prrafodelista"/>
              <w:spacing w:line="360" w:lineRule="auto"/>
              <w:ind w:left="0"/>
              <w:jc w:val="center"/>
              <w:rPr>
                <w:rFonts w:ascii="Palatino Linotype" w:hAnsi="Palatino Linotype" w:cs="Tahoma"/>
                <w:b/>
                <w:i/>
                <w:szCs w:val="24"/>
                <w:lang w:eastAsia="es-ES"/>
              </w:rPr>
            </w:pPr>
            <w:r>
              <w:rPr>
                <w:rFonts w:ascii="Palatino Linotype" w:hAnsi="Palatino Linotype" w:cs="Tahoma"/>
                <w:b/>
                <w:i/>
                <w:szCs w:val="24"/>
                <w:lang w:eastAsia="es-ES"/>
              </w:rPr>
              <w:t>32</w:t>
            </w:r>
          </w:p>
        </w:tc>
      </w:tr>
    </w:tbl>
    <w:p w14:paraId="598EA12E" w14:textId="77777777" w:rsidR="00A96C64" w:rsidRDefault="00A96C64" w:rsidP="00A96C64">
      <w:pPr>
        <w:spacing w:line="360" w:lineRule="auto"/>
        <w:jc w:val="both"/>
        <w:rPr>
          <w:rFonts w:ascii="Palatino Linotype" w:eastAsia="Calibri" w:hAnsi="Palatino Linotype" w:cs="Tahoma"/>
          <w:color w:val="000000"/>
          <w:sz w:val="22"/>
          <w:szCs w:val="22"/>
          <w:lang w:eastAsia="en-US"/>
        </w:rPr>
      </w:pPr>
    </w:p>
    <w:p w14:paraId="3FB0E5BF" w14:textId="77777777" w:rsidR="002A790D" w:rsidRDefault="002A790D" w:rsidP="002A790D">
      <w:pPr>
        <w:autoSpaceDE w:val="0"/>
        <w:autoSpaceDN w:val="0"/>
        <w:adjustRightInd w:val="0"/>
        <w:spacing w:line="360" w:lineRule="auto"/>
        <w:contextualSpacing/>
        <w:rPr>
          <w:rFonts w:eastAsia="Calibri" w:cs="Tahoma"/>
          <w:color w:val="000000"/>
        </w:rPr>
      </w:pPr>
    </w:p>
    <w:p w14:paraId="254AB880" w14:textId="3770C110" w:rsidR="00E642A9" w:rsidRPr="000D7476" w:rsidRDefault="00E642A9" w:rsidP="007F24B9">
      <w:pPr>
        <w:tabs>
          <w:tab w:val="left" w:pos="284"/>
          <w:tab w:val="left" w:pos="426"/>
        </w:tabs>
        <w:spacing w:line="360" w:lineRule="auto"/>
        <w:contextualSpacing/>
        <w:jc w:val="both"/>
        <w:rPr>
          <w:rFonts w:ascii="Palatino Linotype" w:hAnsi="Palatino Linotype" w:cs="Arial"/>
          <w:color w:val="000000" w:themeColor="text1"/>
        </w:rPr>
      </w:pPr>
      <w:r w:rsidRPr="000D7476">
        <w:rPr>
          <w:rFonts w:ascii="Palatino Linotype" w:hAnsi="Palatino Linotype" w:cs="Arial"/>
          <w:color w:val="000000" w:themeColor="text1"/>
        </w:rPr>
        <w:t xml:space="preserve">Derivado de la respuesta emitida por el </w:t>
      </w:r>
      <w:r w:rsidRPr="000D7476">
        <w:rPr>
          <w:rFonts w:ascii="Palatino Linotype" w:hAnsi="Palatino Linotype" w:cs="Arial"/>
          <w:b/>
          <w:color w:val="000000" w:themeColor="text1"/>
        </w:rPr>
        <w:t>SUJETO OBLIGADO</w:t>
      </w:r>
      <w:r w:rsidR="000D7476" w:rsidRPr="000D7476">
        <w:rPr>
          <w:rFonts w:ascii="Palatino Linotype" w:hAnsi="Palatino Linotype" w:cs="Arial"/>
          <w:color w:val="000000" w:themeColor="text1"/>
        </w:rPr>
        <w:t xml:space="preserve">, </w:t>
      </w:r>
      <w:r w:rsidR="00E73F61">
        <w:rPr>
          <w:rFonts w:ascii="Palatino Linotype" w:hAnsi="Palatino Linotype" w:cs="Arial"/>
          <w:color w:val="000000" w:themeColor="text1"/>
        </w:rPr>
        <w:t xml:space="preserve">el particular interpuso </w:t>
      </w:r>
      <w:r w:rsidR="00F1670B">
        <w:rPr>
          <w:rFonts w:ascii="Palatino Linotype" w:hAnsi="Palatino Linotype" w:cs="Arial"/>
          <w:color w:val="000000" w:themeColor="text1"/>
        </w:rPr>
        <w:t xml:space="preserve">el </w:t>
      </w:r>
      <w:r w:rsidRPr="000D7476">
        <w:rPr>
          <w:rFonts w:ascii="Palatino Linotype" w:hAnsi="Palatino Linotype" w:cs="Arial"/>
          <w:color w:val="000000" w:themeColor="text1"/>
        </w:rPr>
        <w:t>recurso de revisión</w:t>
      </w:r>
      <w:r w:rsidRPr="000D7476">
        <w:rPr>
          <w:rFonts w:ascii="Palatino Linotype" w:eastAsia="Calibri" w:hAnsi="Palatino Linotype" w:cs="Arial"/>
          <w:color w:val="000000" w:themeColor="text1"/>
        </w:rPr>
        <w:t>;</w:t>
      </w:r>
      <w:r w:rsidRPr="000D7476">
        <w:rPr>
          <w:rFonts w:ascii="Palatino Linotype" w:hAnsi="Palatino Linotype" w:cs="Arial"/>
          <w:color w:val="000000" w:themeColor="text1"/>
        </w:rPr>
        <w:t xml:space="preserve"> impugnación en la que refirió lo siguiente:</w:t>
      </w:r>
    </w:p>
    <w:p w14:paraId="42BBB24D" w14:textId="77777777" w:rsidR="00E73F61" w:rsidRDefault="00E73F61" w:rsidP="00E73F61">
      <w:pPr>
        <w:spacing w:line="360" w:lineRule="auto"/>
        <w:jc w:val="both"/>
        <w:rPr>
          <w:rFonts w:ascii="Palatino Linotype" w:hAnsi="Palatino Linotype" w:cs="Arial"/>
          <w:b/>
        </w:rPr>
      </w:pPr>
    </w:p>
    <w:p w14:paraId="71A37C33" w14:textId="77777777" w:rsidR="00A96C64" w:rsidRDefault="00A96C64" w:rsidP="00A96C64">
      <w:pPr>
        <w:spacing w:line="360" w:lineRule="auto"/>
        <w:ind w:left="567" w:right="567"/>
        <w:jc w:val="both"/>
        <w:rPr>
          <w:rFonts w:ascii="Palatino Linotype" w:eastAsia="Calibri" w:hAnsi="Palatino Linotype"/>
          <w:bCs/>
          <w:i/>
          <w:color w:val="000000"/>
          <w:sz w:val="20"/>
          <w:szCs w:val="20"/>
          <w:lang w:val="es-MX"/>
        </w:rPr>
      </w:pPr>
      <w:r>
        <w:rPr>
          <w:rFonts w:ascii="Palatino Linotype" w:eastAsia="Calibri" w:hAnsi="Palatino Linotype"/>
          <w:b/>
          <w:bCs/>
          <w:i/>
          <w:color w:val="000000"/>
          <w:sz w:val="20"/>
          <w:szCs w:val="20"/>
        </w:rPr>
        <w:t>“ACTO IMPUGNADO</w:t>
      </w:r>
    </w:p>
    <w:p w14:paraId="27E0B022" w14:textId="77777777" w:rsidR="00A96C64" w:rsidRDefault="00A96C64" w:rsidP="00A96C64">
      <w:pPr>
        <w:spacing w:line="360" w:lineRule="auto"/>
        <w:ind w:left="567" w:right="567"/>
        <w:jc w:val="both"/>
        <w:rPr>
          <w:rFonts w:ascii="Palatino Linotype" w:eastAsia="Calibri" w:hAnsi="Palatino Linotype"/>
          <w:i/>
          <w:color w:val="000000"/>
          <w:sz w:val="20"/>
          <w:szCs w:val="20"/>
        </w:rPr>
      </w:pPr>
      <w:r>
        <w:rPr>
          <w:rFonts w:ascii="Palatino Linotype" w:eastAsia="Calibri" w:hAnsi="Palatino Linotype"/>
          <w:i/>
          <w:color w:val="000000"/>
          <w:sz w:val="20"/>
          <w:szCs w:val="20"/>
        </w:rPr>
        <w:t xml:space="preserve">No entregaron lo que </w:t>
      </w:r>
      <w:proofErr w:type="spellStart"/>
      <w:r>
        <w:rPr>
          <w:rFonts w:ascii="Palatino Linotype" w:eastAsia="Calibri" w:hAnsi="Palatino Linotype"/>
          <w:i/>
          <w:color w:val="000000"/>
          <w:sz w:val="20"/>
          <w:szCs w:val="20"/>
        </w:rPr>
        <w:t>pedi</w:t>
      </w:r>
      <w:proofErr w:type="spellEnd"/>
      <w:r>
        <w:rPr>
          <w:rFonts w:ascii="Palatino Linotype" w:eastAsia="Calibri" w:hAnsi="Palatino Linotype"/>
          <w:i/>
          <w:color w:val="000000"/>
          <w:sz w:val="20"/>
          <w:szCs w:val="20"/>
        </w:rPr>
        <w:t>” (Sic.)</w:t>
      </w:r>
    </w:p>
    <w:p w14:paraId="71D1C8B6" w14:textId="77777777" w:rsidR="00A96C64" w:rsidRDefault="00A96C64" w:rsidP="00A96C64">
      <w:pPr>
        <w:spacing w:line="360" w:lineRule="auto"/>
        <w:ind w:left="567" w:right="567"/>
        <w:jc w:val="both"/>
        <w:rPr>
          <w:rFonts w:ascii="Palatino Linotype" w:eastAsia="Calibri" w:hAnsi="Palatino Linotype"/>
          <w:i/>
          <w:color w:val="000000"/>
          <w:sz w:val="20"/>
          <w:szCs w:val="20"/>
        </w:rPr>
      </w:pPr>
    </w:p>
    <w:p w14:paraId="180DEF72" w14:textId="77777777" w:rsidR="00A96C64" w:rsidRDefault="00A96C64" w:rsidP="00A96C64">
      <w:pPr>
        <w:spacing w:line="360" w:lineRule="auto"/>
        <w:ind w:left="567" w:right="567"/>
        <w:jc w:val="both"/>
        <w:rPr>
          <w:rFonts w:ascii="Palatino Linotype" w:eastAsia="Calibri" w:hAnsi="Palatino Linotype"/>
          <w:b/>
          <w:i/>
          <w:color w:val="000000"/>
          <w:sz w:val="20"/>
          <w:szCs w:val="20"/>
        </w:rPr>
      </w:pPr>
      <w:r>
        <w:rPr>
          <w:rFonts w:ascii="Palatino Linotype" w:eastAsia="Calibri" w:hAnsi="Palatino Linotype"/>
          <w:b/>
          <w:i/>
          <w:color w:val="000000"/>
          <w:sz w:val="20"/>
          <w:szCs w:val="20"/>
        </w:rPr>
        <w:t>“RAZONES O MOTIVOS DE LA INCONFORMIDAD</w:t>
      </w:r>
    </w:p>
    <w:p w14:paraId="69A7AFAB" w14:textId="77777777" w:rsidR="00A96C64" w:rsidRDefault="00A96C64" w:rsidP="00A96C64">
      <w:pPr>
        <w:spacing w:line="360" w:lineRule="auto"/>
        <w:ind w:left="567" w:right="567"/>
        <w:jc w:val="both"/>
        <w:rPr>
          <w:rFonts w:ascii="Palatino Linotype" w:eastAsia="Calibri" w:hAnsi="Palatino Linotype"/>
          <w:i/>
          <w:color w:val="000000"/>
          <w:sz w:val="20"/>
          <w:szCs w:val="20"/>
        </w:rPr>
      </w:pPr>
      <w:r>
        <w:rPr>
          <w:rFonts w:ascii="Palatino Linotype" w:eastAsia="Calibri" w:hAnsi="Palatino Linotype"/>
          <w:i/>
          <w:color w:val="000000"/>
          <w:sz w:val="20"/>
          <w:szCs w:val="20"/>
        </w:rPr>
        <w:lastRenderedPageBreak/>
        <w:t xml:space="preserve">No entregaron lo que </w:t>
      </w:r>
      <w:proofErr w:type="spellStart"/>
      <w:r>
        <w:rPr>
          <w:rFonts w:ascii="Palatino Linotype" w:eastAsia="Calibri" w:hAnsi="Palatino Linotype"/>
          <w:i/>
          <w:color w:val="000000"/>
          <w:sz w:val="20"/>
          <w:szCs w:val="20"/>
        </w:rPr>
        <w:t>pedi</w:t>
      </w:r>
      <w:proofErr w:type="spellEnd"/>
      <w:r>
        <w:rPr>
          <w:rFonts w:ascii="Palatino Linotype" w:eastAsia="Calibri" w:hAnsi="Palatino Linotype"/>
          <w:i/>
          <w:color w:val="000000"/>
          <w:sz w:val="20"/>
          <w:szCs w:val="20"/>
        </w:rPr>
        <w:t>” (Sic.)</w:t>
      </w:r>
    </w:p>
    <w:p w14:paraId="6EABB4B5" w14:textId="77777777" w:rsidR="005A2858" w:rsidRDefault="005A2858" w:rsidP="005A2858">
      <w:pPr>
        <w:tabs>
          <w:tab w:val="left" w:pos="4667"/>
        </w:tabs>
        <w:spacing w:line="360" w:lineRule="auto"/>
        <w:ind w:left="567" w:right="567"/>
        <w:jc w:val="both"/>
        <w:rPr>
          <w:rFonts w:ascii="Palatino Linotype" w:hAnsi="Palatino Linotype" w:cs="Tahoma"/>
          <w:bCs/>
          <w:i/>
        </w:rPr>
      </w:pPr>
    </w:p>
    <w:p w14:paraId="01E35B05" w14:textId="1AF83560" w:rsidR="00F10A06" w:rsidRPr="002A790D" w:rsidRDefault="004030C4" w:rsidP="007F24B9">
      <w:pPr>
        <w:spacing w:line="360" w:lineRule="auto"/>
        <w:jc w:val="both"/>
        <w:rPr>
          <w:rFonts w:ascii="Palatino Linotype" w:eastAsia="Calibri" w:hAnsi="Palatino Linotype" w:cs="Tahoma"/>
          <w:bCs/>
          <w:lang w:eastAsia="en-US"/>
        </w:rPr>
      </w:pPr>
      <w:r w:rsidRPr="000D7476">
        <w:rPr>
          <w:rFonts w:ascii="Palatino Linotype" w:hAnsi="Palatino Linotype"/>
        </w:rPr>
        <w:t>L</w:t>
      </w:r>
      <w:r w:rsidR="00F47FB5" w:rsidRPr="000D7476">
        <w:rPr>
          <w:rFonts w:ascii="Palatino Linotype" w:hAnsi="Palatino Linotype"/>
        </w:rPr>
        <w:t>a resolución determina</w:t>
      </w:r>
      <w:r w:rsidRPr="000D7476">
        <w:rPr>
          <w:rFonts w:ascii="Palatino Linotype" w:hAnsi="Palatino Linotype"/>
        </w:rPr>
        <w:t xml:space="preserve"> </w:t>
      </w:r>
      <w:r w:rsidR="005A2858">
        <w:rPr>
          <w:rFonts w:ascii="Palatino Linotype" w:hAnsi="Palatino Linotype"/>
          <w:b/>
        </w:rPr>
        <w:t>MODIFICAR</w:t>
      </w:r>
      <w:r w:rsidR="007A70E8">
        <w:rPr>
          <w:rFonts w:ascii="Palatino Linotype" w:hAnsi="Palatino Linotype"/>
          <w:b/>
        </w:rPr>
        <w:t xml:space="preserve"> </w:t>
      </w:r>
      <w:r w:rsidR="007F24B9" w:rsidRPr="000D7476">
        <w:rPr>
          <w:rFonts w:ascii="Palatino Linotype" w:hAnsi="Palatino Linotype"/>
          <w:b/>
        </w:rPr>
        <w:t xml:space="preserve"> </w:t>
      </w:r>
      <w:r w:rsidR="007F24B9" w:rsidRPr="000D7476">
        <w:rPr>
          <w:rFonts w:ascii="Palatino Linotype" w:hAnsi="Palatino Linotype"/>
        </w:rPr>
        <w:t>la respuesta</w:t>
      </w:r>
      <w:r w:rsidR="00E642A9" w:rsidRPr="000D7476">
        <w:rPr>
          <w:rFonts w:ascii="Palatino Linotype" w:hAnsi="Palatino Linotype"/>
        </w:rPr>
        <w:t xml:space="preserve"> y ordena</w:t>
      </w:r>
      <w:r w:rsidR="008D7B1C" w:rsidRPr="000D7476">
        <w:rPr>
          <w:rFonts w:ascii="Palatino Linotype" w:hAnsi="Palatino Linotype"/>
        </w:rPr>
        <w:t xml:space="preserve"> </w:t>
      </w:r>
      <w:r w:rsidR="00B03386" w:rsidRPr="000D7476">
        <w:rPr>
          <w:rFonts w:ascii="Palatino Linotype" w:hAnsi="Palatino Linotype"/>
        </w:rPr>
        <w:t>que</w:t>
      </w:r>
      <w:r w:rsidRPr="000D7476">
        <w:rPr>
          <w:rFonts w:ascii="Palatino Linotype" w:hAnsi="Palatino Linotype"/>
        </w:rPr>
        <w:t xml:space="preserve"> se</w:t>
      </w:r>
      <w:r w:rsidR="00B03386" w:rsidRPr="000D7476">
        <w:rPr>
          <w:rFonts w:ascii="Palatino Linotype" w:hAnsi="Palatino Linotype"/>
          <w:b/>
        </w:rPr>
        <w:t xml:space="preserve"> </w:t>
      </w:r>
      <w:r w:rsidR="00F10A06" w:rsidRPr="000D7476">
        <w:rPr>
          <w:rFonts w:ascii="Palatino Linotype" w:hAnsi="Palatino Linotype"/>
        </w:rPr>
        <w:t xml:space="preserve">haga entrega a </w:t>
      </w:r>
      <w:r w:rsidR="00B03386" w:rsidRPr="000D7476">
        <w:rPr>
          <w:rFonts w:ascii="Palatino Linotype" w:hAnsi="Palatino Linotype"/>
        </w:rPr>
        <w:t>la</w:t>
      </w:r>
      <w:r w:rsidR="00F10A06" w:rsidRPr="000D7476">
        <w:rPr>
          <w:rFonts w:ascii="Palatino Linotype" w:hAnsi="Palatino Linotype"/>
          <w:b/>
        </w:rPr>
        <w:t xml:space="preserve"> </w:t>
      </w:r>
      <w:r w:rsidR="00B03386" w:rsidRPr="000D7476">
        <w:rPr>
          <w:rFonts w:ascii="Palatino Linotype" w:hAnsi="Palatino Linotype"/>
          <w:b/>
        </w:rPr>
        <w:t xml:space="preserve">PARTE </w:t>
      </w:r>
      <w:r w:rsidR="00F10A06" w:rsidRPr="000D7476">
        <w:rPr>
          <w:rFonts w:ascii="Palatino Linotype" w:hAnsi="Palatino Linotype"/>
          <w:b/>
        </w:rPr>
        <w:t>RECURRENTE</w:t>
      </w:r>
      <w:r w:rsidR="00F10A06" w:rsidRPr="000D7476">
        <w:rPr>
          <w:rFonts w:ascii="Palatino Linotype" w:hAnsi="Palatino Linotype"/>
        </w:rPr>
        <w:t>, vía el Sistema de Acceso a la Información Mexiquense (SAIMEX</w:t>
      </w:r>
      <w:r w:rsidR="000F594E" w:rsidRPr="000D7476">
        <w:rPr>
          <w:rFonts w:ascii="Palatino Linotype" w:hAnsi="Palatino Linotype"/>
        </w:rPr>
        <w:t>)</w:t>
      </w:r>
      <w:r w:rsidR="00F10A06" w:rsidRPr="000D7476">
        <w:rPr>
          <w:rFonts w:ascii="Palatino Linotype" w:hAnsi="Palatino Linotype"/>
        </w:rPr>
        <w:t>,</w:t>
      </w:r>
      <w:r w:rsidR="007F24B9" w:rsidRPr="000D7476">
        <w:rPr>
          <w:rFonts w:ascii="Palatino Linotype" w:hAnsi="Palatino Linotype"/>
        </w:rPr>
        <w:t xml:space="preserve"> en versión pública, </w:t>
      </w:r>
      <w:r w:rsidR="00F10A06" w:rsidRPr="000D7476">
        <w:rPr>
          <w:rFonts w:ascii="Palatino Linotype" w:hAnsi="Palatino Linotype"/>
        </w:rPr>
        <w:t xml:space="preserve"> lo</w:t>
      </w:r>
      <w:r w:rsidR="00F10A06" w:rsidRPr="002A790D">
        <w:rPr>
          <w:rFonts w:ascii="Palatino Linotype" w:eastAsia="Calibri" w:hAnsi="Palatino Linotype" w:cs="Tahoma"/>
          <w:bCs/>
          <w:lang w:eastAsia="en-US"/>
        </w:rPr>
        <w:t xml:space="preserve"> siguiente:</w:t>
      </w:r>
    </w:p>
    <w:p w14:paraId="009CA5D7" w14:textId="77777777" w:rsidR="005A2858" w:rsidRDefault="005A2858" w:rsidP="005A2858">
      <w:pPr>
        <w:autoSpaceDE w:val="0"/>
        <w:autoSpaceDN w:val="0"/>
        <w:adjustRightInd w:val="0"/>
        <w:spacing w:line="360" w:lineRule="auto"/>
        <w:ind w:right="-28"/>
        <w:jc w:val="both"/>
        <w:rPr>
          <w:rFonts w:ascii="Palatino Linotype" w:hAnsi="Palatino Linotype" w:cs="Tahoma"/>
          <w:bCs/>
          <w:iCs/>
          <w:sz w:val="22"/>
          <w:szCs w:val="22"/>
        </w:rPr>
      </w:pPr>
    </w:p>
    <w:p w14:paraId="5FBAD7B5" w14:textId="77777777" w:rsidR="00A96C64" w:rsidRDefault="00A96C64" w:rsidP="00A96C64">
      <w:pPr>
        <w:numPr>
          <w:ilvl w:val="0"/>
          <w:numId w:val="11"/>
        </w:numPr>
        <w:spacing w:line="360" w:lineRule="auto"/>
        <w:contextualSpacing/>
        <w:jc w:val="both"/>
        <w:rPr>
          <w:rFonts w:ascii="Palatino Linotype" w:hAnsi="Palatino Linotype" w:cs="Tahoma"/>
          <w:b/>
          <w:bCs/>
          <w:iCs/>
          <w:lang w:val="es-MX"/>
        </w:rPr>
      </w:pPr>
      <w:r>
        <w:rPr>
          <w:rFonts w:ascii="Palatino Linotype" w:hAnsi="Palatino Linotype" w:cs="Tahoma"/>
          <w:iCs/>
        </w:rPr>
        <w:t>Las altas y bajas de los servidores públicos del Ayuntamiento de Villa de Allende, del primero de enero de dos mil veintidós al trece de junio de dos mil veintitrés.</w:t>
      </w:r>
    </w:p>
    <w:p w14:paraId="3850D54F" w14:textId="77777777"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Se indica que </w:t>
      </w:r>
      <w:r w:rsidR="006F62BA" w:rsidRPr="000D747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w:t>
      </w:r>
      <w:r w:rsidR="006F62BA" w:rsidRPr="000D7476">
        <w:rPr>
          <w:rFonts w:ascii="Palatino Linotype" w:eastAsia="Calibri" w:hAnsi="Palatino Linotype" w:cs="Tahoma"/>
          <w:bCs/>
          <w:lang w:eastAsia="en-US"/>
        </w:rPr>
        <w:lastRenderedPageBreak/>
        <w:t>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0D7476" w:rsidRDefault="00FA363C"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Por lo que determina</w:t>
      </w:r>
      <w:r w:rsidR="00700DF1" w:rsidRPr="000D7476">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0D7476">
        <w:rPr>
          <w:rFonts w:ascii="Palatino Linotype" w:hAnsi="Palatino Linotype"/>
        </w:rPr>
        <w:t xml:space="preserve">us diferentes manifestaciones. </w:t>
      </w:r>
    </w:p>
    <w:p w14:paraId="60005828" w14:textId="37EDB2CD" w:rsidR="006F62BA" w:rsidRPr="000D7476" w:rsidRDefault="006F62BA"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0D7476">
        <w:rPr>
          <w:rFonts w:ascii="Palatino Linotype" w:hAnsi="Palatino Linotype"/>
        </w:rPr>
        <w:t xml:space="preserve">, </w:t>
      </w:r>
      <w:r w:rsidRPr="000D7476">
        <w:rPr>
          <w:rFonts w:ascii="Palatino Linotype" w:hAnsi="Palatino Linotype"/>
          <w:b/>
        </w:rPr>
        <w:t>n</w:t>
      </w:r>
      <w:r w:rsidR="005C4513" w:rsidRPr="000D7476">
        <w:rPr>
          <w:rFonts w:ascii="Palatino Linotype" w:hAnsi="Palatino Linotype"/>
          <w:b/>
        </w:rPr>
        <w:t xml:space="preserve">o se comparte que se clasifique como reservado el  </w:t>
      </w:r>
      <w:r w:rsidRPr="000D7476">
        <w:rPr>
          <w:rFonts w:ascii="Palatino Linotype" w:hAnsi="Palatino Linotype"/>
          <w:b/>
        </w:rPr>
        <w:t>cargo de los elementos operativos de la Dirección de Seguridad Pública,</w:t>
      </w:r>
      <w:r w:rsidRPr="000D7476">
        <w:rPr>
          <w:rFonts w:ascii="Palatino Linotype" w:hAnsi="Palatino Linotype"/>
        </w:rPr>
        <w:t xml:space="preserve"> </w:t>
      </w:r>
      <w:r w:rsidR="005C4513" w:rsidRPr="000D7476">
        <w:rPr>
          <w:rFonts w:ascii="Palatino Linotype" w:hAnsi="Palatino Linotype"/>
        </w:rPr>
        <w:t xml:space="preserve"> </w:t>
      </w:r>
      <w:r w:rsidRPr="000D7476">
        <w:rPr>
          <w:rFonts w:ascii="Palatino Linotype" w:hAnsi="Palatino Linotype"/>
        </w:rPr>
        <w:t>ya que no se aprecia</w:t>
      </w:r>
      <w:r w:rsidR="008A67F1" w:rsidRPr="000D7476">
        <w:rPr>
          <w:rFonts w:ascii="Palatino Linotype" w:hAnsi="Palatino Linotype"/>
        </w:rPr>
        <w:t xml:space="preserve"> ni justifica legalmente en la resolución</w:t>
      </w:r>
      <w:r w:rsidRPr="000D7476">
        <w:rPr>
          <w:rFonts w:ascii="Palatino Linotype" w:hAnsi="Palatino Linotype"/>
        </w:rPr>
        <w:t xml:space="preserve"> la razón por la que la entrega de dicha información los </w:t>
      </w:r>
      <w:r w:rsidR="008A67F1" w:rsidRPr="000D7476">
        <w:rPr>
          <w:rFonts w:ascii="Palatino Linotype" w:hAnsi="Palatino Linotype"/>
        </w:rPr>
        <w:t>haga</w:t>
      </w:r>
      <w:r w:rsidRPr="000D7476">
        <w:rPr>
          <w:rFonts w:ascii="Palatino Linotype" w:hAnsi="Palatino Linotype"/>
        </w:rPr>
        <w:t xml:space="preserve"> identificables, ni las razones por las que se podría  poner en </w:t>
      </w:r>
      <w:r w:rsidRPr="000D7476">
        <w:rPr>
          <w:rFonts w:ascii="Palatino Linotype" w:hAnsi="Palatino Linotype"/>
        </w:rPr>
        <w:lastRenderedPageBreak/>
        <w:t>riesgo su vida e integridad</w:t>
      </w:r>
      <w:r w:rsidR="000625B1" w:rsidRPr="000D7476">
        <w:rPr>
          <w:rFonts w:ascii="Palatino Linotype" w:hAnsi="Palatino Linotype"/>
        </w:rPr>
        <w:t>, ni de qué forma dicha información comprometa la seguridad pública del Municipio.</w:t>
      </w:r>
    </w:p>
    <w:p w14:paraId="27697657" w14:textId="77777777" w:rsidR="006F62BA" w:rsidRPr="000D7476" w:rsidRDefault="006F62BA" w:rsidP="007F24B9">
      <w:pPr>
        <w:pStyle w:val="Prrafodelista"/>
        <w:tabs>
          <w:tab w:val="left" w:pos="851"/>
        </w:tabs>
        <w:spacing w:line="360" w:lineRule="auto"/>
        <w:ind w:left="0" w:right="49"/>
        <w:jc w:val="both"/>
        <w:rPr>
          <w:rFonts w:ascii="Palatino Linotype" w:hAnsi="Palatino Linotype"/>
        </w:rPr>
      </w:pPr>
    </w:p>
    <w:p w14:paraId="5672C774" w14:textId="0FFAE0FA" w:rsidR="005C4513" w:rsidRPr="000D7476" w:rsidRDefault="00F10A06" w:rsidP="007F24B9">
      <w:pPr>
        <w:pStyle w:val="Prrafodelista"/>
        <w:tabs>
          <w:tab w:val="left" w:pos="284"/>
        </w:tabs>
        <w:spacing w:line="360" w:lineRule="auto"/>
        <w:ind w:left="0"/>
        <w:jc w:val="both"/>
        <w:rPr>
          <w:rFonts w:ascii="Palatino Linotype" w:hAnsi="Palatino Linotype" w:cs="Tahoma"/>
        </w:rPr>
      </w:pPr>
      <w:r w:rsidRPr="000D7476">
        <w:rPr>
          <w:rFonts w:ascii="Palatino Linotype" w:hAnsi="Palatino Linotype" w:cs="Tahoma"/>
        </w:rPr>
        <w:t xml:space="preserve">Tenemos que, la </w:t>
      </w:r>
      <w:r w:rsidR="005C4513" w:rsidRPr="000D747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0D7476" w:rsidRDefault="005C4513" w:rsidP="007F24B9">
      <w:pPr>
        <w:pStyle w:val="Prrafodelista"/>
        <w:spacing w:line="360" w:lineRule="auto"/>
        <w:ind w:left="0"/>
        <w:jc w:val="both"/>
        <w:rPr>
          <w:rFonts w:ascii="Palatino Linotype" w:hAnsi="Palatino Linotype" w:cs="Tahoma"/>
        </w:rPr>
      </w:pPr>
    </w:p>
    <w:p w14:paraId="0BCA70E3"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0D7476" w:rsidRDefault="005C4513" w:rsidP="007F24B9">
      <w:pPr>
        <w:pStyle w:val="Prrafodelista"/>
        <w:spacing w:line="360" w:lineRule="auto"/>
        <w:ind w:left="0"/>
        <w:jc w:val="both"/>
        <w:rPr>
          <w:rFonts w:ascii="Palatino Linotype" w:hAnsi="Palatino Linotype" w:cs="Tahoma"/>
        </w:rPr>
      </w:pPr>
    </w:p>
    <w:p w14:paraId="33A17B72"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0D7476" w:rsidRDefault="005C4513" w:rsidP="007F24B9">
      <w:pPr>
        <w:pStyle w:val="Prrafodelista"/>
        <w:spacing w:line="360" w:lineRule="auto"/>
        <w:ind w:left="0"/>
        <w:jc w:val="both"/>
        <w:rPr>
          <w:rFonts w:ascii="Palatino Linotype" w:hAnsi="Palatino Linotype" w:cs="Tahoma"/>
        </w:rPr>
      </w:pPr>
    </w:p>
    <w:p w14:paraId="69B61B90"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0D7476" w:rsidRDefault="005C4513" w:rsidP="007F24B9">
      <w:pPr>
        <w:pStyle w:val="Prrafodelista"/>
        <w:spacing w:line="360" w:lineRule="auto"/>
        <w:ind w:left="0"/>
        <w:jc w:val="both"/>
        <w:rPr>
          <w:rFonts w:ascii="Palatino Linotype" w:hAnsi="Palatino Linotype" w:cs="Tahoma"/>
        </w:rPr>
      </w:pPr>
    </w:p>
    <w:p w14:paraId="2E565EDA"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0D7476" w:rsidRDefault="005C4513" w:rsidP="007F24B9">
      <w:pPr>
        <w:pStyle w:val="Prrafodelista"/>
        <w:spacing w:line="360" w:lineRule="auto"/>
        <w:ind w:left="0"/>
        <w:jc w:val="both"/>
        <w:rPr>
          <w:rFonts w:ascii="Palatino Linotype" w:hAnsi="Palatino Linotype" w:cs="Tahoma"/>
        </w:rPr>
      </w:pPr>
    </w:p>
    <w:p w14:paraId="026BD6E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0D7476" w:rsidRDefault="005C4513" w:rsidP="007F24B9">
      <w:pPr>
        <w:pStyle w:val="Prrafodelista"/>
        <w:spacing w:line="360" w:lineRule="auto"/>
        <w:ind w:left="0"/>
        <w:jc w:val="both"/>
        <w:rPr>
          <w:rFonts w:ascii="Palatino Linotype" w:hAnsi="Palatino Linotype" w:cs="Tahoma"/>
        </w:rPr>
      </w:pPr>
    </w:p>
    <w:p w14:paraId="0AF0468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0D7476" w:rsidRDefault="000625B1" w:rsidP="007F24B9">
      <w:pPr>
        <w:pStyle w:val="Prrafodelista"/>
        <w:spacing w:line="360" w:lineRule="auto"/>
        <w:ind w:left="0"/>
        <w:jc w:val="both"/>
        <w:rPr>
          <w:rFonts w:ascii="Palatino Linotype" w:hAnsi="Palatino Linotype" w:cs="Tahoma"/>
        </w:rPr>
      </w:pPr>
    </w:p>
    <w:p w14:paraId="1CE3427B"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cs="Tahoma"/>
        </w:rPr>
      </w:pPr>
      <w:r w:rsidRPr="000D7476">
        <w:rPr>
          <w:rFonts w:ascii="Palatino Linotype" w:hAnsi="Palatino Linotype" w:cs="Tahoma"/>
        </w:rPr>
        <w:t>El artículo 2 de la Ley de seguridad del Estado de México indica:</w:t>
      </w:r>
    </w:p>
    <w:p w14:paraId="557A17F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0D7476" w:rsidRDefault="000625B1"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0D7476" w:rsidRDefault="005C4513" w:rsidP="007F24B9">
      <w:pPr>
        <w:pStyle w:val="Prrafodelista"/>
        <w:spacing w:line="360" w:lineRule="auto"/>
        <w:ind w:left="0"/>
        <w:jc w:val="both"/>
        <w:rPr>
          <w:rFonts w:ascii="Palatino Linotype" w:hAnsi="Palatino Linotype" w:cs="Tahoma"/>
        </w:rPr>
      </w:pPr>
    </w:p>
    <w:p w14:paraId="6DA31DDC" w14:textId="51EA549E" w:rsidR="005C4513" w:rsidRPr="000D7476" w:rsidRDefault="005C4513" w:rsidP="007F24B9">
      <w:pPr>
        <w:pStyle w:val="Prrafodelista"/>
        <w:spacing w:line="360" w:lineRule="auto"/>
        <w:ind w:left="0"/>
        <w:jc w:val="both"/>
        <w:rPr>
          <w:rFonts w:ascii="Palatino Linotype" w:hAnsi="Palatino Linotype" w:cs="Tahoma"/>
        </w:rPr>
      </w:pPr>
      <w:bookmarkStart w:id="2" w:name="_Toc88136406"/>
      <w:r w:rsidRPr="000D7476">
        <w:rPr>
          <w:rFonts w:ascii="Palatino Linotype" w:hAnsi="Palatino Linotype" w:cs="Tahoma"/>
        </w:rPr>
        <w:t>En consecuencia, garantizar la seguridad pública conlleva</w:t>
      </w:r>
      <w:r w:rsidR="006F62BA" w:rsidRPr="000D7476">
        <w:rPr>
          <w:rFonts w:ascii="Palatino Linotype" w:hAnsi="Palatino Linotype" w:cs="Tahoma"/>
        </w:rPr>
        <w:t xml:space="preserve"> un actuar de forma profesional, responsable y transparente</w:t>
      </w:r>
      <w:r w:rsidRPr="000D7476">
        <w:rPr>
          <w:rFonts w:ascii="Palatino Linotype" w:hAnsi="Palatino Linotype" w:cs="Tahoma"/>
        </w:rPr>
        <w:t xml:space="preserve"> por lo que deben abstenerse de cualquier </w:t>
      </w:r>
      <w:r w:rsidRPr="000D7476">
        <w:rPr>
          <w:rFonts w:ascii="Palatino Linotype" w:hAnsi="Palatino Linotype" w:cs="Tahoma"/>
        </w:rPr>
        <w:lastRenderedPageBreak/>
        <w:t xml:space="preserve">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0D7476" w:rsidRDefault="005C4513" w:rsidP="007F24B9">
      <w:pPr>
        <w:pStyle w:val="Prrafodelista"/>
        <w:spacing w:line="360" w:lineRule="auto"/>
        <w:ind w:left="0"/>
        <w:jc w:val="both"/>
        <w:rPr>
          <w:rFonts w:ascii="Palatino Linotype" w:hAnsi="Palatino Linotype" w:cs="Tahoma"/>
        </w:rPr>
      </w:pPr>
    </w:p>
    <w:bookmarkEnd w:id="2"/>
    <w:p w14:paraId="69937DAB" w14:textId="2487CD88" w:rsidR="00A66A81" w:rsidRPr="000D7476" w:rsidRDefault="000625B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w:t>
      </w:r>
      <w:r w:rsidR="00A66A81" w:rsidRPr="000D7476">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rPr>
        <w:t xml:space="preserve">Artículo </w:t>
      </w:r>
      <w:r w:rsidRPr="000D747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 Nombre del integrante de la Institución de Seguridad Pública; </w:t>
      </w:r>
    </w:p>
    <w:p w14:paraId="3E3C6183"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 </w:t>
      </w:r>
      <w:r w:rsidRPr="000D7476">
        <w:rPr>
          <w:rFonts w:ascii="Palatino Linotype" w:hAnsi="Palatino Linotype" w:cs="Tahoma"/>
          <w:b/>
          <w:i/>
        </w:rPr>
        <w:t>Cargo y nivel jerárquico</w:t>
      </w:r>
      <w:r w:rsidRPr="000D7476">
        <w:rPr>
          <w:rFonts w:ascii="Palatino Linotype" w:hAnsi="Palatino Linotype" w:cs="Tahoma"/>
          <w:i/>
        </w:rPr>
        <w:t xml:space="preserve">; </w:t>
      </w:r>
    </w:p>
    <w:p w14:paraId="159C036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IV. Huella digital del integrante de la Institución de Seguridad Pública; </w:t>
      </w:r>
    </w:p>
    <w:p w14:paraId="23AC5E5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 Clave de inscripción en el Registro Nacional de Personal de Seguridad Pública; </w:t>
      </w:r>
    </w:p>
    <w:p w14:paraId="4D6CE41D"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 Firma del integrante; </w:t>
      </w:r>
    </w:p>
    <w:p w14:paraId="4BDAFD0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lastRenderedPageBreak/>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0D7476" w:rsidRDefault="00A66A81" w:rsidP="007F24B9">
      <w:pPr>
        <w:autoSpaceDE w:val="0"/>
        <w:autoSpaceDN w:val="0"/>
        <w:adjustRightInd w:val="0"/>
        <w:spacing w:line="360" w:lineRule="auto"/>
        <w:ind w:left="567" w:right="567"/>
        <w:jc w:val="center"/>
        <w:rPr>
          <w:rFonts w:ascii="Palatino Linotype" w:hAnsi="Palatino Linotype" w:cs="Times"/>
          <w:b/>
          <w:i/>
          <w:u w:val="single"/>
        </w:rPr>
      </w:pPr>
      <w:r w:rsidRPr="000D7476">
        <w:rPr>
          <w:rFonts w:ascii="Palatino Linotype" w:hAnsi="Palatino Linotype" w:cs="Times"/>
          <w:b/>
          <w:i/>
          <w:u w:val="single"/>
        </w:rPr>
        <w:t>Ley de Seguridad del Estado de México:</w:t>
      </w:r>
    </w:p>
    <w:p w14:paraId="3ABB834D" w14:textId="77777777" w:rsidR="00A66A81" w:rsidRPr="000D7476" w:rsidRDefault="00A66A81" w:rsidP="007F24B9">
      <w:pPr>
        <w:spacing w:line="360" w:lineRule="auto"/>
        <w:ind w:left="567" w:right="567"/>
        <w:jc w:val="both"/>
        <w:rPr>
          <w:rFonts w:ascii="Palatino Linotype" w:hAnsi="Palatino Linotype" w:cs="Tahoma"/>
        </w:rPr>
      </w:pPr>
    </w:p>
    <w:p w14:paraId="59326BAF"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0D7476" w:rsidRDefault="00A66A81" w:rsidP="007F24B9">
      <w:pPr>
        <w:spacing w:line="360" w:lineRule="auto"/>
        <w:ind w:left="567" w:right="567"/>
        <w:jc w:val="both"/>
        <w:rPr>
          <w:rFonts w:ascii="Palatino Linotype" w:hAnsi="Palatino Linotype" w:cs="Tahoma"/>
          <w:i/>
        </w:rPr>
      </w:pPr>
    </w:p>
    <w:p w14:paraId="5F47B50D"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5CF9AD54" w14:textId="77777777" w:rsidR="00A66A81" w:rsidRPr="000D7476" w:rsidRDefault="00A66A81" w:rsidP="007F24B9">
      <w:pPr>
        <w:spacing w:line="360" w:lineRule="auto"/>
        <w:ind w:left="567" w:right="567"/>
        <w:jc w:val="both"/>
        <w:rPr>
          <w:rFonts w:ascii="Palatino Linotype" w:hAnsi="Palatino Linotype" w:cs="Tahoma"/>
          <w:i/>
        </w:rPr>
      </w:pPr>
    </w:p>
    <w:p w14:paraId="717B6826"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 xml:space="preserve"> B. Obligaciones: </w:t>
      </w:r>
    </w:p>
    <w:p w14:paraId="26576494" w14:textId="77777777" w:rsidR="00A66A81" w:rsidRPr="000D7476" w:rsidRDefault="00A66A81" w:rsidP="007F24B9">
      <w:pPr>
        <w:spacing w:line="360" w:lineRule="auto"/>
        <w:ind w:left="567" w:right="567"/>
        <w:jc w:val="both"/>
        <w:rPr>
          <w:rFonts w:ascii="Palatino Linotype" w:hAnsi="Palatino Linotype" w:cs="Tahoma"/>
          <w:i/>
        </w:rPr>
      </w:pPr>
    </w:p>
    <w:p w14:paraId="01BA5577"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 Generales:</w:t>
      </w:r>
    </w:p>
    <w:p w14:paraId="646D6595" w14:textId="77777777" w:rsidR="00A66A81" w:rsidRPr="000D7476" w:rsidRDefault="00A66A81" w:rsidP="007F24B9">
      <w:pPr>
        <w:spacing w:line="360" w:lineRule="auto"/>
        <w:ind w:left="567" w:right="567"/>
        <w:jc w:val="both"/>
        <w:rPr>
          <w:rFonts w:ascii="Palatino Linotype" w:hAnsi="Palatino Linotype" w:cs="Tahoma"/>
          <w:i/>
        </w:rPr>
      </w:pPr>
    </w:p>
    <w:p w14:paraId="53DEFD8A"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2CDDB3" w14:textId="77777777" w:rsidR="00CB2F05" w:rsidRPr="000D7476" w:rsidRDefault="00CB2F05" w:rsidP="007F24B9">
      <w:pPr>
        <w:spacing w:line="360" w:lineRule="auto"/>
        <w:ind w:left="567" w:right="567"/>
        <w:jc w:val="both"/>
        <w:rPr>
          <w:rFonts w:ascii="Palatino Linotype" w:hAnsi="Palatino Linotype" w:cs="Tahoma"/>
          <w:b/>
          <w:i/>
        </w:rPr>
      </w:pPr>
    </w:p>
    <w:p w14:paraId="4F695CCA"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t</w:t>
      </w:r>
      <w:r w:rsidRPr="000D747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D7476">
        <w:rPr>
          <w:rFonts w:ascii="Palatino Linotype" w:hAnsi="Palatino Linotype" w:cs="Tahoma"/>
          <w:i/>
        </w:rPr>
        <w:t xml:space="preserve">; </w:t>
      </w:r>
    </w:p>
    <w:p w14:paraId="1AC3995B" w14:textId="77777777" w:rsidR="00A66A81" w:rsidRPr="000D7476" w:rsidRDefault="00A66A81" w:rsidP="007F24B9">
      <w:pPr>
        <w:spacing w:line="360" w:lineRule="auto"/>
        <w:ind w:left="567" w:right="567"/>
        <w:jc w:val="both"/>
        <w:rPr>
          <w:rFonts w:ascii="Palatino Linotype" w:hAnsi="Palatino Linotype" w:cs="Tahoma"/>
          <w:i/>
        </w:rPr>
      </w:pPr>
    </w:p>
    <w:p w14:paraId="5CDF07C8"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733A67AF" w14:textId="77777777" w:rsidR="00A66A81" w:rsidRPr="000D7476" w:rsidRDefault="00A66A81" w:rsidP="007F24B9">
      <w:pPr>
        <w:spacing w:line="360" w:lineRule="auto"/>
        <w:ind w:left="567" w:right="567"/>
        <w:jc w:val="both"/>
        <w:rPr>
          <w:rFonts w:ascii="Palatino Linotype" w:hAnsi="Palatino Linotype" w:cs="Tahoma"/>
          <w:i/>
        </w:rPr>
      </w:pPr>
    </w:p>
    <w:p w14:paraId="22A89139"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37D7F9DF" w14:textId="77777777" w:rsidR="00A66A81" w:rsidRPr="000D7476" w:rsidRDefault="00A66A81" w:rsidP="007F24B9">
      <w:pPr>
        <w:spacing w:line="360" w:lineRule="auto"/>
        <w:ind w:left="567" w:right="567"/>
        <w:jc w:val="both"/>
        <w:rPr>
          <w:rFonts w:ascii="Palatino Linotype" w:hAnsi="Palatino Linotype" w:cs="Tahoma"/>
          <w:i/>
        </w:rPr>
      </w:pPr>
    </w:p>
    <w:p w14:paraId="31FE9A22" w14:textId="3161BFE0"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0D7476">
        <w:rPr>
          <w:rFonts w:ascii="Palatino Linotype" w:hAnsi="Palatino Linotype" w:cs="Tahoma"/>
          <w:i/>
        </w:rPr>
        <w:t>;</w:t>
      </w:r>
    </w:p>
    <w:p w14:paraId="1613909F"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4EAFEFFF" w14:textId="77777777" w:rsidR="00A66A81" w:rsidRPr="000D7476" w:rsidRDefault="00A66A81" w:rsidP="007F24B9">
      <w:pPr>
        <w:spacing w:line="360" w:lineRule="auto"/>
        <w:ind w:left="567" w:right="567"/>
        <w:jc w:val="both"/>
        <w:rPr>
          <w:rFonts w:ascii="Palatino Linotype" w:hAnsi="Palatino Linotype" w:cs="Tahoma"/>
          <w:i/>
        </w:rPr>
      </w:pPr>
    </w:p>
    <w:p w14:paraId="29CC0E78" w14:textId="77777777" w:rsidR="00A66A81" w:rsidRPr="000D7476" w:rsidRDefault="00A66A81" w:rsidP="007F24B9">
      <w:pPr>
        <w:spacing w:line="360" w:lineRule="auto"/>
        <w:ind w:left="567" w:right="567"/>
        <w:jc w:val="both"/>
        <w:rPr>
          <w:rFonts w:ascii="Palatino Linotype" w:hAnsi="Palatino Linotype" w:cs="Tahoma"/>
          <w:b/>
          <w:i/>
        </w:rPr>
      </w:pPr>
      <w:proofErr w:type="spellStart"/>
      <w:r w:rsidRPr="000D7476">
        <w:rPr>
          <w:rFonts w:ascii="Palatino Linotype" w:hAnsi="Palatino Linotype" w:cs="Tahoma"/>
          <w:b/>
          <w:i/>
        </w:rPr>
        <w:t>ag</w:t>
      </w:r>
      <w:proofErr w:type="spellEnd"/>
      <w:r w:rsidRPr="000D7476">
        <w:rPr>
          <w:rFonts w:ascii="Palatino Linotype" w:hAnsi="Palatino Linotype" w:cs="Tahoma"/>
          <w:b/>
          <w:i/>
        </w:rPr>
        <w:t xml:space="preserve">) Las demás que establezca esta Ley y otras disposiciones aplicables. </w:t>
      </w:r>
    </w:p>
    <w:p w14:paraId="1453DE8C" w14:textId="77777777" w:rsidR="00A66A81" w:rsidRPr="000D7476" w:rsidRDefault="00A66A81" w:rsidP="007F24B9">
      <w:pPr>
        <w:spacing w:line="360" w:lineRule="auto"/>
        <w:ind w:left="567" w:right="567"/>
        <w:jc w:val="both"/>
        <w:rPr>
          <w:rFonts w:ascii="Palatino Linotype" w:hAnsi="Palatino Linotype" w:cs="Tahoma"/>
          <w:b/>
          <w:i/>
        </w:rPr>
      </w:pPr>
    </w:p>
    <w:p w14:paraId="7C0B34D4" w14:textId="77777777" w:rsidR="00A66A81" w:rsidRPr="000D7476" w:rsidRDefault="00A66A81" w:rsidP="007F24B9">
      <w:pPr>
        <w:tabs>
          <w:tab w:val="left" w:pos="9495"/>
        </w:tabs>
        <w:spacing w:line="360" w:lineRule="auto"/>
        <w:ind w:left="567" w:right="567"/>
        <w:jc w:val="both"/>
        <w:rPr>
          <w:rFonts w:ascii="Palatino Linotype" w:hAnsi="Palatino Linotype" w:cs="Tahoma"/>
          <w:i/>
        </w:rPr>
      </w:pPr>
    </w:p>
    <w:p w14:paraId="4E1EFE89" w14:textId="77777777" w:rsidR="005C4513" w:rsidRPr="000D7476" w:rsidRDefault="005C4513" w:rsidP="007F24B9">
      <w:pPr>
        <w:spacing w:line="360" w:lineRule="auto"/>
        <w:ind w:left="567" w:right="567"/>
        <w:jc w:val="both"/>
        <w:rPr>
          <w:rFonts w:ascii="Palatino Linotype" w:hAnsi="Palatino Linotype" w:cs="Tahoma"/>
          <w:i/>
        </w:rPr>
      </w:pPr>
    </w:p>
    <w:p w14:paraId="3F2AF02D"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 .)</w:t>
      </w:r>
    </w:p>
    <w:p w14:paraId="37213A2B"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xml:space="preserve"> </w:t>
      </w:r>
      <w:r w:rsidRPr="000D7476">
        <w:rPr>
          <w:rFonts w:ascii="Palatino Linotype" w:hAnsi="Palatino Linotype" w:cs="Tahoma"/>
          <w:b/>
          <w:i/>
        </w:rPr>
        <w:t>Todos los elementos de las Instituciones de Seguridad Pública tienen la obligación de identificarse</w:t>
      </w:r>
      <w:r w:rsidRPr="000D747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0D7476" w:rsidRDefault="006F62BA" w:rsidP="007F24B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0D7476" w:rsidRDefault="006F62BA" w:rsidP="007F24B9">
      <w:pPr>
        <w:spacing w:line="360" w:lineRule="auto"/>
        <w:ind w:left="567" w:right="567"/>
        <w:jc w:val="center"/>
        <w:rPr>
          <w:rFonts w:ascii="Palatino Linotype" w:hAnsi="Palatino Linotype" w:cs="Tahoma"/>
          <w:b/>
          <w:i/>
          <w:u w:val="single"/>
        </w:rPr>
      </w:pPr>
      <w:r w:rsidRPr="000D7476">
        <w:rPr>
          <w:rFonts w:ascii="Palatino Linotype" w:hAnsi="Palatino Linotype" w:cs="Tahoma"/>
          <w:b/>
          <w:i/>
          <w:u w:val="single"/>
        </w:rPr>
        <w:t>Ley de Responsabilidades de los Servidores Públicos del Estado y Municipios:</w:t>
      </w:r>
    </w:p>
    <w:p w14:paraId="1A5BE05C"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10867BAF"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FFED68"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7C6F292C" w14:textId="1243953C" w:rsidR="006F62BA"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lastRenderedPageBreak/>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0D7476" w:rsidRDefault="006F62BA" w:rsidP="007F24B9">
      <w:pPr>
        <w:pStyle w:val="Textoindependiente"/>
        <w:spacing w:line="360" w:lineRule="auto"/>
        <w:ind w:left="567"/>
        <w:rPr>
          <w:rFonts w:eastAsia="Times New Roman" w:cs="Tahoma"/>
          <w:i/>
          <w:lang w:eastAsia="es-ES"/>
        </w:rPr>
      </w:pPr>
    </w:p>
    <w:p w14:paraId="1501794F"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277A121A" w14:textId="07B223D8" w:rsidR="00C242A7"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Por otra parte, e</w:t>
      </w:r>
      <w:r w:rsidR="00C242A7" w:rsidRPr="000D7476">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0D7476" w:rsidRDefault="00C242A7"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140.</w:t>
      </w:r>
      <w:r w:rsidRPr="000D747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w:t>
      </w:r>
      <w:r w:rsidR="00C242A7" w:rsidRPr="000D7476">
        <w:rPr>
          <w:rFonts w:ascii="Palatino Linotype" w:hAnsi="Palatino Linotype"/>
          <w:i/>
        </w:rPr>
        <w:t xml:space="preserve">Comprometa la seguridad pública y cuente con un propósito genuino y un efecto demostrable; </w:t>
      </w:r>
    </w:p>
    <w:p w14:paraId="590BAEC8" w14:textId="6A8436E6" w:rsidR="00C242A7"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00C242A7" w:rsidRPr="000D7476">
        <w:rPr>
          <w:rFonts w:ascii="Palatino Linotype" w:hAnsi="Palatino Linotype"/>
          <w:i/>
        </w:rPr>
        <w:t>…</w:t>
      </w:r>
      <w:r w:rsidRPr="000D7476">
        <w:rPr>
          <w:rFonts w:ascii="Palatino Linotype" w:hAnsi="Palatino Linotype"/>
          <w:i/>
        </w:rPr>
        <w:t>)</w:t>
      </w:r>
      <w:r w:rsidR="00C242A7" w:rsidRPr="000D7476">
        <w:rPr>
          <w:rFonts w:ascii="Palatino Linotype" w:hAnsi="Palatino Linotype"/>
          <w:i/>
        </w:rPr>
        <w:t xml:space="preserve">” </w:t>
      </w:r>
    </w:p>
    <w:p w14:paraId="221F4AFC" w14:textId="77777777" w:rsidR="00C242A7" w:rsidRPr="000D7476"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w:t>
      </w:r>
      <w:r w:rsidR="00614534" w:rsidRPr="000D7476">
        <w:rPr>
          <w:rFonts w:ascii="Palatino Linotype" w:hAnsi="Palatino Linotype"/>
        </w:rPr>
        <w:t>lo anterior tenemos</w:t>
      </w:r>
      <w:r w:rsidRPr="000D747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0D7476">
        <w:rPr>
          <w:rFonts w:ascii="Palatino Linotype" w:hAnsi="Palatino Linotype"/>
        </w:rPr>
        <w:t>asimismo</w:t>
      </w:r>
      <w:r w:rsidRPr="000D7476">
        <w:rPr>
          <w:rFonts w:ascii="Palatino Linotype" w:hAnsi="Palatino Linotype"/>
        </w:rPr>
        <w:t xml:space="preserve">, los </w:t>
      </w:r>
      <w:r w:rsidR="00614534" w:rsidRPr="000D7476">
        <w:rPr>
          <w:rFonts w:ascii="Palatino Linotype" w:hAnsi="Palatino Linotype"/>
        </w:rPr>
        <w:t>Lineamientos Generales en Materia de Clasificación y Desclasificación de la Información, así como para la Elaboración de Versiones Públicas</w:t>
      </w:r>
      <w:r w:rsidRPr="000D7476">
        <w:rPr>
          <w:rFonts w:ascii="Palatino Linotype" w:hAnsi="Palatino Linotype"/>
        </w:rPr>
        <w:t>, disponen:</w:t>
      </w:r>
    </w:p>
    <w:p w14:paraId="48904A4F" w14:textId="77777777" w:rsidR="000625B1" w:rsidRPr="000D7476" w:rsidRDefault="000625B1" w:rsidP="007F24B9">
      <w:pPr>
        <w:tabs>
          <w:tab w:val="left" w:pos="851"/>
        </w:tabs>
        <w:spacing w:line="360" w:lineRule="auto"/>
        <w:ind w:right="49"/>
        <w:jc w:val="both"/>
        <w:rPr>
          <w:rFonts w:ascii="Palatino Linotype" w:hAnsi="Palatino Linotype"/>
        </w:rPr>
      </w:pPr>
    </w:p>
    <w:p w14:paraId="490CF3FA" w14:textId="77777777" w:rsidR="00C242A7"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rPr>
        <w:lastRenderedPageBreak/>
        <w:t xml:space="preserve"> </w:t>
      </w:r>
      <w:r w:rsidRPr="000D7476">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0D7476" w:rsidRDefault="00614534" w:rsidP="007F24B9">
      <w:pPr>
        <w:tabs>
          <w:tab w:val="left" w:pos="851"/>
        </w:tabs>
        <w:spacing w:line="360" w:lineRule="auto"/>
        <w:ind w:right="49"/>
        <w:jc w:val="both"/>
        <w:rPr>
          <w:rFonts w:ascii="Palatino Linotype" w:hAnsi="Palatino Linotype"/>
        </w:rPr>
      </w:pPr>
    </w:p>
    <w:p w14:paraId="43FD0DEB" w14:textId="3256EDD5" w:rsidR="000625B1"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tanto, </w:t>
      </w:r>
      <w:r w:rsidR="00C242A7" w:rsidRPr="000D7476">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0D7476" w:rsidRDefault="00614534" w:rsidP="007F24B9">
      <w:pPr>
        <w:tabs>
          <w:tab w:val="left" w:pos="851"/>
        </w:tabs>
        <w:spacing w:line="360" w:lineRule="auto"/>
        <w:ind w:right="49"/>
        <w:jc w:val="both"/>
        <w:rPr>
          <w:rFonts w:ascii="Palatino Linotype" w:hAnsi="Palatino Linotype"/>
        </w:rPr>
      </w:pPr>
    </w:p>
    <w:p w14:paraId="06563FEA" w14:textId="269BF2D6"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la misma manera, será información clasificada aquella que revele datos que pudieran ser aprovechados para conocer la capacidad de reacción de las </w:t>
      </w:r>
      <w:r w:rsidRPr="000D7476">
        <w:rPr>
          <w:rFonts w:ascii="Palatino Linotype" w:hAnsi="Palatino Linotype"/>
        </w:rPr>
        <w:lastRenderedPageBreak/>
        <w:t xml:space="preserve">instituciones encargadas de la seguridad pública, sus planes, estrategias, tecnología, información, sistemas de comunicaciones. </w:t>
      </w:r>
    </w:p>
    <w:p w14:paraId="335BFD9E" w14:textId="77777777" w:rsidR="00614534" w:rsidRPr="000D7476" w:rsidRDefault="00614534" w:rsidP="007F24B9">
      <w:pPr>
        <w:tabs>
          <w:tab w:val="left" w:pos="851"/>
        </w:tabs>
        <w:spacing w:line="360" w:lineRule="auto"/>
        <w:ind w:right="49"/>
        <w:jc w:val="both"/>
        <w:rPr>
          <w:rFonts w:ascii="Palatino Linotype" w:hAnsi="Palatino Linotype"/>
        </w:rPr>
      </w:pPr>
    </w:p>
    <w:p w14:paraId="5F5A2741" w14:textId="21C59118"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el artículo 81 de la Ley de Seguridad del Estado de México, que establece lo siguiente: </w:t>
      </w:r>
    </w:p>
    <w:p w14:paraId="5475B51C" w14:textId="77777777" w:rsidR="000625B1" w:rsidRPr="000D7476"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81.-</w:t>
      </w:r>
      <w:r w:rsidRPr="000D747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II.</w:t>
      </w:r>
      <w:r w:rsidRPr="000D747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IV.</w:t>
      </w:r>
      <w:r w:rsidRPr="000D747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V.</w:t>
      </w:r>
      <w:r w:rsidRPr="000D7476">
        <w:rPr>
          <w:rFonts w:ascii="Palatino Linotype" w:hAnsi="Palatino Linotype"/>
          <w:i/>
        </w:rPr>
        <w:t xml:space="preserve"> La contenida en averiguaciones previas, carpetas de investigación, expedientes y demás archivos relativos a la investigación para la prevención y la investigación </w:t>
      </w:r>
      <w:r w:rsidRPr="000D7476">
        <w:rPr>
          <w:rFonts w:ascii="Palatino Linotype" w:hAnsi="Palatino Linotype"/>
          <w:i/>
        </w:rPr>
        <w:lastRenderedPageBreak/>
        <w:t xml:space="preserve">de los delitos y faltas administrativas, en términos de las disposiciones aplicables.” </w:t>
      </w:r>
    </w:p>
    <w:p w14:paraId="608D86AE" w14:textId="77777777" w:rsidR="00614534" w:rsidRPr="000D7476" w:rsidRDefault="00614534" w:rsidP="007F24B9">
      <w:pPr>
        <w:tabs>
          <w:tab w:val="left" w:pos="851"/>
        </w:tabs>
        <w:spacing w:line="360" w:lineRule="auto"/>
        <w:ind w:right="49"/>
        <w:jc w:val="both"/>
        <w:rPr>
          <w:rFonts w:ascii="Palatino Linotype" w:hAnsi="Palatino Linotype"/>
        </w:rPr>
      </w:pPr>
    </w:p>
    <w:p w14:paraId="74D99D4A" w14:textId="6B1D5D34"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0D7476" w:rsidRDefault="00614534" w:rsidP="007F24B9">
      <w:pPr>
        <w:tabs>
          <w:tab w:val="left" w:pos="851"/>
        </w:tabs>
        <w:spacing w:line="360" w:lineRule="auto"/>
        <w:ind w:right="49"/>
        <w:jc w:val="both"/>
        <w:rPr>
          <w:rFonts w:ascii="Palatino Linotype" w:hAnsi="Palatino Linotype"/>
        </w:rPr>
      </w:pPr>
    </w:p>
    <w:p w14:paraId="10AF415D" w14:textId="360AAF5E" w:rsidR="00C242A7"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Sin embargo, no se advierte de qué forma </w:t>
      </w:r>
      <w:r w:rsidR="00614534" w:rsidRPr="000D7476">
        <w:rPr>
          <w:rFonts w:ascii="Palatino Linotype" w:hAnsi="Palatino Linotype"/>
        </w:rPr>
        <w:t xml:space="preserve">el proporcionar el cargo de los elementos de seguridad pública operativos </w:t>
      </w:r>
      <w:r w:rsidRPr="000D7476">
        <w:rPr>
          <w:rFonts w:ascii="Palatino Linotype" w:hAnsi="Palatino Linotype"/>
        </w:rPr>
        <w:t xml:space="preserve">comprometa la </w:t>
      </w:r>
      <w:r w:rsidR="00374ECA" w:rsidRPr="000D7476">
        <w:rPr>
          <w:rFonts w:ascii="Palatino Linotype" w:hAnsi="Palatino Linotype"/>
        </w:rPr>
        <w:t>seguridad pública del Municipio.</w:t>
      </w:r>
    </w:p>
    <w:p w14:paraId="775DA5CD" w14:textId="6EF7D4D9" w:rsidR="009812A5" w:rsidRPr="000D7476" w:rsidRDefault="009812A5" w:rsidP="007F24B9">
      <w:pPr>
        <w:tabs>
          <w:tab w:val="left" w:pos="851"/>
        </w:tabs>
        <w:spacing w:line="360" w:lineRule="auto"/>
        <w:ind w:right="49"/>
        <w:jc w:val="both"/>
        <w:rPr>
          <w:rFonts w:ascii="Palatino Linotype" w:hAnsi="Palatino Linotype"/>
        </w:rPr>
      </w:pPr>
    </w:p>
    <w:p w14:paraId="34AD861D" w14:textId="5B41CFDD"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no se niega que las </w:t>
      </w:r>
      <w:r w:rsidRPr="000D7476">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w:t>
      </w:r>
      <w:r w:rsidRPr="000D7476">
        <w:rPr>
          <w:rFonts w:ascii="Palatino Linotype" w:hAnsi="Palatino Linotype"/>
          <w:lang w:val="es-MX"/>
        </w:rPr>
        <w:lastRenderedPageBreak/>
        <w:t>partes. Todos estos servidores públicos tienen que prevenir, responder de inmediato antes estos actos, investigar, determinar presumibles responsabilidades o resolver los conflictos.</w:t>
      </w:r>
    </w:p>
    <w:p w14:paraId="4C335646" w14:textId="77777777" w:rsidR="009812A5" w:rsidRPr="000D7476" w:rsidRDefault="009812A5" w:rsidP="007F24B9">
      <w:pPr>
        <w:tabs>
          <w:tab w:val="left" w:pos="851"/>
        </w:tabs>
        <w:spacing w:line="360" w:lineRule="auto"/>
        <w:ind w:right="49"/>
        <w:jc w:val="both"/>
        <w:rPr>
          <w:rFonts w:ascii="Palatino Linotype" w:hAnsi="Palatino Linotype"/>
        </w:rPr>
      </w:pPr>
    </w:p>
    <w:p w14:paraId="0080853B" w14:textId="0FE9CBE9"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0D7476">
        <w:rPr>
          <w:rFonts w:ascii="Palatino Linotype" w:hAnsi="Palatino Linotype"/>
          <w:b/>
        </w:rPr>
        <w:t>mas no así su cargo</w:t>
      </w:r>
      <w:r w:rsidRPr="000D7476">
        <w:rPr>
          <w:rFonts w:ascii="Palatino Linotype" w:hAnsi="Palatino Linotype"/>
        </w:rPr>
        <w:t>:</w:t>
      </w:r>
    </w:p>
    <w:p w14:paraId="60498BAE" w14:textId="77777777" w:rsidR="009812A5" w:rsidRPr="000D7476" w:rsidRDefault="009812A5" w:rsidP="007F24B9">
      <w:pPr>
        <w:tabs>
          <w:tab w:val="left" w:pos="851"/>
        </w:tabs>
        <w:spacing w:line="360" w:lineRule="auto"/>
        <w:ind w:right="49"/>
        <w:jc w:val="both"/>
        <w:rPr>
          <w:rFonts w:ascii="Palatino Linotype" w:hAnsi="Palatino Linotype"/>
        </w:rPr>
      </w:pPr>
    </w:p>
    <w:p w14:paraId="4FECF4D6" w14:textId="63561846" w:rsidR="009812A5" w:rsidRPr="000D7476" w:rsidRDefault="009812A5" w:rsidP="007F24B9">
      <w:pPr>
        <w:tabs>
          <w:tab w:val="left" w:pos="851"/>
        </w:tabs>
        <w:spacing w:line="360" w:lineRule="auto"/>
        <w:ind w:left="567" w:right="567"/>
        <w:jc w:val="both"/>
        <w:rPr>
          <w:rFonts w:ascii="Palatino Linotype" w:hAnsi="Palatino Linotype"/>
          <w:i/>
          <w:lang w:val="es-MX"/>
        </w:rPr>
      </w:pPr>
      <w:r w:rsidRPr="000D7476">
        <w:rPr>
          <w:rFonts w:ascii="Palatino Linotype" w:hAnsi="Palatino Linotype"/>
          <w:b/>
          <w:bCs/>
          <w:i/>
          <w:lang w:val="es-MX"/>
        </w:rPr>
        <w:t>NOMBRES DE SERVIDORES PÚBLICOS DEDICADOS A ACTIVIDADES EN MATERIA DE SEGURIDAD, POR EXCEPCIÓN PUEDEN CONSIDERARSE INFORMACIÓN RESERVADA.</w:t>
      </w:r>
      <w:r w:rsidRPr="000D747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w:t>
      </w:r>
      <w:r w:rsidRPr="000D7476">
        <w:rPr>
          <w:rFonts w:ascii="Palatino Linotype" w:hAnsi="Palatino Linotype"/>
          <w:i/>
          <w:lang w:val="es-MX"/>
        </w:rPr>
        <w:lastRenderedPageBreak/>
        <w:t>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0D7476" w:rsidRDefault="009812A5" w:rsidP="007F24B9">
      <w:pPr>
        <w:tabs>
          <w:tab w:val="left" w:pos="851"/>
        </w:tabs>
        <w:spacing w:line="360" w:lineRule="auto"/>
        <w:ind w:right="49"/>
        <w:jc w:val="both"/>
        <w:rPr>
          <w:rFonts w:ascii="Palatino Linotype" w:hAnsi="Palatino Linotype"/>
        </w:rPr>
      </w:pPr>
    </w:p>
    <w:p w14:paraId="78EE32B5" w14:textId="091D6D6A"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0D7476" w:rsidRDefault="009812A5" w:rsidP="007F24B9">
      <w:pPr>
        <w:tabs>
          <w:tab w:val="left" w:pos="851"/>
        </w:tabs>
        <w:spacing w:line="360" w:lineRule="auto"/>
        <w:ind w:right="49"/>
        <w:jc w:val="both"/>
        <w:rPr>
          <w:rFonts w:ascii="Palatino Linotype" w:hAnsi="Palatino Linotype"/>
        </w:rPr>
      </w:pPr>
    </w:p>
    <w:p w14:paraId="48FB4011" w14:textId="28BC4904"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Empero, la clasificación del cargo, como tal, no aumenta el nivel de protección de privacidad de los integrantes de grupos policiales, puesto que, si ya fue clasificado el nombre del trabajador, el conocer el cargo anonimiza a su titular (tratándose de </w:t>
      </w:r>
      <w:r w:rsidRPr="000D7476">
        <w:rPr>
          <w:rFonts w:ascii="Palatino Linotype" w:hAnsi="Palatino Linotype"/>
        </w:rPr>
        <w:lastRenderedPageBreak/>
        <w:t>elementos operativos quienes comparten el mismo cargo con, al menos, una centena de personas más)</w:t>
      </w:r>
      <w:r w:rsidR="00C34F96" w:rsidRPr="000D7476">
        <w:rPr>
          <w:rFonts w:ascii="Palatino Linotype" w:hAnsi="Palatino Linotype"/>
        </w:rPr>
        <w:t>.</w:t>
      </w:r>
    </w:p>
    <w:p w14:paraId="606E61F2" w14:textId="77777777" w:rsidR="00C34F96" w:rsidRPr="000D7476" w:rsidRDefault="00C34F96" w:rsidP="007F24B9">
      <w:pPr>
        <w:tabs>
          <w:tab w:val="left" w:pos="851"/>
        </w:tabs>
        <w:spacing w:line="360" w:lineRule="auto"/>
        <w:ind w:right="49"/>
        <w:jc w:val="both"/>
        <w:rPr>
          <w:rFonts w:ascii="Palatino Linotype" w:hAnsi="Palatino Linotype"/>
        </w:rPr>
      </w:pPr>
    </w:p>
    <w:p w14:paraId="49C2F23D" w14:textId="77777777" w:rsidR="00AC25BC" w:rsidRPr="000D7476" w:rsidRDefault="00C34F96"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0D7476">
        <w:rPr>
          <w:rFonts w:ascii="Palatino Linotype" w:hAnsi="Palatino Linotype"/>
          <w:i/>
        </w:rPr>
        <w:t>Conciliación de Nómina</w:t>
      </w:r>
      <w:r w:rsidRPr="000D7476">
        <w:rPr>
          <w:rFonts w:ascii="Palatino Linotype" w:hAnsi="Palatino Linotype"/>
        </w:rPr>
        <w:t xml:space="preserve"> que los Sujetos Obligados entregan de forma trimestral al Órgano Superior de Fiscalización de la entidad, pues también puede conocerse este dato mediante el </w:t>
      </w:r>
      <w:r w:rsidRPr="000D7476">
        <w:rPr>
          <w:rFonts w:ascii="Palatino Linotype" w:hAnsi="Palatino Linotype"/>
          <w:b/>
        </w:rPr>
        <w:t>tabulador de sueldos y salarios</w:t>
      </w:r>
      <w:r w:rsidRPr="000D7476">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0D7476">
        <w:rPr>
          <w:rFonts w:ascii="Palatino Linotype" w:hAnsi="Palatino Linotype"/>
        </w:rPr>
        <w:t>propias de cada cargo.</w:t>
      </w:r>
    </w:p>
    <w:p w14:paraId="1CDC5E21" w14:textId="77777777" w:rsidR="00AC25BC" w:rsidRPr="000D7476" w:rsidRDefault="00AC25BC" w:rsidP="007F24B9">
      <w:pPr>
        <w:tabs>
          <w:tab w:val="left" w:pos="851"/>
        </w:tabs>
        <w:spacing w:line="360" w:lineRule="auto"/>
        <w:ind w:right="49"/>
        <w:jc w:val="both"/>
        <w:rPr>
          <w:rFonts w:ascii="Palatino Linotype" w:hAnsi="Palatino Linotype"/>
        </w:rPr>
      </w:pPr>
    </w:p>
    <w:p w14:paraId="05B06B9E" w14:textId="6157348B" w:rsidR="00C34F96" w:rsidRPr="000D7476" w:rsidRDefault="00AC25BC"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lo tanto, el considerar clasificar el cargo dentro de un recibo de nómina, implicaría el clasificar el dato en </w:t>
      </w:r>
      <w:r w:rsidRPr="000D7476">
        <w:rPr>
          <w:rFonts w:ascii="Palatino Linotype" w:hAnsi="Palatino Linotype"/>
          <w:b/>
        </w:rPr>
        <w:t>todos</w:t>
      </w:r>
      <w:r w:rsidRPr="000D747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0D7476">
        <w:rPr>
          <w:rFonts w:ascii="Palatino Linotype" w:hAnsi="Palatino Linotype"/>
        </w:rPr>
        <w:t xml:space="preserve"> </w:t>
      </w:r>
    </w:p>
    <w:p w14:paraId="1D0A21B8" w14:textId="77777777" w:rsidR="00C34F96" w:rsidRPr="000D7476" w:rsidRDefault="00C34F96" w:rsidP="007F24B9">
      <w:pPr>
        <w:tabs>
          <w:tab w:val="left" w:pos="851"/>
        </w:tabs>
        <w:spacing w:line="360" w:lineRule="auto"/>
        <w:ind w:right="49"/>
        <w:jc w:val="both"/>
        <w:rPr>
          <w:rFonts w:ascii="Palatino Linotype" w:hAnsi="Palatino Linotype"/>
        </w:rPr>
      </w:pPr>
    </w:p>
    <w:p w14:paraId="09AE3A89" w14:textId="24EE2314" w:rsidR="000625B1"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w:t>
      </w:r>
      <w:r w:rsidR="000625B1" w:rsidRPr="000D7476">
        <w:rPr>
          <w:rFonts w:ascii="Palatino Linotype" w:hAnsi="Palatino Linotype"/>
        </w:rPr>
        <w:t>la transparencia es uno de los principios rectores de la</w:t>
      </w:r>
      <w:r w:rsidRPr="000D7476">
        <w:rPr>
          <w:rFonts w:ascii="Palatino Linotype" w:hAnsi="Palatino Linotype"/>
        </w:rPr>
        <w:t xml:space="preserve">s instituciones de seguridad </w:t>
      </w:r>
      <w:r w:rsidR="00A7702A" w:rsidRPr="000D7476">
        <w:rPr>
          <w:rFonts w:ascii="Palatino Linotype" w:hAnsi="Palatino Linotype"/>
        </w:rPr>
        <w:t>pública</w:t>
      </w:r>
      <w:r w:rsidRPr="000D7476">
        <w:rPr>
          <w:rFonts w:ascii="Palatino Linotype" w:hAnsi="Palatino Linotype"/>
        </w:rPr>
        <w:t xml:space="preserve"> en los regímenes democráticos.</w:t>
      </w:r>
      <w:r w:rsidR="000625B1" w:rsidRPr="000D7476">
        <w:rPr>
          <w:rFonts w:ascii="Palatino Linotype" w:hAnsi="Palatino Linotype"/>
        </w:rPr>
        <w:t xml:space="preserve"> Con ésta nos referimos a un estilo </w:t>
      </w:r>
      <w:r w:rsidR="000625B1" w:rsidRPr="000D7476">
        <w:rPr>
          <w:rFonts w:ascii="Palatino Linotype" w:hAnsi="Palatino Linotype"/>
        </w:rPr>
        <w:lastRenderedPageBreak/>
        <w:t xml:space="preserve">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0D7476">
        <w:rPr>
          <w:rStyle w:val="Refdenotaalpie"/>
          <w:rFonts w:ascii="Palatino Linotype" w:hAnsi="Palatino Linotype"/>
        </w:rPr>
        <w:footnoteReference w:id="1"/>
      </w:r>
    </w:p>
    <w:p w14:paraId="7C085CFA"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0D7476">
        <w:rPr>
          <w:rFonts w:ascii="Palatino Linotype" w:hAnsi="Palatino Linotype"/>
        </w:rPr>
        <w:t xml:space="preserve">Dado que </w:t>
      </w:r>
      <w:r w:rsidR="00614534" w:rsidRPr="000D7476">
        <w:rPr>
          <w:rFonts w:ascii="Palatino Linotype" w:hAnsi="Palatino Linotype"/>
        </w:rPr>
        <w:t>las instituciones de seguridad pública</w:t>
      </w:r>
      <w:r w:rsidRPr="000D7476">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0D7476">
        <w:rPr>
          <w:rFonts w:ascii="Palatino Linotype" w:hAnsi="Palatino Linotype"/>
        </w:rPr>
        <w:t>los mismos</w:t>
      </w:r>
      <w:r w:rsidRPr="000D7476">
        <w:rPr>
          <w:rFonts w:ascii="Palatino Linotype" w:hAnsi="Palatino Linotype"/>
        </w:rPr>
        <w:t xml:space="preserve">, para de esa manera inhibir los riesgos. Es un asunto de sistemas de gestión que deben </w:t>
      </w:r>
      <w:r w:rsidRPr="000D7476">
        <w:rPr>
          <w:rFonts w:ascii="Palatino Linotype" w:hAnsi="Palatino Linotype"/>
        </w:rPr>
        <w:lastRenderedPageBreak/>
        <w:t xml:space="preserve">hacer de la transparencia un componente transversal. Vista así, la construcción de conceptos, políticas, normas y prácticas de transparencia sobre </w:t>
      </w:r>
      <w:r w:rsidR="00A5071D" w:rsidRPr="000D7476">
        <w:rPr>
          <w:rFonts w:ascii="Palatino Linotype" w:hAnsi="Palatino Linotype"/>
        </w:rPr>
        <w:t xml:space="preserve">las instituciones de seguridad pública </w:t>
      </w:r>
      <w:r w:rsidRPr="000D7476">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0D7476">
        <w:rPr>
          <w:rFonts w:ascii="Palatino Linotype" w:hAnsi="Palatino Linotype"/>
          <w:i/>
        </w:rPr>
        <w:t>la ausencia de confianza significa, tanto para los civiles como para la policía, mucho menos seguridad y mucho menos efectividad en la prevención y el combate al crimen”</w:t>
      </w:r>
      <w:r w:rsidRPr="000D7476">
        <w:rPr>
          <w:rFonts w:ascii="Palatino Linotype" w:hAnsi="Palatino Linotype"/>
          <w:vertAlign w:val="superscript"/>
        </w:rPr>
        <w:t>.</w:t>
      </w:r>
      <w:r w:rsidRPr="000D7476">
        <w:rPr>
          <w:rFonts w:ascii="Palatino Linotype" w:hAnsi="Palatino Linotype"/>
          <w:vertAlign w:val="superscript"/>
        </w:rPr>
        <w:footnoteReference w:id="2"/>
      </w:r>
    </w:p>
    <w:p w14:paraId="5DED4F40"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es fundamental que la información sobre </w:t>
      </w:r>
      <w:r w:rsidR="00A5071D" w:rsidRPr="000D7476">
        <w:rPr>
          <w:rFonts w:ascii="Palatino Linotype" w:hAnsi="Palatino Linotype"/>
        </w:rPr>
        <w:t xml:space="preserve">las instituciones de seguridad pública </w:t>
      </w:r>
      <w:r w:rsidRPr="000D747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0D7476">
        <w:rPr>
          <w:rFonts w:ascii="Palatino Linotype" w:hAnsi="Palatino Linotype"/>
        </w:rPr>
        <w:t>mismos</w:t>
      </w:r>
      <w:r w:rsidRPr="000D7476">
        <w:rPr>
          <w:rFonts w:ascii="Palatino Linotype" w:hAnsi="Palatino Linotype"/>
        </w:rPr>
        <w:t xml:space="preserve">. No es aconsejable, por ejemplo, hacer público el nombre de un </w:t>
      </w:r>
      <w:r w:rsidR="00A5071D" w:rsidRPr="000D7476">
        <w:rPr>
          <w:rFonts w:ascii="Palatino Linotype" w:hAnsi="Palatino Linotype"/>
        </w:rPr>
        <w:t xml:space="preserve">elemento </w:t>
      </w:r>
      <w:r w:rsidRPr="000D7476">
        <w:rPr>
          <w:rFonts w:ascii="Palatino Linotype" w:hAnsi="Palatino Linotype"/>
        </w:rPr>
        <w:t>polic</w:t>
      </w:r>
      <w:r w:rsidR="00A5071D" w:rsidRPr="000D7476">
        <w:rPr>
          <w:rFonts w:ascii="Palatino Linotype" w:hAnsi="Palatino Linotype"/>
        </w:rPr>
        <w:t>ial</w:t>
      </w:r>
      <w:r w:rsidRPr="000D7476">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151FEB25" w14:textId="77777777" w:rsidR="003722BF" w:rsidRDefault="003722BF" w:rsidP="003722BF">
      <w:pPr>
        <w:spacing w:line="360" w:lineRule="auto"/>
        <w:rPr>
          <w:rFonts w:eastAsia="Calibri" w:cs="Tahoma"/>
          <w:bCs/>
          <w:lang w:val="es-MX"/>
        </w:rPr>
      </w:pPr>
    </w:p>
    <w:p w14:paraId="048C9A2D" w14:textId="01DA0BFF" w:rsidR="003722BF" w:rsidRPr="003722BF" w:rsidRDefault="003722BF" w:rsidP="003722BF">
      <w:pPr>
        <w:spacing w:line="360" w:lineRule="auto"/>
        <w:jc w:val="both"/>
        <w:rPr>
          <w:rFonts w:ascii="Palatino Linotype" w:hAnsi="Palatino Linotype"/>
        </w:rPr>
      </w:pPr>
      <w:r>
        <w:rPr>
          <w:rFonts w:ascii="Palatino Linotype" w:hAnsi="Palatino Linotype"/>
        </w:rPr>
        <w:lastRenderedPageBreak/>
        <w:t xml:space="preserve">Asimismo, refiere que </w:t>
      </w:r>
      <w:r w:rsidRPr="003722BF">
        <w:rPr>
          <w:rFonts w:ascii="Palatino Linotype" w:hAnsi="Palatino Linotype"/>
        </w:rPr>
        <w:t>proporcionar el cargo de los elementos operativos, daría cuenta del estado de fuerza de la Dirección de Seguridad Ciudadana, información que podría comprometer la seguridad pública del Municipio, pues daría a conocer la capacidad del área para disuadir y prevenir disturbios sociales, además de dar a conocer parte de la capacidad de reacción.</w:t>
      </w:r>
    </w:p>
    <w:p w14:paraId="21035883" w14:textId="77777777" w:rsidR="003722BF" w:rsidRPr="003722BF" w:rsidRDefault="003722BF" w:rsidP="003722BF">
      <w:pPr>
        <w:spacing w:line="360" w:lineRule="auto"/>
        <w:jc w:val="both"/>
        <w:rPr>
          <w:rFonts w:ascii="Palatino Linotype" w:hAnsi="Palatino Linotype"/>
        </w:rPr>
      </w:pPr>
    </w:p>
    <w:p w14:paraId="1DDBAD1C"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Además, que la publicación del estado de fuerza municipal, podrá actualizar, potenciar e incrementar una amenaza a la seguridad pública o a la Comisaría referida, pues como se señaló daría a conocer el número de elementos con los que cuenta el Municipio, para salvaguardar y mantener la paz social dentro del territorio de su competencia; además, que dicha información podría ser utilizada por los entes y organizaciones delincuenciales, para cometer hechos ilícitos de manera coordinada, con el fin de entorpecer y disminuir las estrategias y resultados en materia de seguridad pública.</w:t>
      </w:r>
    </w:p>
    <w:p w14:paraId="27CADD56" w14:textId="77777777" w:rsidR="003722BF" w:rsidRDefault="003722BF" w:rsidP="003722BF">
      <w:pPr>
        <w:spacing w:line="360" w:lineRule="auto"/>
        <w:jc w:val="both"/>
        <w:rPr>
          <w:rFonts w:ascii="Palatino Linotype" w:hAnsi="Palatino Linotype"/>
        </w:rPr>
      </w:pPr>
    </w:p>
    <w:p w14:paraId="5427BBD1" w14:textId="77777777" w:rsidR="003722BF" w:rsidRDefault="003722BF" w:rsidP="003722BF">
      <w:pPr>
        <w:spacing w:line="360" w:lineRule="auto"/>
        <w:jc w:val="both"/>
        <w:rPr>
          <w:rFonts w:ascii="Palatino Linotype" w:hAnsi="Palatino Linotype"/>
        </w:rPr>
      </w:pPr>
      <w:r>
        <w:rPr>
          <w:rFonts w:ascii="Palatino Linotype" w:hAnsi="Palatino Linotype"/>
        </w:rPr>
        <w:t>Sin embargo la divulgación  del</w:t>
      </w:r>
      <w:r w:rsidRPr="003722BF">
        <w:rPr>
          <w:rFonts w:ascii="Palatino Linotype" w:hAnsi="Palatino Linotype"/>
        </w:rPr>
        <w:t xml:space="preserve"> estado de fuerza, se considera un tema de interés público y parte de la estrategia nacional de seguridad en </w:t>
      </w:r>
      <w:r>
        <w:rPr>
          <w:rFonts w:ascii="Palatino Linotype" w:hAnsi="Palatino Linotype"/>
        </w:rPr>
        <w:t xml:space="preserve"> </w:t>
      </w:r>
      <w:r w:rsidRPr="003722BF">
        <w:rPr>
          <w:rFonts w:ascii="Palatino Linotype" w:hAnsi="Palatino Linotype"/>
        </w:rPr>
        <w:t>cuanto al fortalecimiento de capacidades de prevención y combate a la delincuencia y constituir un indicador para establecer estándares que reflejen los requerimientos mínimos en materia de seguridad.</w:t>
      </w:r>
    </w:p>
    <w:p w14:paraId="7490F19D" w14:textId="77777777" w:rsidR="003722BF" w:rsidRDefault="003722BF" w:rsidP="003722BF">
      <w:pPr>
        <w:spacing w:line="360" w:lineRule="auto"/>
        <w:jc w:val="both"/>
        <w:rPr>
          <w:rFonts w:ascii="Palatino Linotype" w:hAnsi="Palatino Linotype"/>
        </w:rPr>
      </w:pPr>
    </w:p>
    <w:p w14:paraId="29FABF04"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 xml:space="preserve">Según un diagnóstico de la Organización de las Naciones Unidas realizado en el año 2006, entre sus países miembros se registró un promedio de 2.8 policías por cada </w:t>
      </w:r>
      <w:r w:rsidRPr="003722BF">
        <w:rPr>
          <w:rFonts w:ascii="Palatino Linotype" w:hAnsi="Palatino Linotype"/>
        </w:rPr>
        <w:lastRenderedPageBreak/>
        <w:t>1000 habitantes, sin embargo, se encontraron grandes disparidades entre los países, lo que llevó a emitir una recomendación de un mínimo de 1.8 policías por habitante, para la adecuada gestión de la seguridad pública.</w:t>
      </w:r>
    </w:p>
    <w:p w14:paraId="7FE21B9A" w14:textId="77777777" w:rsidR="003722BF" w:rsidRDefault="003722BF" w:rsidP="003722BF">
      <w:pPr>
        <w:spacing w:line="360" w:lineRule="auto"/>
        <w:jc w:val="both"/>
        <w:rPr>
          <w:rFonts w:ascii="Palatino Linotype" w:hAnsi="Palatino Linotype"/>
        </w:rPr>
      </w:pPr>
    </w:p>
    <w:p w14:paraId="66DE0D51"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Esta recomendación se ha tratado de implementar en nuestro país, ya que la Secretaría de Gobernación, conformó el denominado Modelo Óptimo de la Función Policial realizado por el Secretariado Ejecutivo del Sistema Nacional de Seguridad Pública (SESNSP), esta plataforma da a conocer el estado de las policías en las Entidades del país y realiza recomendaciones para mejorar las condiciones de seguridad.</w:t>
      </w:r>
    </w:p>
    <w:p w14:paraId="5331DD75" w14:textId="77777777" w:rsidR="003722BF" w:rsidRDefault="003722BF" w:rsidP="003722BF">
      <w:pPr>
        <w:spacing w:line="360" w:lineRule="auto"/>
        <w:jc w:val="both"/>
        <w:rPr>
          <w:rFonts w:ascii="Palatino Linotype" w:hAnsi="Palatino Linotype"/>
        </w:rPr>
      </w:pPr>
    </w:p>
    <w:p w14:paraId="1923E5A4"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El primer indicador de este modelo, se denomina Estado de Fuerza Mínimo, y se refiere a la cantidad de elementos en activo, con que cuenta cada estado, para lo cual se excluye a personal administrativo, a policías municipales y a elementos adscritos a Instituciones de Procuración de Justicia o del Sistema Penitenciario- quedando así la cifra de la policía estatal comparada con su población, para lo cual el estándar mínimo definido es aquel recomendado por la ONU, de 1.8 policías por cada mil habitantes.</w:t>
      </w:r>
    </w:p>
    <w:p w14:paraId="676CA820" w14:textId="77777777" w:rsidR="003722BF" w:rsidRDefault="003722BF" w:rsidP="003722BF">
      <w:pPr>
        <w:spacing w:line="360" w:lineRule="auto"/>
        <w:jc w:val="both"/>
        <w:rPr>
          <w:rFonts w:ascii="Palatino Linotype" w:hAnsi="Palatino Linotype"/>
        </w:rPr>
      </w:pPr>
    </w:p>
    <w:p w14:paraId="3CC97885"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Por lo que contar con el mínimo de operativos, debe considerarse una prioridad para los organismos públicos en la materia, ante el deterioro de las condiciones de seguridad pública que se ha experimentado en años recientes, que impacta de forma negativa a la ciudadanía.</w:t>
      </w:r>
    </w:p>
    <w:p w14:paraId="7A15997C" w14:textId="77777777" w:rsidR="007801BE" w:rsidRDefault="007801BE" w:rsidP="003722BF">
      <w:pPr>
        <w:spacing w:line="360" w:lineRule="auto"/>
        <w:jc w:val="both"/>
        <w:rPr>
          <w:rFonts w:ascii="Palatino Linotype" w:hAnsi="Palatino Linotype"/>
        </w:rPr>
      </w:pPr>
    </w:p>
    <w:p w14:paraId="34D8D4A7"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 lo anterior habría que añadir la necesidad no solamente de cantidad, sino de que los elementos policíacos estuvieran bien seleccionados, capacitados y equipados, por lo que el esfuerzo institucional y presupuestal tendiente a cumplir esa recomendación, se traduce en un conjunto de acciones que ameritan planeación y control para poderse llevar a cabo adecuadamente.</w:t>
      </w:r>
    </w:p>
    <w:p w14:paraId="530B01BF" w14:textId="77777777" w:rsidR="003722BF" w:rsidRDefault="003722BF" w:rsidP="003722BF">
      <w:pPr>
        <w:spacing w:line="360" w:lineRule="auto"/>
        <w:jc w:val="both"/>
        <w:rPr>
          <w:rFonts w:ascii="Palatino Linotype" w:hAnsi="Palatino Linotype"/>
        </w:rPr>
      </w:pPr>
    </w:p>
    <w:p w14:paraId="3BE4EE61"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 xml:space="preserve">A partir de la implementación de este Modelo, en varias entidades se ha registrado un impacto positivo en el fortalecimiento de las corporaciones policiales y sus integrantes, incluyendo una mayor asignación de recursos para el reclutamiento y formación de nuevos elementos, el incremento de sueldos y prestaciones de su estado de fuerza y la mejora de la infraestructura y el equipamiento de sus Academias o Institutos de formación policial, entre otros, ya que ha permitido a las entidades federativas identificar sus principales áreas de oportunidad, definir metas claras y establecer acciones concretas para fortalecer sus capacidades de prevención y combate a la delincuencia, reducir los factores de riesgo de la violencia y dignificar la labor policial. </w:t>
      </w:r>
    </w:p>
    <w:p w14:paraId="2018923A" w14:textId="77777777" w:rsidR="003722BF" w:rsidRDefault="003722BF" w:rsidP="003722BF">
      <w:pPr>
        <w:spacing w:line="360" w:lineRule="auto"/>
        <w:jc w:val="both"/>
        <w:rPr>
          <w:rFonts w:ascii="Palatino Linotype" w:hAnsi="Palatino Linotype"/>
        </w:rPr>
      </w:pPr>
    </w:p>
    <w:p w14:paraId="15B8A28F"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 xml:space="preserve">El Modelo fue aprobado por el Consejo Nacional de Seguridad Pública en la XLII Sesión Ordinaria, celebrada el 30 de agosto de 2017, con lo que su cumplimiento se hizo obligatorio para todas las entidades federativas. </w:t>
      </w:r>
    </w:p>
    <w:p w14:paraId="439E2EE6" w14:textId="77777777" w:rsidR="003722BF" w:rsidRDefault="003722BF" w:rsidP="003722BF">
      <w:pPr>
        <w:spacing w:line="360" w:lineRule="auto"/>
        <w:jc w:val="both"/>
        <w:rPr>
          <w:rFonts w:ascii="Palatino Linotype" w:hAnsi="Palatino Linotype"/>
        </w:rPr>
      </w:pPr>
    </w:p>
    <w:p w14:paraId="4E8437DE" w14:textId="77777777" w:rsidR="003722BF" w:rsidRDefault="003722BF" w:rsidP="003722BF">
      <w:pPr>
        <w:spacing w:line="360" w:lineRule="auto"/>
        <w:jc w:val="both"/>
        <w:rPr>
          <w:rFonts w:ascii="Palatino Linotype" w:hAnsi="Palatino Linotype"/>
        </w:rPr>
      </w:pPr>
      <w:r w:rsidRPr="003722BF">
        <w:rPr>
          <w:rFonts w:ascii="Palatino Linotype" w:hAnsi="Palatino Linotype"/>
        </w:rPr>
        <w:lastRenderedPageBreak/>
        <w:t>Al restar los elementos evaluados en control de confianza y no aprobados, el estado de fuerza a nivel nacional real operativo es de 123,070 elementos o 0.96 policías por cada mil habitantes, por lo que las entidades requieren formar 101,458 nuevos elementos para alcanzar el estándar mínimo de 1.8 policías por cada mil habitantes (224,528 elementos a nivel nacional).</w:t>
      </w:r>
    </w:p>
    <w:p w14:paraId="1F3D1C65" w14:textId="77777777" w:rsidR="003722BF" w:rsidRDefault="003722BF" w:rsidP="003722BF">
      <w:pPr>
        <w:spacing w:line="360" w:lineRule="auto"/>
        <w:jc w:val="both"/>
        <w:rPr>
          <w:rFonts w:ascii="Palatino Linotype" w:hAnsi="Palatino Linotype"/>
        </w:rPr>
      </w:pPr>
    </w:p>
    <w:p w14:paraId="11E8813F" w14:textId="656A1351" w:rsidR="003722BF" w:rsidRDefault="003722BF" w:rsidP="003722BF">
      <w:pPr>
        <w:spacing w:line="360" w:lineRule="auto"/>
        <w:jc w:val="both"/>
        <w:rPr>
          <w:rFonts w:ascii="Palatino Linotype" w:hAnsi="Palatino Linotype"/>
        </w:rPr>
      </w:pPr>
      <w:r>
        <w:rPr>
          <w:rFonts w:ascii="Palatino Linotype" w:hAnsi="Palatino Linotype"/>
        </w:rPr>
        <w:t>Asimismo, e</w:t>
      </w:r>
      <w:r w:rsidRPr="003722BF">
        <w:rPr>
          <w:rFonts w:ascii="Palatino Linotype" w:hAnsi="Palatino Linotype"/>
        </w:rPr>
        <w:t xml:space="preserve">n febrero de 2023, se presentó el Atlas de la Seguridad del Estado de México 2022, el cual se indica </w:t>
      </w:r>
      <w:r>
        <w:rPr>
          <w:rFonts w:ascii="Palatino Linotype" w:hAnsi="Palatino Linotype"/>
        </w:rPr>
        <w:t xml:space="preserve"> </w:t>
      </w:r>
      <w:r w:rsidRPr="003722BF">
        <w:rPr>
          <w:rFonts w:ascii="Palatino Linotype" w:hAnsi="Palatino Linotype"/>
        </w:rPr>
        <w:t>es un proyecto de investigación, pero sobre todo es un esfuerzo de transparencia de la Secretaría de Seguridad del Estado, de la Universidad Mexiquense de Seguridad y del Colectivo de Análisis de la Seguridad con Democracia, A.C. (</w:t>
      </w:r>
      <w:r w:rsidR="007801BE" w:rsidRPr="003722BF">
        <w:rPr>
          <w:rFonts w:ascii="Palatino Linotype" w:hAnsi="Palatino Linotype"/>
        </w:rPr>
        <w:t>CASEDE</w:t>
      </w:r>
      <w:r w:rsidRPr="003722BF">
        <w:rPr>
          <w:rFonts w:ascii="Palatino Linotype" w:hAnsi="Palatino Linotype"/>
        </w:rPr>
        <w:t xml:space="preserve">). Está integrado en dos partes: la primera recopila análisis de las temáticas más relevantes de la seguridad en la entidad; la segunda es una compilación de estadísticas provenientes de fuentes federales, estatales y de organismos de la sociedad civil. Esta publicación tiene como propósito principal integrar en un solo documento la información disponible de fuentes nacionales como el </w:t>
      </w:r>
      <w:r w:rsidR="007801BE" w:rsidRPr="003722BF">
        <w:rPr>
          <w:rFonts w:ascii="Palatino Linotype" w:hAnsi="Palatino Linotype"/>
        </w:rPr>
        <w:t>INEGI</w:t>
      </w:r>
      <w:r w:rsidRPr="003722BF">
        <w:rPr>
          <w:rFonts w:ascii="Palatino Linotype" w:hAnsi="Palatino Linotype"/>
        </w:rPr>
        <w:t xml:space="preserve">, el Secretariado Ejecutivo del Sistema Nacional de </w:t>
      </w:r>
      <w:r w:rsidR="007801BE" w:rsidRPr="003722BF">
        <w:rPr>
          <w:rFonts w:ascii="Palatino Linotype" w:hAnsi="Palatino Linotype"/>
        </w:rPr>
        <w:t>Seguridad Pública</w:t>
      </w:r>
      <w:r w:rsidRPr="003722BF">
        <w:rPr>
          <w:rFonts w:ascii="Palatino Linotype" w:hAnsi="Palatino Linotype"/>
        </w:rPr>
        <w:t xml:space="preserve"> </w:t>
      </w:r>
      <w:r w:rsidR="007801BE" w:rsidRPr="003722BF">
        <w:rPr>
          <w:rFonts w:ascii="Palatino Linotype" w:hAnsi="Palatino Linotype"/>
        </w:rPr>
        <w:t xml:space="preserve">(SESNSP) </w:t>
      </w:r>
      <w:r w:rsidRPr="003722BF">
        <w:rPr>
          <w:rFonts w:ascii="Palatino Linotype" w:hAnsi="Palatino Linotype"/>
        </w:rPr>
        <w:t xml:space="preserve">y fuentes estadísticas del gobierno del Estado de México, así como datos elaborados por la Dirección General de Información de la propia Secretaría de Seguridad. </w:t>
      </w:r>
    </w:p>
    <w:p w14:paraId="63DA0589" w14:textId="77777777" w:rsidR="003722BF" w:rsidRDefault="003722BF" w:rsidP="003722BF">
      <w:pPr>
        <w:spacing w:line="360" w:lineRule="auto"/>
        <w:jc w:val="both"/>
        <w:rPr>
          <w:rFonts w:ascii="Palatino Linotype" w:hAnsi="Palatino Linotype"/>
        </w:rPr>
      </w:pPr>
    </w:p>
    <w:p w14:paraId="007D8FEF" w14:textId="77777777" w:rsidR="007801BE" w:rsidRDefault="003722BF" w:rsidP="007801BE">
      <w:pPr>
        <w:spacing w:line="360" w:lineRule="auto"/>
        <w:jc w:val="both"/>
        <w:rPr>
          <w:rFonts w:ascii="Palatino Linotype" w:hAnsi="Palatino Linotype"/>
        </w:rPr>
      </w:pPr>
      <w:r w:rsidRPr="003722BF">
        <w:rPr>
          <w:rFonts w:ascii="Palatino Linotype" w:hAnsi="Palatino Linotype"/>
        </w:rPr>
        <w:t xml:space="preserve">En este documento se exponen las gráficas que muestran proyecciones, el presupuesto, la opinión pública, recursos humanos y materiales, la inseguridad, el combate a la delincuencia organizada, el sistema penitenciario, etc. Como ejemplo </w:t>
      </w:r>
      <w:r w:rsidRPr="003722BF">
        <w:rPr>
          <w:rFonts w:ascii="Palatino Linotype" w:hAnsi="Palatino Linotype"/>
        </w:rPr>
        <w:lastRenderedPageBreak/>
        <w:t>de información estadística contiene cuadros con el estado de la Fuerza Municipal por Zona.</w:t>
      </w:r>
    </w:p>
    <w:p w14:paraId="743984FF" w14:textId="77777777" w:rsidR="007801BE" w:rsidRDefault="007801BE" w:rsidP="007801BE">
      <w:pPr>
        <w:spacing w:line="360" w:lineRule="auto"/>
        <w:jc w:val="both"/>
        <w:rPr>
          <w:rFonts w:ascii="Palatino Linotype" w:hAnsi="Palatino Linotype"/>
        </w:rPr>
      </w:pPr>
    </w:p>
    <w:p w14:paraId="457CC60C" w14:textId="40A5A3E0" w:rsidR="008936B4" w:rsidRPr="000D7476" w:rsidRDefault="008936B4" w:rsidP="007F24B9">
      <w:pPr>
        <w:pStyle w:val="Textoindependiente"/>
        <w:spacing w:line="360" w:lineRule="auto"/>
        <w:ind w:left="102"/>
        <w:rPr>
          <w:rFonts w:eastAsia="Times New Roman" w:cs="Times New Roman"/>
          <w:lang w:eastAsia="es-ES"/>
        </w:rPr>
      </w:pPr>
      <w:r w:rsidRPr="000D7476">
        <w:rPr>
          <w:rFonts w:eastAsia="Times New Roman" w:cs="Times New Roman"/>
          <w:lang w:eastAsia="es-ES"/>
        </w:rPr>
        <w:t>Lo anterior expone razones suficientes para la emisión y presentación del presente Voto Particular.</w:t>
      </w:r>
      <w:r w:rsidR="00A7702A" w:rsidRPr="000D7476">
        <w:rPr>
          <w:rFonts w:eastAsia="Times New Roman" w:cs="Times New Roman"/>
          <w:lang w:eastAsia="es-ES"/>
        </w:rPr>
        <w:t xml:space="preserve"> </w:t>
      </w:r>
    </w:p>
    <w:p w14:paraId="2D8C933B" w14:textId="77777777" w:rsidR="008D7B1C" w:rsidRPr="000D7476" w:rsidRDefault="008D7B1C" w:rsidP="007F24B9">
      <w:pPr>
        <w:pStyle w:val="Textoindependiente"/>
        <w:spacing w:line="360" w:lineRule="auto"/>
        <w:ind w:left="102"/>
        <w:rPr>
          <w:rFonts w:eastAsia="Times New Roman" w:cs="Times New Roman"/>
          <w:lang w:eastAsia="es-ES"/>
        </w:rPr>
      </w:pPr>
    </w:p>
    <w:p w14:paraId="04F90385" w14:textId="77777777" w:rsidR="008D7B1C" w:rsidRPr="000D7476" w:rsidRDefault="008D7B1C" w:rsidP="007F24B9">
      <w:pPr>
        <w:pStyle w:val="Textoindependiente"/>
        <w:spacing w:line="360" w:lineRule="auto"/>
        <w:ind w:left="102"/>
        <w:rPr>
          <w:rFonts w:eastAsia="Times New Roman" w:cs="Times New Roman"/>
          <w:lang w:eastAsia="es-ES"/>
        </w:rPr>
      </w:pPr>
    </w:p>
    <w:p w14:paraId="6008CAEC" w14:textId="77777777" w:rsidR="008D7B1C" w:rsidRPr="000D7476" w:rsidRDefault="008D7B1C" w:rsidP="007F24B9">
      <w:pPr>
        <w:pStyle w:val="Textoindependiente"/>
        <w:spacing w:line="360" w:lineRule="auto"/>
        <w:ind w:left="102"/>
        <w:rPr>
          <w:rFonts w:eastAsia="Times New Roman" w:cs="Times New Roman"/>
          <w:lang w:eastAsia="es-ES"/>
        </w:rPr>
      </w:pPr>
    </w:p>
    <w:p w14:paraId="4C5DB61F" w14:textId="77777777" w:rsidR="008D7B1C" w:rsidRPr="000D7476" w:rsidRDefault="008D7B1C" w:rsidP="007F24B9">
      <w:pPr>
        <w:pStyle w:val="Textoindependiente"/>
        <w:spacing w:line="360" w:lineRule="auto"/>
        <w:ind w:left="102"/>
        <w:rPr>
          <w:rFonts w:eastAsia="Times New Roman" w:cs="Times New Roman"/>
          <w:lang w:eastAsia="es-ES"/>
        </w:rPr>
      </w:pPr>
    </w:p>
    <w:p w14:paraId="42209CCD" w14:textId="77777777" w:rsidR="008D7B1C" w:rsidRPr="000D7476" w:rsidRDefault="008D7B1C" w:rsidP="007F24B9">
      <w:pPr>
        <w:pStyle w:val="Textoindependiente"/>
        <w:spacing w:line="360" w:lineRule="auto"/>
        <w:ind w:left="102"/>
        <w:rPr>
          <w:rFonts w:eastAsia="Times New Roman" w:cs="Times New Roman"/>
          <w:lang w:eastAsia="es-ES"/>
        </w:rPr>
      </w:pPr>
    </w:p>
    <w:p w14:paraId="782C40A2" w14:textId="77777777" w:rsidR="008D7B1C" w:rsidRPr="000D7476" w:rsidRDefault="008D7B1C" w:rsidP="007F24B9">
      <w:pPr>
        <w:pStyle w:val="Textoindependiente"/>
        <w:spacing w:line="360" w:lineRule="auto"/>
        <w:ind w:left="102"/>
        <w:rPr>
          <w:rFonts w:eastAsia="Times New Roman" w:cs="Times New Roman"/>
          <w:lang w:eastAsia="es-ES"/>
        </w:rPr>
      </w:pPr>
    </w:p>
    <w:p w14:paraId="54B870B9" w14:textId="77777777" w:rsidR="008D7B1C" w:rsidRPr="000D7476" w:rsidRDefault="008D7B1C" w:rsidP="007F24B9">
      <w:pPr>
        <w:pStyle w:val="Textoindependiente"/>
        <w:spacing w:line="360" w:lineRule="auto"/>
        <w:ind w:left="102"/>
        <w:rPr>
          <w:rFonts w:eastAsia="Times New Roman" w:cs="Times New Roman"/>
          <w:lang w:eastAsia="es-ES"/>
        </w:rPr>
      </w:pPr>
    </w:p>
    <w:p w14:paraId="42C95C5F" w14:textId="77777777" w:rsidR="008D7B1C" w:rsidRPr="000D7476" w:rsidRDefault="008D7B1C" w:rsidP="007F24B9">
      <w:pPr>
        <w:pStyle w:val="Textoindependiente"/>
        <w:spacing w:line="360" w:lineRule="auto"/>
        <w:ind w:left="102"/>
        <w:rPr>
          <w:rFonts w:eastAsia="Times New Roman" w:cs="Times New Roman"/>
          <w:lang w:eastAsia="es-ES"/>
        </w:rPr>
      </w:pPr>
    </w:p>
    <w:p w14:paraId="41E98952" w14:textId="77777777" w:rsidR="008D7B1C" w:rsidRPr="000D7476" w:rsidRDefault="008D7B1C" w:rsidP="007F24B9">
      <w:pPr>
        <w:pStyle w:val="Textoindependiente"/>
        <w:spacing w:line="360" w:lineRule="auto"/>
        <w:ind w:left="102"/>
        <w:rPr>
          <w:rFonts w:eastAsia="Times New Roman" w:cs="Times New Roman"/>
          <w:lang w:eastAsia="es-ES"/>
        </w:rPr>
      </w:pPr>
    </w:p>
    <w:p w14:paraId="3745DC57" w14:textId="77777777" w:rsidR="008D7B1C" w:rsidRPr="000D7476" w:rsidRDefault="008D7B1C" w:rsidP="007F24B9">
      <w:pPr>
        <w:pStyle w:val="Textoindependiente"/>
        <w:spacing w:line="360" w:lineRule="auto"/>
        <w:ind w:left="102"/>
        <w:rPr>
          <w:rFonts w:eastAsia="Times New Roman" w:cs="Times New Roman"/>
          <w:lang w:eastAsia="es-ES"/>
        </w:rPr>
      </w:pPr>
    </w:p>
    <w:p w14:paraId="0E22CF5F" w14:textId="77777777" w:rsidR="008D7B1C" w:rsidRPr="000D7476" w:rsidRDefault="008D7B1C" w:rsidP="007F24B9">
      <w:pPr>
        <w:pStyle w:val="Textoindependiente"/>
        <w:spacing w:line="360" w:lineRule="auto"/>
        <w:ind w:left="102"/>
        <w:rPr>
          <w:rFonts w:eastAsia="Times New Roman" w:cs="Times New Roman"/>
          <w:lang w:eastAsia="es-ES"/>
        </w:rPr>
      </w:pPr>
    </w:p>
    <w:p w14:paraId="687A3A37" w14:textId="77777777" w:rsidR="008D7B1C" w:rsidRPr="000D7476" w:rsidRDefault="008D7B1C" w:rsidP="007F24B9">
      <w:pPr>
        <w:pStyle w:val="Textoindependiente"/>
        <w:spacing w:line="360" w:lineRule="auto"/>
        <w:ind w:left="102"/>
        <w:rPr>
          <w:rFonts w:eastAsia="Times New Roman" w:cs="Times New Roman"/>
          <w:lang w:eastAsia="es-ES"/>
        </w:rPr>
      </w:pPr>
    </w:p>
    <w:p w14:paraId="34182D7E" w14:textId="77777777" w:rsidR="008D7B1C" w:rsidRPr="000D7476" w:rsidRDefault="008D7B1C" w:rsidP="007F24B9">
      <w:pPr>
        <w:pStyle w:val="Textoindependiente"/>
        <w:spacing w:line="360" w:lineRule="auto"/>
        <w:ind w:left="102"/>
        <w:rPr>
          <w:rFonts w:eastAsia="Times New Roman" w:cs="Times New Roman"/>
          <w:lang w:eastAsia="es-ES"/>
        </w:rPr>
      </w:pPr>
    </w:p>
    <w:p w14:paraId="1E9608A0" w14:textId="77777777" w:rsidR="008D7B1C" w:rsidRPr="000D7476" w:rsidRDefault="008D7B1C" w:rsidP="007F24B9">
      <w:pPr>
        <w:pStyle w:val="Textoindependiente"/>
        <w:spacing w:line="360" w:lineRule="auto"/>
        <w:ind w:left="102"/>
        <w:rPr>
          <w:rFonts w:eastAsia="Times New Roman" w:cs="Times New Roman"/>
          <w:lang w:eastAsia="es-ES"/>
        </w:rPr>
      </w:pPr>
    </w:p>
    <w:p w14:paraId="7CD5B165" w14:textId="77777777" w:rsidR="008D7B1C" w:rsidRPr="000D7476" w:rsidRDefault="008D7B1C" w:rsidP="007F24B9">
      <w:pPr>
        <w:pStyle w:val="Textoindependiente"/>
        <w:spacing w:line="360" w:lineRule="auto"/>
        <w:ind w:left="102"/>
        <w:rPr>
          <w:rFonts w:eastAsia="Times New Roman" w:cs="Times New Roman"/>
          <w:lang w:eastAsia="es-ES"/>
        </w:rPr>
      </w:pPr>
    </w:p>
    <w:p w14:paraId="2D0376A4" w14:textId="77777777" w:rsidR="008D7B1C" w:rsidRPr="000D7476" w:rsidRDefault="008D7B1C" w:rsidP="007F24B9">
      <w:pPr>
        <w:pStyle w:val="Textoindependiente"/>
        <w:spacing w:line="360" w:lineRule="auto"/>
        <w:ind w:left="102"/>
        <w:rPr>
          <w:rFonts w:eastAsia="Times New Roman" w:cs="Times New Roman"/>
          <w:lang w:eastAsia="es-ES"/>
        </w:rPr>
      </w:pPr>
    </w:p>
    <w:p w14:paraId="750FDB77" w14:textId="77777777" w:rsidR="00D96441" w:rsidRPr="000D7476" w:rsidRDefault="00D96441" w:rsidP="007F24B9">
      <w:pPr>
        <w:spacing w:before="240" w:after="240" w:line="360" w:lineRule="auto"/>
        <w:jc w:val="both"/>
        <w:rPr>
          <w:rFonts w:ascii="Palatino Linotype" w:hAnsi="Palatino Linotype" w:cs="Arial"/>
        </w:rPr>
      </w:pPr>
      <w:bookmarkStart w:id="3" w:name="_GoBack"/>
      <w:bookmarkEnd w:id="3"/>
    </w:p>
    <w:sectPr w:rsidR="00D96441" w:rsidRPr="000D7476"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2AED1" w14:textId="77777777" w:rsidR="00D252C4" w:rsidRDefault="00D252C4" w:rsidP="00C80F8C">
      <w:r>
        <w:separator/>
      </w:r>
    </w:p>
  </w:endnote>
  <w:endnote w:type="continuationSeparator" w:id="0">
    <w:p w14:paraId="21C5627F" w14:textId="77777777" w:rsidR="00D252C4" w:rsidRDefault="00D252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CF7363">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F7363">
              <w:rPr>
                <w:b/>
                <w:bCs/>
                <w:noProof/>
              </w:rPr>
              <w:t>25</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0AA22" w14:textId="77777777" w:rsidR="00D252C4" w:rsidRDefault="00D252C4" w:rsidP="00C80F8C">
      <w:r>
        <w:separator/>
      </w:r>
    </w:p>
  </w:footnote>
  <w:footnote w:type="continuationSeparator" w:id="0">
    <w:p w14:paraId="1EB17E25" w14:textId="77777777" w:rsidR="00D252C4" w:rsidRDefault="00D252C4"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060237">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D252C4">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39045E91">
          <wp:simplePos x="0" y="0"/>
          <wp:positionH relativeFrom="page">
            <wp:align>left</wp:align>
          </wp:positionH>
          <wp:positionV relativeFrom="paragraph">
            <wp:posOffset>-376555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D252C4">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235DF974" w14:textId="77777777" w:rsidR="00093FBB" w:rsidRDefault="00F47FB5" w:rsidP="006F62BA">
    <w:pPr>
      <w:pStyle w:val="Encabezado"/>
      <w:ind w:left="2835" w:right="-250"/>
      <w:rPr>
        <w:rFonts w:ascii="Palatino Linotype" w:eastAsia="Calibri" w:hAnsi="Palatino Linotype" w:cs="Tahoma"/>
        <w:color w:val="000000"/>
      </w:rPr>
    </w:pPr>
    <w:r>
      <w:rPr>
        <w:rFonts w:ascii="Palatino Linotype" w:hAnsi="Palatino Linotype" w:cs="Tahoma"/>
        <w:b/>
      </w:rPr>
      <w:t xml:space="preserve">Recurso de Revisión: </w:t>
    </w:r>
    <w:r w:rsidR="00093FBB">
      <w:rPr>
        <w:rFonts w:ascii="Palatino Linotype" w:eastAsia="Calibri" w:hAnsi="Palatino Linotype" w:cs="Tahoma"/>
        <w:color w:val="000000"/>
      </w:rPr>
      <w:t>04826/INFOEM/IP/RR/2023</w:t>
    </w:r>
  </w:p>
  <w:p w14:paraId="71104997" w14:textId="228B3A57" w:rsidR="00634485" w:rsidRPr="00F1670B"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093FBB">
      <w:rPr>
        <w:rFonts w:ascii="Palatino Linotype" w:eastAsia="Calibri" w:hAnsi="Palatino Linotype" w:cs="Tahoma"/>
        <w:color w:val="000000"/>
      </w:rPr>
      <w:t>Ayuntamiento de Villa de Allende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D252C4">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246B4308"/>
    <w:multiLevelType w:val="hybridMultilevel"/>
    <w:tmpl w:val="BE60E3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2"/>
  </w:num>
  <w:num w:numId="6">
    <w:abstractNumId w:val="0"/>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8D"/>
    <w:rsid w:val="00001FF6"/>
    <w:rsid w:val="0003360D"/>
    <w:rsid w:val="00043D11"/>
    <w:rsid w:val="00055D60"/>
    <w:rsid w:val="00060237"/>
    <w:rsid w:val="00061126"/>
    <w:rsid w:val="000625B1"/>
    <w:rsid w:val="0008542A"/>
    <w:rsid w:val="00093FBB"/>
    <w:rsid w:val="000B37D9"/>
    <w:rsid w:val="000B3FFD"/>
    <w:rsid w:val="000C43E5"/>
    <w:rsid w:val="000C4453"/>
    <w:rsid w:val="000D656A"/>
    <w:rsid w:val="000D7476"/>
    <w:rsid w:val="000E27BB"/>
    <w:rsid w:val="000F594E"/>
    <w:rsid w:val="00105578"/>
    <w:rsid w:val="001112E6"/>
    <w:rsid w:val="00115E7A"/>
    <w:rsid w:val="0012234B"/>
    <w:rsid w:val="00135555"/>
    <w:rsid w:val="00143009"/>
    <w:rsid w:val="00173F26"/>
    <w:rsid w:val="0018216B"/>
    <w:rsid w:val="00190DD0"/>
    <w:rsid w:val="001960A5"/>
    <w:rsid w:val="001B3D11"/>
    <w:rsid w:val="001C7B07"/>
    <w:rsid w:val="001D31E6"/>
    <w:rsid w:val="0020666A"/>
    <w:rsid w:val="00216C06"/>
    <w:rsid w:val="00236FD8"/>
    <w:rsid w:val="002378AC"/>
    <w:rsid w:val="00266831"/>
    <w:rsid w:val="002827F2"/>
    <w:rsid w:val="00284217"/>
    <w:rsid w:val="00294490"/>
    <w:rsid w:val="00295EFD"/>
    <w:rsid w:val="002A790D"/>
    <w:rsid w:val="002A7B49"/>
    <w:rsid w:val="002D5B21"/>
    <w:rsid w:val="002E7D97"/>
    <w:rsid w:val="003026CE"/>
    <w:rsid w:val="003056FB"/>
    <w:rsid w:val="00312863"/>
    <w:rsid w:val="00316CF6"/>
    <w:rsid w:val="00326EEA"/>
    <w:rsid w:val="00342A1B"/>
    <w:rsid w:val="003448FB"/>
    <w:rsid w:val="003722BF"/>
    <w:rsid w:val="00374ECA"/>
    <w:rsid w:val="0038756F"/>
    <w:rsid w:val="0039131A"/>
    <w:rsid w:val="003A3E61"/>
    <w:rsid w:val="003B75EE"/>
    <w:rsid w:val="003C6DAB"/>
    <w:rsid w:val="003D1F47"/>
    <w:rsid w:val="003F0929"/>
    <w:rsid w:val="003F528B"/>
    <w:rsid w:val="004030C4"/>
    <w:rsid w:val="00411692"/>
    <w:rsid w:val="00430304"/>
    <w:rsid w:val="0043105B"/>
    <w:rsid w:val="00433CBA"/>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4A6A"/>
    <w:rsid w:val="00575235"/>
    <w:rsid w:val="005766FA"/>
    <w:rsid w:val="00592BEE"/>
    <w:rsid w:val="005974C5"/>
    <w:rsid w:val="005A2858"/>
    <w:rsid w:val="005B05D8"/>
    <w:rsid w:val="005C0271"/>
    <w:rsid w:val="005C4513"/>
    <w:rsid w:val="005C481C"/>
    <w:rsid w:val="005C4ADA"/>
    <w:rsid w:val="005D1946"/>
    <w:rsid w:val="005F3A48"/>
    <w:rsid w:val="005F67FA"/>
    <w:rsid w:val="00607540"/>
    <w:rsid w:val="00614534"/>
    <w:rsid w:val="00615B7E"/>
    <w:rsid w:val="00621357"/>
    <w:rsid w:val="00634485"/>
    <w:rsid w:val="00642E0D"/>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801BE"/>
    <w:rsid w:val="007A0EB7"/>
    <w:rsid w:val="007A1C9F"/>
    <w:rsid w:val="007A70E8"/>
    <w:rsid w:val="007B1CFA"/>
    <w:rsid w:val="007B2B74"/>
    <w:rsid w:val="007B578D"/>
    <w:rsid w:val="007C0652"/>
    <w:rsid w:val="007C766E"/>
    <w:rsid w:val="007D4251"/>
    <w:rsid w:val="007D46B1"/>
    <w:rsid w:val="007D49CE"/>
    <w:rsid w:val="007D7CBA"/>
    <w:rsid w:val="007E2D4F"/>
    <w:rsid w:val="007E4CDF"/>
    <w:rsid w:val="007E70F8"/>
    <w:rsid w:val="007F24B9"/>
    <w:rsid w:val="00807750"/>
    <w:rsid w:val="00812F10"/>
    <w:rsid w:val="0081664E"/>
    <w:rsid w:val="00820022"/>
    <w:rsid w:val="00820034"/>
    <w:rsid w:val="0083108D"/>
    <w:rsid w:val="008402B0"/>
    <w:rsid w:val="008421B8"/>
    <w:rsid w:val="00861117"/>
    <w:rsid w:val="00861A61"/>
    <w:rsid w:val="00887C41"/>
    <w:rsid w:val="00892AFC"/>
    <w:rsid w:val="008936B4"/>
    <w:rsid w:val="008A49DE"/>
    <w:rsid w:val="008A67F1"/>
    <w:rsid w:val="008B0A68"/>
    <w:rsid w:val="008C19BE"/>
    <w:rsid w:val="008C3C4B"/>
    <w:rsid w:val="008C3D69"/>
    <w:rsid w:val="008D1526"/>
    <w:rsid w:val="008D7B1C"/>
    <w:rsid w:val="008F0202"/>
    <w:rsid w:val="008F67BC"/>
    <w:rsid w:val="009231E1"/>
    <w:rsid w:val="00940607"/>
    <w:rsid w:val="009535D2"/>
    <w:rsid w:val="00956B18"/>
    <w:rsid w:val="00961995"/>
    <w:rsid w:val="00975EB9"/>
    <w:rsid w:val="009812A5"/>
    <w:rsid w:val="00981C38"/>
    <w:rsid w:val="00997CD5"/>
    <w:rsid w:val="009B3D3A"/>
    <w:rsid w:val="009B4D2C"/>
    <w:rsid w:val="009C666B"/>
    <w:rsid w:val="009D10D2"/>
    <w:rsid w:val="009E155A"/>
    <w:rsid w:val="009F0D8D"/>
    <w:rsid w:val="00A11D40"/>
    <w:rsid w:val="00A16950"/>
    <w:rsid w:val="00A303B0"/>
    <w:rsid w:val="00A5071D"/>
    <w:rsid w:val="00A53363"/>
    <w:rsid w:val="00A5360A"/>
    <w:rsid w:val="00A561C5"/>
    <w:rsid w:val="00A610D3"/>
    <w:rsid w:val="00A64683"/>
    <w:rsid w:val="00A66A81"/>
    <w:rsid w:val="00A713A8"/>
    <w:rsid w:val="00A74BB7"/>
    <w:rsid w:val="00A7532A"/>
    <w:rsid w:val="00A765FA"/>
    <w:rsid w:val="00A7702A"/>
    <w:rsid w:val="00A81140"/>
    <w:rsid w:val="00A96C64"/>
    <w:rsid w:val="00AB78CF"/>
    <w:rsid w:val="00AC0680"/>
    <w:rsid w:val="00AC25BC"/>
    <w:rsid w:val="00AD438E"/>
    <w:rsid w:val="00AE7763"/>
    <w:rsid w:val="00B014D8"/>
    <w:rsid w:val="00B03386"/>
    <w:rsid w:val="00B05E5A"/>
    <w:rsid w:val="00B17E67"/>
    <w:rsid w:val="00B343D6"/>
    <w:rsid w:val="00B42CDC"/>
    <w:rsid w:val="00B5181F"/>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2A7"/>
    <w:rsid w:val="00C27236"/>
    <w:rsid w:val="00C34F96"/>
    <w:rsid w:val="00C50E57"/>
    <w:rsid w:val="00C65950"/>
    <w:rsid w:val="00C75CBC"/>
    <w:rsid w:val="00C80704"/>
    <w:rsid w:val="00C80F8C"/>
    <w:rsid w:val="00C85F1D"/>
    <w:rsid w:val="00C8760D"/>
    <w:rsid w:val="00CB2F05"/>
    <w:rsid w:val="00CE0FA6"/>
    <w:rsid w:val="00CE217B"/>
    <w:rsid w:val="00CF3ACC"/>
    <w:rsid w:val="00CF3F65"/>
    <w:rsid w:val="00CF7363"/>
    <w:rsid w:val="00D03369"/>
    <w:rsid w:val="00D20156"/>
    <w:rsid w:val="00D252C4"/>
    <w:rsid w:val="00D36ABC"/>
    <w:rsid w:val="00D96441"/>
    <w:rsid w:val="00DC2CB7"/>
    <w:rsid w:val="00DC3082"/>
    <w:rsid w:val="00DD45AC"/>
    <w:rsid w:val="00DD5CD5"/>
    <w:rsid w:val="00DE1629"/>
    <w:rsid w:val="00DE5C27"/>
    <w:rsid w:val="00E00020"/>
    <w:rsid w:val="00E00BE5"/>
    <w:rsid w:val="00E119BC"/>
    <w:rsid w:val="00E27835"/>
    <w:rsid w:val="00E37AE3"/>
    <w:rsid w:val="00E416B3"/>
    <w:rsid w:val="00E429BA"/>
    <w:rsid w:val="00E642A9"/>
    <w:rsid w:val="00E661AA"/>
    <w:rsid w:val="00E73F61"/>
    <w:rsid w:val="00EA010F"/>
    <w:rsid w:val="00EF1027"/>
    <w:rsid w:val="00EF3513"/>
    <w:rsid w:val="00F05A30"/>
    <w:rsid w:val="00F10A06"/>
    <w:rsid w:val="00F1205F"/>
    <w:rsid w:val="00F1670B"/>
    <w:rsid w:val="00F47FB5"/>
    <w:rsid w:val="00F614DA"/>
    <w:rsid w:val="00F638D6"/>
    <w:rsid w:val="00F64730"/>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3573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9412064">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89942390">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6786874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1482010">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147454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44187414">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050970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0450018">
      <w:bodyDiv w:val="1"/>
      <w:marLeft w:val="0"/>
      <w:marRight w:val="0"/>
      <w:marTop w:val="0"/>
      <w:marBottom w:val="0"/>
      <w:divBdr>
        <w:top w:val="none" w:sz="0" w:space="0" w:color="auto"/>
        <w:left w:val="none" w:sz="0" w:space="0" w:color="auto"/>
        <w:bottom w:val="none" w:sz="0" w:space="0" w:color="auto"/>
        <w:right w:val="none" w:sz="0" w:space="0" w:color="auto"/>
      </w:divBdr>
    </w:div>
    <w:div w:id="1286884100">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11988663">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4776568">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02544681">
      <w:bodyDiv w:val="1"/>
      <w:marLeft w:val="0"/>
      <w:marRight w:val="0"/>
      <w:marTop w:val="0"/>
      <w:marBottom w:val="0"/>
      <w:divBdr>
        <w:top w:val="none" w:sz="0" w:space="0" w:color="auto"/>
        <w:left w:val="none" w:sz="0" w:space="0" w:color="auto"/>
        <w:bottom w:val="none" w:sz="0" w:space="0" w:color="auto"/>
        <w:right w:val="none" w:sz="0" w:space="0" w:color="auto"/>
      </w:divBdr>
    </w:div>
    <w:div w:id="201217099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7798971">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 w:id="2135441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B927D-A4A6-49B5-AF0D-20E932B1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4968</Words>
  <Characters>27330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2023-09-29T16:39:00Z</cp:lastPrinted>
  <dcterms:created xsi:type="dcterms:W3CDTF">2024-03-21T20:22:00Z</dcterms:created>
  <dcterms:modified xsi:type="dcterms:W3CDTF">2024-03-21T20:22:00Z</dcterms:modified>
</cp:coreProperties>
</file>