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FD61B" w14:textId="36AC628A" w:rsidR="001969B5" w:rsidRPr="00F43723" w:rsidRDefault="001969B5" w:rsidP="001969B5">
      <w:pPr>
        <w:pBdr>
          <w:top w:val="nil"/>
          <w:left w:val="nil"/>
          <w:bottom w:val="nil"/>
          <w:right w:val="nil"/>
          <w:between w:val="nil"/>
        </w:pBdr>
        <w:tabs>
          <w:tab w:val="center" w:pos="4252"/>
          <w:tab w:val="right" w:pos="8504"/>
        </w:tabs>
        <w:spacing w:after="0" w:line="360" w:lineRule="auto"/>
        <w:ind w:right="57"/>
        <w:contextualSpacing/>
        <w:jc w:val="both"/>
        <w:rPr>
          <w:rFonts w:ascii="Palatino Linotype" w:eastAsia="Palatino Linotype" w:hAnsi="Palatino Linotype" w:cs="Palatino Linotype"/>
          <w:b/>
          <w:color w:val="000000"/>
        </w:rPr>
      </w:pPr>
      <w:r w:rsidRPr="00F43723">
        <w:rPr>
          <w:rFonts w:ascii="Palatino Linotype" w:eastAsia="Palatino Linotype" w:hAnsi="Palatino Linotype" w:cs="Palatino Linotype"/>
          <w:b/>
          <w:color w:val="000000"/>
        </w:rPr>
        <w:t>VOTO PARTICULAR QUE FORMULA EL COMISIONADO LUIS GUSTAVO PARRA NORIEGA, A LA RESOLUCIÓN DEL RECURSO DE REVISIÓN 034</w:t>
      </w:r>
      <w:r>
        <w:rPr>
          <w:rFonts w:ascii="Palatino Linotype" w:eastAsia="Palatino Linotype" w:hAnsi="Palatino Linotype" w:cs="Palatino Linotype"/>
          <w:b/>
          <w:color w:val="000000"/>
        </w:rPr>
        <w:t>27</w:t>
      </w:r>
      <w:r w:rsidRPr="00F43723">
        <w:rPr>
          <w:rFonts w:ascii="Palatino Linotype" w:eastAsia="Palatino Linotype" w:hAnsi="Palatino Linotype" w:cs="Palatino Linotype"/>
          <w:b/>
          <w:color w:val="000000"/>
        </w:rPr>
        <w:t>/INFOEM/IP/RR/2023, PROMOVIDOS EN CONTRA DEL AYUNTAMIENTO DE L</w:t>
      </w:r>
      <w:r>
        <w:rPr>
          <w:rFonts w:ascii="Palatino Linotype" w:eastAsia="Palatino Linotype" w:hAnsi="Palatino Linotype" w:cs="Palatino Linotype"/>
          <w:b/>
          <w:color w:val="000000"/>
        </w:rPr>
        <w:t>ERMA</w:t>
      </w:r>
      <w:r w:rsidRPr="00F43723">
        <w:rPr>
          <w:rFonts w:ascii="Palatino Linotype" w:eastAsia="Palatino Linotype" w:hAnsi="Palatino Linotype" w:cs="Palatino Linotype"/>
          <w:b/>
          <w:color w:val="000000"/>
        </w:rPr>
        <w:t xml:space="preserve">. </w:t>
      </w:r>
    </w:p>
    <w:p w14:paraId="70857CFB" w14:textId="77777777" w:rsidR="001969B5" w:rsidRPr="00F43723" w:rsidRDefault="001969B5" w:rsidP="001969B5">
      <w:pPr>
        <w:pBdr>
          <w:top w:val="nil"/>
          <w:left w:val="nil"/>
          <w:bottom w:val="nil"/>
          <w:right w:val="nil"/>
          <w:between w:val="nil"/>
        </w:pBdr>
        <w:tabs>
          <w:tab w:val="center" w:pos="4252"/>
          <w:tab w:val="right" w:pos="8504"/>
        </w:tabs>
        <w:spacing w:after="0" w:line="360" w:lineRule="auto"/>
        <w:contextualSpacing/>
        <w:jc w:val="both"/>
        <w:rPr>
          <w:rFonts w:ascii="Palatino Linotype" w:eastAsia="Palatino Linotype" w:hAnsi="Palatino Linotype" w:cs="Palatino Linotype"/>
          <w:color w:val="000000"/>
        </w:rPr>
      </w:pPr>
    </w:p>
    <w:p w14:paraId="4C18ABB5" w14:textId="3C0C78C8" w:rsidR="001969B5" w:rsidRPr="00F43723" w:rsidRDefault="001969B5" w:rsidP="001969B5">
      <w:pPr>
        <w:tabs>
          <w:tab w:val="left" w:pos="1843"/>
        </w:tabs>
        <w:spacing w:after="0" w:line="360" w:lineRule="auto"/>
        <w:contextualSpacing/>
        <w:jc w:val="both"/>
        <w:rPr>
          <w:rFonts w:ascii="Palatino Linotype" w:eastAsia="Palatino Linotype" w:hAnsi="Palatino Linotype" w:cs="Palatino Linotype"/>
          <w:b/>
        </w:rPr>
      </w:pPr>
      <w:r w:rsidRPr="00F43723">
        <w:rPr>
          <w:rFonts w:ascii="Palatino Linotype" w:eastAsia="Palatino Linotype" w:hAnsi="Palatino Linotype" w:cs="Palatino Linotype"/>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F43723">
        <w:rPr>
          <w:rFonts w:ascii="Palatino Linotype" w:eastAsia="Palatino Linotype" w:hAnsi="Palatino Linotype" w:cs="Palatino Linotype"/>
          <w:b/>
        </w:rPr>
        <w:t>Voto Particular</w:t>
      </w:r>
      <w:r w:rsidRPr="00F43723">
        <w:rPr>
          <w:rFonts w:ascii="Palatino Linotype" w:eastAsia="Palatino Linotype" w:hAnsi="Palatino Linotype" w:cs="Palatino Linotype"/>
        </w:rPr>
        <w:t xml:space="preserve"> por no compartir en su totalidad las consideraciones que sustentan la Resolución del Recurso de Revisión </w:t>
      </w:r>
      <w:r w:rsidRPr="00F43723">
        <w:rPr>
          <w:rFonts w:ascii="Palatino Linotype" w:eastAsia="Palatino Linotype" w:hAnsi="Palatino Linotype" w:cs="Palatino Linotype"/>
          <w:b/>
          <w:color w:val="000000"/>
        </w:rPr>
        <w:t>034</w:t>
      </w:r>
      <w:r>
        <w:rPr>
          <w:rFonts w:ascii="Palatino Linotype" w:eastAsia="Palatino Linotype" w:hAnsi="Palatino Linotype" w:cs="Palatino Linotype"/>
          <w:b/>
          <w:color w:val="000000"/>
        </w:rPr>
        <w:t>27</w:t>
      </w:r>
      <w:r w:rsidRPr="00F43723">
        <w:rPr>
          <w:rFonts w:ascii="Palatino Linotype" w:eastAsia="Palatino Linotype" w:hAnsi="Palatino Linotype" w:cs="Palatino Linotype"/>
          <w:b/>
          <w:color w:val="000000"/>
        </w:rPr>
        <w:t>/INFOEM/IP/RR/2023</w:t>
      </w:r>
      <w:r w:rsidRPr="00F43723">
        <w:rPr>
          <w:rFonts w:ascii="Palatino Linotype" w:eastAsia="Palatino Linotype" w:hAnsi="Palatino Linotype" w:cs="Palatino Linotype"/>
          <w:b/>
        </w:rPr>
        <w:t>.</w:t>
      </w:r>
    </w:p>
    <w:p w14:paraId="698028C6" w14:textId="77777777" w:rsidR="001969B5" w:rsidRPr="00F43723" w:rsidRDefault="001969B5" w:rsidP="001969B5">
      <w:pPr>
        <w:tabs>
          <w:tab w:val="left" w:pos="1843"/>
        </w:tabs>
        <w:spacing w:after="0" w:line="360" w:lineRule="auto"/>
        <w:contextualSpacing/>
        <w:jc w:val="both"/>
        <w:rPr>
          <w:rFonts w:ascii="Palatino Linotype" w:eastAsia="Palatino Linotype" w:hAnsi="Palatino Linotype" w:cs="Palatino Linotype"/>
        </w:rPr>
      </w:pPr>
    </w:p>
    <w:p w14:paraId="74A934F4"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Como se desprende de la Resolución en comento, el Particular solicitó diversa información respecto de la cual, los documentos que satisfacen parte de su derecho, contienen el </w:t>
      </w:r>
      <w:r w:rsidRPr="00F43723">
        <w:rPr>
          <w:rFonts w:ascii="Palatino Linotype" w:eastAsia="Palatino Linotype" w:hAnsi="Palatino Linotype" w:cs="Palatino Linotype"/>
          <w:b/>
        </w:rPr>
        <w:t>nombre de los elementos operativos del área de seguridad pública del Sujeto Obligado</w:t>
      </w:r>
      <w:r w:rsidRPr="00F43723">
        <w:rPr>
          <w:rFonts w:ascii="Palatino Linotype" w:eastAsia="Palatino Linotype" w:hAnsi="Palatino Linotype" w:cs="Palatino Linotype"/>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1A616C9A" w14:textId="77777777" w:rsidR="001969B5" w:rsidRPr="00F43723" w:rsidRDefault="001969B5" w:rsidP="001969B5">
      <w:pPr>
        <w:tabs>
          <w:tab w:val="left" w:pos="1843"/>
        </w:tabs>
        <w:spacing w:after="0" w:line="360" w:lineRule="auto"/>
        <w:contextualSpacing/>
        <w:jc w:val="both"/>
        <w:rPr>
          <w:rFonts w:ascii="Palatino Linotype" w:eastAsia="Palatino Linotype" w:hAnsi="Palatino Linotype" w:cs="Palatino Linotype"/>
        </w:rPr>
      </w:pPr>
    </w:p>
    <w:p w14:paraId="26902271" w14:textId="77777777" w:rsidR="001969B5" w:rsidRPr="00F43723" w:rsidRDefault="001969B5" w:rsidP="001969B5">
      <w:pPr>
        <w:tabs>
          <w:tab w:val="left" w:pos="1843"/>
        </w:tabs>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sidRPr="00F43723">
        <w:rPr>
          <w:rFonts w:ascii="Palatino Linotype" w:eastAsia="Palatino Linotype" w:hAnsi="Palatino Linotype" w:cs="Palatino Linotype"/>
        </w:rPr>
        <w:lastRenderedPageBreak/>
        <w:t>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0286225F"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6EE13767"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fracción IV, de la Ley de Transparencia de nuestra Entidad.</w:t>
      </w:r>
    </w:p>
    <w:p w14:paraId="511760A8"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08E3EFB7"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43723">
        <w:rPr>
          <w:rFonts w:ascii="Palatino Linotype" w:eastAsia="Palatino Linotype" w:hAnsi="Palatino Linotype" w:cs="Palatino Linotype"/>
        </w:rPr>
        <w:lastRenderedPageBreak/>
        <w:t>procurar el orden, la estabilidad y la defensa de la sociedad a la que pertenecen, lo que se traduce en la prevención de delitos y combate a los delincuentes.</w:t>
      </w:r>
    </w:p>
    <w:p w14:paraId="2B6FFB6D" w14:textId="77777777" w:rsidR="001969B5" w:rsidRPr="00F43723" w:rsidRDefault="001969B5" w:rsidP="001969B5">
      <w:pPr>
        <w:shd w:val="clear" w:color="auto" w:fill="FFFFFF"/>
        <w:spacing w:after="0" w:line="360" w:lineRule="auto"/>
        <w:contextualSpacing/>
        <w:jc w:val="both"/>
      </w:pPr>
    </w:p>
    <w:p w14:paraId="020D4411" w14:textId="77777777" w:rsidR="001969B5" w:rsidRPr="00F43723" w:rsidRDefault="001969B5" w:rsidP="001969B5">
      <w:pPr>
        <w:shd w:val="clear" w:color="auto" w:fill="FFFFFF"/>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51F8EDE2" w14:textId="77777777" w:rsidR="001969B5" w:rsidRPr="00F43723" w:rsidRDefault="001969B5" w:rsidP="001969B5">
      <w:pPr>
        <w:shd w:val="clear" w:color="auto" w:fill="FFFFFF"/>
        <w:spacing w:after="0" w:line="360" w:lineRule="auto"/>
        <w:contextualSpacing/>
        <w:jc w:val="both"/>
      </w:pPr>
    </w:p>
    <w:p w14:paraId="55CAC94D"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5F99636A"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1A87CE8C" w14:textId="77777777" w:rsidR="001969B5" w:rsidRPr="00F43723" w:rsidRDefault="001969B5" w:rsidP="001969B5">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“Artículo 140. El acceso a la información pública será restringido excepcionalmente, cuando por razones de interés público, ésta sea clasificada como reservada, conforme a los criterios siguientes:</w:t>
      </w:r>
    </w:p>
    <w:p w14:paraId="670BA00E" w14:textId="77777777" w:rsidR="001969B5" w:rsidRPr="00F43723" w:rsidRDefault="001969B5" w:rsidP="001969B5">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w:t>
      </w:r>
    </w:p>
    <w:p w14:paraId="44083910" w14:textId="77777777" w:rsidR="001969B5" w:rsidRPr="00F43723" w:rsidRDefault="001969B5" w:rsidP="001969B5">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IV. Ponga en riesgo la vida, la seguridad o la salud de una persona física;</w:t>
      </w:r>
    </w:p>
    <w:p w14:paraId="0A81FDF2" w14:textId="77777777" w:rsidR="001969B5" w:rsidRPr="00F43723" w:rsidRDefault="001969B5" w:rsidP="001969B5">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w:t>
      </w:r>
    </w:p>
    <w:p w14:paraId="37F7EC4E" w14:textId="77777777" w:rsidR="001969B5" w:rsidRPr="00F43723" w:rsidRDefault="001969B5" w:rsidP="001969B5">
      <w:pPr>
        <w:spacing w:after="0" w:line="360" w:lineRule="auto"/>
        <w:ind w:left="567" w:right="567"/>
        <w:contextualSpacing/>
        <w:jc w:val="both"/>
        <w:rPr>
          <w:rFonts w:ascii="Palatino Linotype" w:eastAsia="Palatino Linotype" w:hAnsi="Palatino Linotype" w:cs="Palatino Linotype"/>
          <w:i/>
          <w:sz w:val="20"/>
          <w:szCs w:val="20"/>
        </w:rPr>
      </w:pPr>
    </w:p>
    <w:p w14:paraId="3D313970"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F43723">
        <w:rPr>
          <w:rFonts w:ascii="Palatino Linotype" w:eastAsia="Palatino Linotype" w:hAnsi="Palatino Linotype" w:cs="Palatino Linotype"/>
          <w:b/>
        </w:rPr>
        <w:t>acreditar el vínculo, entre la persona física y la información que pueda poner en riesgo su vida, seguridad o salud</w:t>
      </w:r>
      <w:r w:rsidRPr="00F43723">
        <w:rPr>
          <w:rFonts w:ascii="Palatino Linotype" w:eastAsia="Palatino Linotype" w:hAnsi="Palatino Linotype" w:cs="Palatino Linotype"/>
        </w:rPr>
        <w:t>.</w:t>
      </w:r>
    </w:p>
    <w:p w14:paraId="24755402"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44248DCB"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Sobre lo anterior,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trabajadores gubernamentales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lo peticionado por cuanto hace al personal de seguridad pública, permite que los empleados de gobierno adscritos a los cuerpos policiacos sean identificados o identificables, circunstancia que puede poner en riesgo la vida e integridad física de los integrantes de los cuerpos de seguridad, sus familias y allegados.</w:t>
      </w:r>
    </w:p>
    <w:p w14:paraId="49608002"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161BAFB6"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En ese contexto, cabe hacer mención lo establecido en el artículo 81, fracción III, de la Ley de Seguridad del Estado de México: </w:t>
      </w:r>
    </w:p>
    <w:p w14:paraId="3F308A92" w14:textId="77777777" w:rsidR="001969B5" w:rsidRPr="00F43723" w:rsidRDefault="001969B5" w:rsidP="001969B5">
      <w:pPr>
        <w:spacing w:after="0" w:line="360" w:lineRule="auto"/>
        <w:ind w:left="851" w:right="851"/>
        <w:contextualSpacing/>
        <w:jc w:val="both"/>
        <w:rPr>
          <w:rFonts w:ascii="Palatino Linotype" w:eastAsia="Palatino Linotype" w:hAnsi="Palatino Linotype" w:cs="Palatino Linotype"/>
          <w:i/>
        </w:rPr>
      </w:pPr>
    </w:p>
    <w:p w14:paraId="4440D862" w14:textId="77777777" w:rsidR="001969B5" w:rsidRPr="00F43723" w:rsidRDefault="001969B5" w:rsidP="001969B5">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w:t>
      </w:r>
      <w:r w:rsidRPr="00F43723">
        <w:rPr>
          <w:rFonts w:ascii="Palatino Linotype" w:eastAsia="Palatino Linotype" w:hAnsi="Palatino Linotype" w:cs="Palatino Linotype"/>
          <w:b/>
          <w:i/>
          <w:sz w:val="20"/>
          <w:szCs w:val="20"/>
        </w:rPr>
        <w:t>Artículo 81.-</w:t>
      </w:r>
      <w:r w:rsidRPr="00F43723">
        <w:rPr>
          <w:rFonts w:ascii="Palatino Linotype" w:eastAsia="Palatino Linotype" w:hAnsi="Palatino Linotype" w:cs="Palatino Linotype"/>
          <w:i/>
          <w:sz w:val="20"/>
          <w:szCs w:val="20"/>
        </w:rPr>
        <w:t xml:space="preserve"> </w:t>
      </w:r>
      <w:r w:rsidRPr="00F43723">
        <w:rPr>
          <w:rFonts w:ascii="Palatino Linotype" w:eastAsia="Palatino Linotype" w:hAnsi="Palatino Linotype" w:cs="Palatino Linotype"/>
          <w:b/>
          <w:i/>
          <w:sz w:val="20"/>
          <w:szCs w:val="20"/>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F43723">
        <w:rPr>
          <w:rFonts w:ascii="Palatino Linotype" w:eastAsia="Palatino Linotype" w:hAnsi="Palatino Linotype" w:cs="Palatino Linotype"/>
          <w:b/>
          <w:i/>
          <w:sz w:val="20"/>
          <w:szCs w:val="20"/>
          <w:u w:val="single"/>
        </w:rPr>
        <w:t>No obstante lo anterior, esta información se considerará reservada</w:t>
      </w:r>
      <w:r w:rsidRPr="00F43723">
        <w:rPr>
          <w:rFonts w:ascii="Palatino Linotype" w:eastAsia="Palatino Linotype" w:hAnsi="Palatino Linotype" w:cs="Palatino Linotype"/>
          <w:i/>
          <w:sz w:val="20"/>
          <w:szCs w:val="20"/>
        </w:rPr>
        <w:t xml:space="preserve"> en los casos siguientes:</w:t>
      </w:r>
    </w:p>
    <w:p w14:paraId="06B9FD2C" w14:textId="77777777" w:rsidR="001969B5" w:rsidRPr="00F43723" w:rsidRDefault="001969B5" w:rsidP="001969B5">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w:t>
      </w:r>
    </w:p>
    <w:p w14:paraId="28324519" w14:textId="77777777" w:rsidR="001969B5" w:rsidRPr="00F43723" w:rsidRDefault="001969B5" w:rsidP="001969B5">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b/>
          <w:i/>
          <w:sz w:val="20"/>
          <w:szCs w:val="20"/>
        </w:rPr>
        <w:lastRenderedPageBreak/>
        <w:t>III.</w:t>
      </w:r>
      <w:r w:rsidRPr="00F43723">
        <w:rPr>
          <w:rFonts w:ascii="Palatino Linotype" w:eastAsia="Palatino Linotype" w:hAnsi="Palatino Linotype" w:cs="Palatino Linotype"/>
          <w:i/>
          <w:sz w:val="20"/>
          <w:szCs w:val="20"/>
        </w:rPr>
        <w:t xml:space="preserve"> </w:t>
      </w:r>
      <w:r w:rsidRPr="00F43723">
        <w:rPr>
          <w:rFonts w:ascii="Palatino Linotype" w:eastAsia="Palatino Linotype" w:hAnsi="Palatino Linotype" w:cs="Palatino Linotype"/>
          <w:b/>
          <w:i/>
          <w:sz w:val="20"/>
          <w:szCs w:val="20"/>
          <w:u w:val="single"/>
        </w:rPr>
        <w:t>La relativa a servidores públicos miembros de las instituciones de seguridad pública, cuya revelación pueda poner en riesgo su vida e integridad física con motivo de sus funciones;</w:t>
      </w:r>
      <w:r w:rsidRPr="00F43723">
        <w:rPr>
          <w:rFonts w:ascii="Palatino Linotype" w:eastAsia="Palatino Linotype" w:hAnsi="Palatino Linotype" w:cs="Palatino Linotype"/>
          <w:i/>
          <w:sz w:val="20"/>
          <w:szCs w:val="20"/>
        </w:rPr>
        <w:t>”</w:t>
      </w:r>
    </w:p>
    <w:p w14:paraId="2B9187D5" w14:textId="77777777" w:rsidR="001969B5" w:rsidRPr="00F43723" w:rsidRDefault="001969B5" w:rsidP="001969B5">
      <w:pPr>
        <w:spacing w:after="0" w:line="360" w:lineRule="auto"/>
        <w:ind w:left="851" w:right="851"/>
        <w:contextualSpacing/>
        <w:jc w:val="both"/>
        <w:rPr>
          <w:rFonts w:ascii="Palatino Linotype" w:eastAsia="Palatino Linotype" w:hAnsi="Palatino Linotype" w:cs="Palatino Linotype"/>
          <w:i/>
        </w:rPr>
      </w:pPr>
    </w:p>
    <w:p w14:paraId="0914AF41"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Argumento que se fortalece con lo estipulado en el criterio número 06/09, emitido por el Pleno del entonces Instituto Federal de Acceso a la Información y Protección de Datos</w:t>
      </w:r>
      <w:r w:rsidRPr="00F43723">
        <w:rPr>
          <w:rFonts w:ascii="Palatino Linotype" w:eastAsia="Palatino Linotype" w:hAnsi="Palatino Linotype" w:cs="Palatino Linotype"/>
          <w:b/>
        </w:rPr>
        <w:t xml:space="preserve">, </w:t>
      </w:r>
      <w:r w:rsidRPr="00F43723">
        <w:rPr>
          <w:rFonts w:ascii="Palatino Linotype" w:eastAsia="Palatino Linotype" w:hAnsi="Palatino Linotype" w:cs="Palatino Linotype"/>
        </w:rPr>
        <w:t xml:space="preserve">el cual refiere: </w:t>
      </w:r>
    </w:p>
    <w:p w14:paraId="7993FEEA"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3DA760F4" w14:textId="77777777" w:rsidR="001969B5" w:rsidRPr="00F43723" w:rsidRDefault="001969B5" w:rsidP="001969B5">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b/>
          <w:i/>
          <w:sz w:val="20"/>
          <w:szCs w:val="20"/>
        </w:rPr>
        <w:t xml:space="preserve">“Nombres de servidores públicos dedicados a actividades en materia de seguridad, por excepción pueden considerarse información reservada. </w:t>
      </w:r>
      <w:r w:rsidRPr="00F43723">
        <w:rPr>
          <w:rFonts w:ascii="Palatino Linotype" w:eastAsia="Palatino Linotype" w:hAnsi="Palatino Linotype" w:cs="Palatino Linotype"/>
          <w:i/>
          <w:sz w:val="20"/>
          <w:szCs w:val="20"/>
        </w:rPr>
        <w:t xml:space="preserve">De conformidad con el artículo 7, fracciones I y III de la Ley Federal de Transparencia y Acceso a la Información Pública Gubernamental </w:t>
      </w:r>
      <w:r w:rsidRPr="00F43723">
        <w:rPr>
          <w:rFonts w:ascii="Palatino Linotype" w:eastAsia="Palatino Linotype" w:hAnsi="Palatino Linotype" w:cs="Palatino Linotype"/>
          <w:b/>
          <w:i/>
          <w:sz w:val="20"/>
          <w:szCs w:val="20"/>
          <w:u w:val="single"/>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F43723">
        <w:rPr>
          <w:rFonts w:ascii="Palatino Linotype" w:eastAsia="Palatino Linotype" w:hAnsi="Palatino Linotype" w:cs="Palatino Linotype"/>
          <w:i/>
          <w:sz w:val="20"/>
          <w:szCs w:val="20"/>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F43723">
        <w:rPr>
          <w:rFonts w:ascii="Palatino Linotype" w:eastAsia="Palatino Linotype" w:hAnsi="Palatino Linotype" w:cs="Palatino Linotype"/>
          <w:b/>
          <w:i/>
          <w:sz w:val="20"/>
          <w:szCs w:val="20"/>
          <w:u w:val="single"/>
        </w:rPr>
        <w:t>el artículo 13, fracción I de la ley de referencia se establece que podrá clasificarse aquella información cuya difusión pueda comprometer la seguridad nacional y pública</w:t>
      </w:r>
      <w:r w:rsidRPr="00F43723">
        <w:rPr>
          <w:rFonts w:ascii="Palatino Linotype" w:eastAsia="Palatino Linotype" w:hAnsi="Palatino Linotype" w:cs="Palatino Linotype"/>
          <w:i/>
          <w:sz w:val="20"/>
          <w:szCs w:val="20"/>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F43723">
        <w:rPr>
          <w:rFonts w:ascii="Palatino Linotype" w:eastAsia="Palatino Linotype" w:hAnsi="Palatino Linotype" w:cs="Palatino Linotype"/>
          <w:b/>
          <w:i/>
          <w:sz w:val="20"/>
          <w:szCs w:val="20"/>
          <w:u w:val="single"/>
        </w:rPr>
        <w:t>por lo que la reserva de la relación de los nombres y las funciones que desempeñan los servidores públicos que prestan sus servicios en áreas de seguridad nacional o pública</w:t>
      </w:r>
      <w:r w:rsidRPr="00F43723">
        <w:rPr>
          <w:rFonts w:ascii="Palatino Linotype" w:eastAsia="Palatino Linotype" w:hAnsi="Palatino Linotype" w:cs="Palatino Linotype"/>
          <w:i/>
          <w:sz w:val="20"/>
          <w:szCs w:val="20"/>
        </w:rPr>
        <w:t>, puede llegar a constituirse en un componente fundamental en el esfuerzo que realiza el Estado Mexicano para garantizar la seguridad del país en sus diferentes vertientes” (Sic)</w:t>
      </w:r>
    </w:p>
    <w:p w14:paraId="68A989ED"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lastRenderedPageBreak/>
        <w:t>En efecto, con base en lo expuesto por el ahora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4B1D43E8"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3CC2E9F5"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Así, desde mi punto de vista, el 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C962B35"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48044381" w14:textId="77777777" w:rsidR="001969B5" w:rsidRPr="00F43723" w:rsidRDefault="001969B5" w:rsidP="001969B5">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b/>
          <w:i/>
          <w:sz w:val="20"/>
          <w:szCs w:val="20"/>
        </w:rPr>
        <w:t xml:space="preserve">“DERECHO A LA INFORMACIÓN. SU EJERCICIO SE ENCUENTRA LIMITADO TANTO POR LOS INTERESES NACIONALES Y DE LA SOCIEDAD, COMO POR LOS DERECHOS DE TERCEROS. </w:t>
      </w:r>
      <w:r w:rsidRPr="00F43723">
        <w:rPr>
          <w:rFonts w:ascii="Palatino Linotype" w:eastAsia="Palatino Linotype" w:hAnsi="Palatino Linotype" w:cs="Palatino Linotype"/>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w:t>
      </w:r>
      <w:r w:rsidRPr="00F43723">
        <w:rPr>
          <w:rFonts w:ascii="Palatino Linotype" w:eastAsia="Palatino Linotype" w:hAnsi="Palatino Linotype" w:cs="Palatino Linotype"/>
          <w:i/>
          <w:sz w:val="20"/>
          <w:szCs w:val="20"/>
        </w:rPr>
        <w:lastRenderedPageBreak/>
        <w:t>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669E8EFE" w14:textId="77777777" w:rsidR="001969B5" w:rsidRPr="00F43723" w:rsidRDefault="001969B5" w:rsidP="001969B5">
      <w:pPr>
        <w:shd w:val="clear" w:color="auto" w:fill="FFFFFF"/>
        <w:spacing w:after="0" w:line="360" w:lineRule="auto"/>
        <w:ind w:left="567" w:right="567"/>
        <w:contextualSpacing/>
        <w:jc w:val="both"/>
        <w:rPr>
          <w:rFonts w:ascii="Palatino Linotype" w:eastAsia="Palatino Linotype" w:hAnsi="Palatino Linotype" w:cs="Palatino Linotype"/>
          <w:b/>
          <w:i/>
          <w:sz w:val="20"/>
          <w:szCs w:val="20"/>
        </w:rPr>
      </w:pPr>
    </w:p>
    <w:p w14:paraId="6BE08C06" w14:textId="77777777" w:rsidR="001969B5" w:rsidRPr="00F43723" w:rsidRDefault="001969B5" w:rsidP="001969B5">
      <w:pPr>
        <w:shd w:val="clear" w:color="auto" w:fill="FFFFFF"/>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b/>
          <w:i/>
          <w:sz w:val="20"/>
          <w:szCs w:val="20"/>
        </w:rPr>
        <w:t>“TRANSPARENCIA Y ACCESO A LA INFORMACIÓN PÚBLICA GUBERNAMENTAL. EL ARTÍCULO 14, FRACCIÓN I, DE LA LEY FEDERAL RELATIVA, NO VIOLA LA GARANTÍA DE ACCESO A LA INFORMACIÓN.</w:t>
      </w:r>
      <w:r w:rsidRPr="00F43723">
        <w:rPr>
          <w:rFonts w:ascii="Palatino Linotype" w:eastAsia="Palatino Linotype" w:hAnsi="Palatino Linotype" w:cs="Palatino Linotype"/>
          <w:i/>
          <w:sz w:val="20"/>
          <w:szCs w:val="20"/>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43723">
        <w:rPr>
          <w:rFonts w:ascii="Palatino Linotype" w:eastAsia="Palatino Linotype" w:hAnsi="Palatino Linotype" w:cs="Palatino Linotype"/>
          <w:b/>
          <w:i/>
          <w:sz w:val="20"/>
          <w:szCs w:val="20"/>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43723">
        <w:rPr>
          <w:rFonts w:ascii="Palatino Linotype" w:eastAsia="Palatino Linotype" w:hAnsi="Palatino Linotype" w:cs="Palatino Linotype"/>
          <w:i/>
          <w:sz w:val="20"/>
          <w:szCs w:val="20"/>
        </w:rPr>
        <w:t xml:space="preserve">, la cual debe ser adecuada y necesaria para alcanzar el fin perseguido, de manera que las ventajas obtenidas con la reserva compensen el sacrificio que </w:t>
      </w:r>
      <w:r w:rsidRPr="00F43723">
        <w:rPr>
          <w:rFonts w:ascii="Palatino Linotype" w:eastAsia="Palatino Linotype" w:hAnsi="Palatino Linotype" w:cs="Palatino Linotype"/>
          <w:i/>
          <w:sz w:val="20"/>
          <w:szCs w:val="20"/>
        </w:rPr>
        <w:lastRenderedPageBreak/>
        <w:t>ésta implique para los titulares de la garantía individual mencionada o para la sociedad en general.”</w:t>
      </w:r>
    </w:p>
    <w:p w14:paraId="2068B5A5" w14:textId="77777777" w:rsidR="001969B5" w:rsidRPr="00F43723" w:rsidRDefault="001969B5" w:rsidP="001969B5">
      <w:pPr>
        <w:shd w:val="clear" w:color="auto" w:fill="FFFFFF"/>
        <w:spacing w:after="0" w:line="360" w:lineRule="auto"/>
        <w:ind w:left="567" w:right="567"/>
        <w:contextualSpacing/>
        <w:jc w:val="both"/>
        <w:rPr>
          <w:sz w:val="20"/>
          <w:szCs w:val="20"/>
        </w:rPr>
      </w:pPr>
    </w:p>
    <w:p w14:paraId="6C0D5155"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En efecto, de acuerdo con lo expuesto, la limitación para acceder al nombre de los policías o personal con funciones operativas es proporcional y adecuada, respecto del bien jurídico tutelado; así, ordenar la entrega de los documentos en donde se elimine el nombre de dichos trabajadores,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14:paraId="55F61447"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5C74BEEF"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además, abona a lo expuesto, lo resuelto por el Instituto Nacional de Transparencia, Acceso a la Información Pública y Protección de Datos Personales, en los Recursos de Inconformidad con número </w:t>
      </w:r>
      <w:r w:rsidRPr="00F43723">
        <w:rPr>
          <w:rFonts w:ascii="Palatino Linotype" w:eastAsia="Palatino Linotype" w:hAnsi="Palatino Linotype" w:cs="Palatino Linotype"/>
          <w:b/>
        </w:rPr>
        <w:t xml:space="preserve">RIA 0118/18, RIA 0124/19 y RIA 0118/19, </w:t>
      </w:r>
      <w:r w:rsidRPr="00F43723">
        <w:rPr>
          <w:rFonts w:ascii="Palatino Linotype" w:eastAsia="Palatino Linotype" w:hAnsi="Palatino Linotype" w:cs="Palatino Linotype"/>
        </w:rPr>
        <w:t>en donde se precisó que este Organismo Garante no debe ceñirse únicamente a verificar cuestiones de forma, sino también argumentar por qué la información solicitada se adecua o no a la o las hipótesis señaladas.</w:t>
      </w:r>
    </w:p>
    <w:p w14:paraId="05CDBA2F"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406C4B01" w14:textId="77777777" w:rsidR="001969B5" w:rsidRPr="00F43723" w:rsidRDefault="001969B5" w:rsidP="001969B5">
      <w:pPr>
        <w:spacing w:after="0" w:line="360" w:lineRule="auto"/>
        <w:contextualSpacing/>
        <w:jc w:val="both"/>
        <w:rPr>
          <w:rFonts w:ascii="Palatino Linotype" w:hAnsi="Palatino Linotype" w:cs="Tahoma"/>
          <w:lang w:eastAsia="en-US"/>
        </w:rPr>
      </w:pPr>
      <w:bookmarkStart w:id="0" w:name="_Hlk141972972"/>
      <w:r w:rsidRPr="00F43723">
        <w:rPr>
          <w:rFonts w:ascii="Palatino Linotype" w:hAnsi="Palatino Linotype" w:cs="Tahoma"/>
          <w:lang w:eastAsia="en-US"/>
        </w:rPr>
        <w:t xml:space="preserve">También, el Juicio de Amparo Indirecto 1232/2017 resuelto por el Juzgado Cuarto de Distrito en Materia Administrativa en la Ciudad de México, cuya síntesis se expone en el libro Casos Paradigmáticos (Esquivel,Yasmin, </w:t>
      </w:r>
      <w:r w:rsidRPr="00F43723">
        <w:rPr>
          <w:rFonts w:ascii="Palatino Linotype" w:hAnsi="Palatino Linotype" w:cs="Tahoma"/>
          <w:i/>
          <w:iCs/>
          <w:lang w:eastAsia="en-US"/>
        </w:rPr>
        <w:t>et al</w:t>
      </w:r>
      <w:r w:rsidRPr="00F43723">
        <w:rPr>
          <w:rFonts w:ascii="Palatino Linotype" w:hAnsi="Palatino Linotype" w:cs="Tahoma"/>
          <w:lang w:eastAsia="en-US"/>
        </w:rPr>
        <w:t xml:space="preserve">. P. (2021), Casos Paradigmáticos del Poder Judicial de la Federación en materia de acceso a la información y protección de datos personales, </w:t>
      </w:r>
      <w:r w:rsidRPr="00F43723">
        <w:rPr>
          <w:rFonts w:ascii="Palatino Linotype" w:hAnsi="Palatino Linotype" w:cs="Tahoma"/>
          <w:lang w:eastAsia="en-US"/>
        </w:rPr>
        <w:lastRenderedPageBreak/>
        <w:t xml:space="preserve">INAI, pp. </w:t>
      </w:r>
      <w:bookmarkStart w:id="1" w:name="_GoBack"/>
      <w:bookmarkEnd w:id="1"/>
      <w:r w:rsidRPr="00F43723">
        <w:rPr>
          <w:rFonts w:ascii="Palatino Linotype" w:hAnsi="Palatino Linotype" w:cs="Tahoma"/>
          <w:lang w:eastAsia="en-US"/>
        </w:rPr>
        <w:t xml:space="preserve">45 a 61 ), en donde </w:t>
      </w:r>
      <w:r w:rsidRPr="00F43723">
        <w:rPr>
          <w:rFonts w:ascii="Palatino Linotype" w:hAnsi="Palatino Linotype" w:cs="Tahoma"/>
          <w:i/>
          <w:iCs/>
          <w:lang w:eastAsia="en-US"/>
        </w:rPr>
        <w:t>grosso modo</w:t>
      </w:r>
      <w:r w:rsidRPr="00F43723">
        <w:rPr>
          <w:rFonts w:ascii="Palatino Linotype" w:hAnsi="Palatino Linotype" w:cs="Tahoma"/>
          <w:lang w:eastAsia="en-US"/>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15864C78" w14:textId="77777777" w:rsidR="001969B5" w:rsidRPr="00F43723" w:rsidRDefault="001969B5" w:rsidP="001969B5">
      <w:pPr>
        <w:spacing w:after="0" w:line="360" w:lineRule="auto"/>
        <w:contextualSpacing/>
        <w:jc w:val="both"/>
        <w:rPr>
          <w:rFonts w:ascii="Palatino Linotype" w:hAnsi="Palatino Linotype" w:cs="Tahoma"/>
          <w:lang w:eastAsia="en-US"/>
        </w:rPr>
      </w:pPr>
    </w:p>
    <w:p w14:paraId="5C3048AC" w14:textId="77777777" w:rsidR="001969B5" w:rsidRPr="00F43723" w:rsidRDefault="001969B5" w:rsidP="001969B5">
      <w:pPr>
        <w:numPr>
          <w:ilvl w:val="0"/>
          <w:numId w:val="1"/>
        </w:numPr>
        <w:spacing w:line="360" w:lineRule="auto"/>
        <w:contextualSpacing/>
        <w:jc w:val="both"/>
        <w:rPr>
          <w:rFonts w:ascii="Palatino Linotype" w:hAnsi="Palatino Linotype" w:cs="Tahoma"/>
          <w:lang w:eastAsia="en-US"/>
        </w:rPr>
      </w:pPr>
      <w:r w:rsidRPr="00F43723">
        <w:rPr>
          <w:rFonts w:ascii="Palatino Linotype" w:hAnsi="Palatino Linotype" w:cs="Tahoma"/>
          <w:lang w:eastAsia="en-US"/>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4360C759" w14:textId="77777777" w:rsidR="001969B5" w:rsidRPr="00F43723" w:rsidRDefault="001969B5" w:rsidP="001969B5">
      <w:pPr>
        <w:spacing w:after="0" w:line="360" w:lineRule="auto"/>
        <w:contextualSpacing/>
        <w:jc w:val="both"/>
        <w:rPr>
          <w:rFonts w:ascii="Palatino Linotype" w:hAnsi="Palatino Linotype" w:cs="Tahoma"/>
          <w:lang w:eastAsia="en-US"/>
        </w:rPr>
      </w:pPr>
    </w:p>
    <w:p w14:paraId="72CC8B81" w14:textId="77777777" w:rsidR="001969B5" w:rsidRPr="00F43723" w:rsidRDefault="001969B5" w:rsidP="001969B5">
      <w:pPr>
        <w:numPr>
          <w:ilvl w:val="0"/>
          <w:numId w:val="1"/>
        </w:numPr>
        <w:spacing w:line="360" w:lineRule="auto"/>
        <w:contextualSpacing/>
        <w:jc w:val="both"/>
        <w:rPr>
          <w:rFonts w:ascii="Palatino Linotype" w:hAnsi="Palatino Linotype" w:cs="Tahoma"/>
          <w:lang w:eastAsia="en-US"/>
        </w:rPr>
      </w:pPr>
      <w:r w:rsidRPr="00F43723">
        <w:rPr>
          <w:rFonts w:ascii="Palatino Linotype" w:hAnsi="Palatino Linotype" w:cs="Tahoma"/>
          <w:lang w:eastAsia="en-US"/>
        </w:rPr>
        <w:t xml:space="preserve">(…) en la sentencia se sostuvo que el </w:t>
      </w:r>
      <w:r w:rsidRPr="00F43723">
        <w:rPr>
          <w:rFonts w:ascii="Palatino Linotype" w:hAnsi="Palatino Linotype" w:cs="Tahoma"/>
          <w:b/>
          <w:bCs/>
          <w:u w:val="single"/>
          <w:lang w:eastAsia="en-US"/>
        </w:rPr>
        <w:t>INAI no había justificado debidamente la ponderación entre los intereses en conflicto al correr la prueba de daño</w:t>
      </w:r>
      <w:r w:rsidRPr="00F43723">
        <w:rPr>
          <w:rFonts w:ascii="Palatino Linotype" w:hAnsi="Palatino Linotype" w:cs="Tahoma"/>
          <w:lang w:eastAsia="en-US"/>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2C10BC77" w14:textId="77777777" w:rsidR="001969B5" w:rsidRPr="00F43723" w:rsidRDefault="001969B5" w:rsidP="001969B5">
      <w:pPr>
        <w:spacing w:after="0" w:line="360" w:lineRule="auto"/>
        <w:contextualSpacing/>
        <w:jc w:val="both"/>
        <w:rPr>
          <w:rFonts w:ascii="Palatino Linotype" w:hAnsi="Palatino Linotype" w:cs="Tahoma"/>
          <w:lang w:eastAsia="en-US"/>
        </w:rPr>
      </w:pPr>
    </w:p>
    <w:p w14:paraId="191AEA97" w14:textId="77777777" w:rsidR="001969B5" w:rsidRPr="00F43723" w:rsidRDefault="001969B5" w:rsidP="001969B5">
      <w:pPr>
        <w:numPr>
          <w:ilvl w:val="0"/>
          <w:numId w:val="1"/>
        </w:numPr>
        <w:spacing w:line="360" w:lineRule="auto"/>
        <w:contextualSpacing/>
        <w:jc w:val="both"/>
        <w:rPr>
          <w:rFonts w:ascii="Palatino Linotype" w:hAnsi="Palatino Linotype" w:cs="Tahoma"/>
          <w:lang w:eastAsia="en-US"/>
        </w:rPr>
      </w:pPr>
      <w:r w:rsidRPr="00F43723">
        <w:rPr>
          <w:rFonts w:ascii="Palatino Linotype" w:hAnsi="Palatino Linotype" w:cs="Tahoma"/>
          <w:lang w:eastAsia="en-US"/>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38A64FAA" w14:textId="77777777" w:rsidR="001969B5" w:rsidRPr="00F43723" w:rsidRDefault="001969B5" w:rsidP="001969B5">
      <w:pPr>
        <w:spacing w:after="0" w:line="360" w:lineRule="auto"/>
        <w:contextualSpacing/>
        <w:jc w:val="both"/>
        <w:rPr>
          <w:rFonts w:ascii="Palatino Linotype" w:hAnsi="Palatino Linotype" w:cs="Tahoma"/>
          <w:lang w:eastAsia="en-US"/>
        </w:rPr>
      </w:pPr>
    </w:p>
    <w:p w14:paraId="5F4AF80F" w14:textId="77777777" w:rsidR="001969B5" w:rsidRPr="00F43723" w:rsidRDefault="001969B5" w:rsidP="001969B5">
      <w:pPr>
        <w:spacing w:after="0" w:line="360" w:lineRule="auto"/>
        <w:contextualSpacing/>
        <w:jc w:val="both"/>
        <w:rPr>
          <w:rFonts w:ascii="Palatino Linotype" w:hAnsi="Palatino Linotype" w:cs="Tahoma"/>
          <w:lang w:eastAsia="en-US"/>
        </w:rPr>
      </w:pPr>
      <w:r w:rsidRPr="00F43723">
        <w:rPr>
          <w:rFonts w:ascii="Palatino Linotype" w:hAnsi="Palatino Linotype" w:cs="Tahoma"/>
          <w:lang w:eastAsia="en-US"/>
        </w:rPr>
        <w:t xml:space="preserve">Aún más, al resolverse la impugnación que interpuso el INAI en términos del artículo 81, inciso e) de la Ley de Amparo, que primero fue turnada al Vigésimo Primer Tribunal </w:t>
      </w:r>
      <w:r w:rsidRPr="00F43723">
        <w:rPr>
          <w:rFonts w:ascii="Palatino Linotype" w:hAnsi="Palatino Linotype" w:cs="Tahoma"/>
          <w:lang w:eastAsia="en-US"/>
        </w:rPr>
        <w:lastRenderedPageBreak/>
        <w:t>Colegiado en Materia del Primer Circuito, bajo el número de expediente 192/2018, mismo que fue atraído por la Suprema Corte de Justicia, determinó que:</w:t>
      </w:r>
    </w:p>
    <w:p w14:paraId="5A1B4658" w14:textId="77777777" w:rsidR="001969B5" w:rsidRPr="00F43723" w:rsidRDefault="001969B5" w:rsidP="001969B5">
      <w:pPr>
        <w:spacing w:after="0" w:line="360" w:lineRule="auto"/>
        <w:contextualSpacing/>
        <w:jc w:val="both"/>
        <w:rPr>
          <w:rFonts w:ascii="Palatino Linotype" w:hAnsi="Palatino Linotype" w:cs="Tahoma"/>
          <w:lang w:eastAsia="en-US"/>
        </w:rPr>
      </w:pPr>
    </w:p>
    <w:p w14:paraId="63667136" w14:textId="77777777" w:rsidR="001969B5" w:rsidRPr="00F43723" w:rsidRDefault="001969B5" w:rsidP="001969B5">
      <w:pPr>
        <w:numPr>
          <w:ilvl w:val="0"/>
          <w:numId w:val="2"/>
        </w:numPr>
        <w:spacing w:line="360" w:lineRule="auto"/>
        <w:contextualSpacing/>
        <w:jc w:val="both"/>
        <w:rPr>
          <w:rFonts w:ascii="Palatino Linotype" w:hAnsi="Palatino Linotype" w:cs="Tahoma"/>
          <w:lang w:eastAsia="en-US"/>
        </w:rPr>
      </w:pPr>
      <w:r w:rsidRPr="00F43723">
        <w:rPr>
          <w:rFonts w:ascii="Palatino Linotype" w:hAnsi="Palatino Linotype" w:cs="Tahoma"/>
          <w:lang w:eastAsia="en-US"/>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6C121D40" w14:textId="77777777" w:rsidR="001969B5" w:rsidRPr="00F43723" w:rsidRDefault="001969B5" w:rsidP="001969B5">
      <w:pPr>
        <w:spacing w:after="0" w:line="360" w:lineRule="auto"/>
        <w:contextualSpacing/>
        <w:jc w:val="both"/>
        <w:rPr>
          <w:rFonts w:ascii="Palatino Linotype" w:hAnsi="Palatino Linotype" w:cs="Tahoma"/>
          <w:lang w:eastAsia="en-US"/>
        </w:rPr>
      </w:pPr>
    </w:p>
    <w:p w14:paraId="0DF90B07" w14:textId="77777777" w:rsidR="001969B5" w:rsidRPr="00F43723" w:rsidRDefault="001969B5" w:rsidP="001969B5">
      <w:pPr>
        <w:numPr>
          <w:ilvl w:val="0"/>
          <w:numId w:val="2"/>
        </w:numPr>
        <w:spacing w:line="360" w:lineRule="auto"/>
        <w:contextualSpacing/>
        <w:jc w:val="both"/>
        <w:rPr>
          <w:rFonts w:ascii="Palatino Linotype" w:hAnsi="Palatino Linotype" w:cs="Tahoma"/>
          <w:b/>
          <w:bCs/>
          <w:u w:val="single"/>
          <w:lang w:eastAsia="en-US"/>
        </w:rPr>
      </w:pPr>
      <w:r w:rsidRPr="00F43723">
        <w:rPr>
          <w:rFonts w:ascii="Palatino Linotype" w:hAnsi="Palatino Linotype" w:cs="Tahoma"/>
          <w:b/>
          <w:bCs/>
          <w:u w:val="single"/>
          <w:lang w:eastAsia="en-US"/>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2628B8E0" w14:textId="77777777" w:rsidR="001969B5" w:rsidRPr="00F43723" w:rsidRDefault="001969B5" w:rsidP="001969B5">
      <w:pPr>
        <w:spacing w:after="0" w:line="360" w:lineRule="auto"/>
        <w:contextualSpacing/>
        <w:jc w:val="both"/>
        <w:rPr>
          <w:rFonts w:ascii="Palatino Linotype" w:hAnsi="Palatino Linotype" w:cs="Tahoma"/>
          <w:lang w:eastAsia="en-US"/>
        </w:rPr>
      </w:pPr>
    </w:p>
    <w:p w14:paraId="03493F19" w14:textId="77777777" w:rsidR="001969B5" w:rsidRPr="00F43723" w:rsidRDefault="001969B5" w:rsidP="001969B5">
      <w:pPr>
        <w:spacing w:after="0" w:line="360" w:lineRule="auto"/>
        <w:contextualSpacing/>
        <w:jc w:val="both"/>
        <w:rPr>
          <w:rFonts w:ascii="Palatino Linotype" w:hAnsi="Palatino Linotype" w:cs="Tahoma"/>
          <w:lang w:eastAsia="en-US"/>
        </w:rPr>
      </w:pPr>
      <w:r w:rsidRPr="00F43723">
        <w:rPr>
          <w:rFonts w:ascii="Palatino Linotype" w:hAnsi="Palatino Linotype" w:cs="Tahoma"/>
          <w:lang w:eastAsia="en-US"/>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2C064DC4"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08E22E14"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En ese sentido, se debe valorar el daño que causaría la divulgación de la información, con la finalidad de sustentar la reserva de la información y arribar a una determinación </w:t>
      </w:r>
      <w:r w:rsidRPr="00F43723">
        <w:rPr>
          <w:rFonts w:ascii="Palatino Linotype" w:eastAsia="Palatino Linotype" w:hAnsi="Palatino Linotype" w:cs="Palatino Linotype"/>
        </w:rPr>
        <w:lastRenderedPageBreak/>
        <w:t>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bookmarkEnd w:id="0"/>
    <w:p w14:paraId="680E5F86"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0A73829B"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bookmarkStart w:id="2" w:name="_Hlk141973197"/>
      <w:r w:rsidRPr="00F43723">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bookmarkEnd w:id="2"/>
    <w:p w14:paraId="0C662F81"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47392E5F"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7B4C96D"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6DA04F69"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Por lo tanto, mi postura es a favor de efectuar un análisis exhaustivo en todos aquellos casos que restrinjan el derecho de acceso a la información de los particulares, como es la figura de </w:t>
      </w:r>
      <w:r w:rsidRPr="00F43723">
        <w:rPr>
          <w:rFonts w:ascii="Palatino Linotype" w:eastAsia="Palatino Linotype" w:hAnsi="Palatino Linotype" w:cs="Palatino Linotype"/>
        </w:rPr>
        <w:lastRenderedPageBreak/>
        <w:t>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3A134FE1"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11EC3166"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En consecuencia, es necesario que en el análisis de las resoluciones que dicta este Pleno, se proporcione un estudio exhaustivo y ofrecer al Particular las herramientas para conocer las razones por las que procede o no la reserva de la información.</w:t>
      </w:r>
    </w:p>
    <w:p w14:paraId="2D2FD48C" w14:textId="77777777" w:rsidR="001969B5" w:rsidRPr="00F43723" w:rsidRDefault="001969B5" w:rsidP="001969B5">
      <w:pPr>
        <w:spacing w:after="0" w:line="360" w:lineRule="auto"/>
        <w:contextualSpacing/>
        <w:jc w:val="both"/>
        <w:rPr>
          <w:rFonts w:ascii="Palatino Linotype" w:eastAsia="Palatino Linotype" w:hAnsi="Palatino Linotype" w:cs="Palatino Linotype"/>
        </w:rPr>
      </w:pPr>
    </w:p>
    <w:p w14:paraId="1EF9C512" w14:textId="77777777" w:rsidR="001969B5" w:rsidRDefault="001969B5" w:rsidP="001969B5">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Así, con base en los razonamientos expuestos, se emite el Presente </w:t>
      </w:r>
      <w:r w:rsidRPr="00F43723">
        <w:rPr>
          <w:rFonts w:ascii="Palatino Linotype" w:eastAsia="Palatino Linotype" w:hAnsi="Palatino Linotype" w:cs="Palatino Linotype"/>
          <w:b/>
        </w:rPr>
        <w:t>Voto Particular.</w:t>
      </w:r>
      <w:r w:rsidRPr="00F43723">
        <w:rPr>
          <w:rFonts w:ascii="Palatino Linotype" w:eastAsia="Palatino Linotype" w:hAnsi="Palatino Linotype" w:cs="Palatino Linotype"/>
        </w:rPr>
        <w:t xml:space="preserve"> ----------------------------------------------------------------------------------------------------------------------------------</w:t>
      </w:r>
      <w:r>
        <w:br w:type="page"/>
      </w:r>
    </w:p>
    <w:p w14:paraId="6F09FE94" w14:textId="77777777" w:rsidR="001969B5" w:rsidRDefault="001969B5" w:rsidP="001969B5">
      <w:pPr>
        <w:spacing w:after="0" w:line="360" w:lineRule="auto"/>
        <w:contextualSpacing/>
        <w:jc w:val="both"/>
        <w:rPr>
          <w:rFonts w:ascii="Palatino Linotype" w:eastAsia="Palatino Linotype" w:hAnsi="Palatino Linotype" w:cs="Palatino Linotype"/>
        </w:rPr>
      </w:pPr>
    </w:p>
    <w:p w14:paraId="6D787910" w14:textId="77777777" w:rsidR="001969B5" w:rsidRDefault="001969B5" w:rsidP="001969B5">
      <w:pPr>
        <w:spacing w:line="360" w:lineRule="auto"/>
        <w:contextualSpacing/>
        <w:rPr>
          <w:rFonts w:ascii="Palatino Linotype" w:eastAsia="Palatino Linotype" w:hAnsi="Palatino Linotype" w:cs="Palatino Linotype"/>
        </w:rPr>
      </w:pPr>
    </w:p>
    <w:p w14:paraId="41C93A0C" w14:textId="77777777" w:rsidR="001969B5" w:rsidRDefault="001969B5" w:rsidP="001969B5">
      <w:pPr>
        <w:spacing w:line="360" w:lineRule="auto"/>
        <w:contextualSpacing/>
      </w:pPr>
    </w:p>
    <w:p w14:paraId="5FC4B31A" w14:textId="77777777" w:rsidR="001969B5" w:rsidRDefault="001969B5" w:rsidP="001969B5">
      <w:pPr>
        <w:spacing w:line="360" w:lineRule="auto"/>
        <w:contextualSpacing/>
      </w:pPr>
    </w:p>
    <w:p w14:paraId="1817D6FF" w14:textId="77777777" w:rsidR="001969B5" w:rsidRDefault="001969B5" w:rsidP="001969B5">
      <w:pPr>
        <w:spacing w:line="360" w:lineRule="auto"/>
        <w:contextualSpacing/>
      </w:pPr>
    </w:p>
    <w:p w14:paraId="659FB35A" w14:textId="77777777" w:rsidR="001969B5" w:rsidRDefault="001969B5" w:rsidP="001969B5">
      <w:pPr>
        <w:spacing w:line="360" w:lineRule="auto"/>
        <w:contextualSpacing/>
      </w:pPr>
    </w:p>
    <w:p w14:paraId="3AB05ECF" w14:textId="77777777" w:rsidR="001969B5" w:rsidRDefault="001969B5" w:rsidP="001969B5">
      <w:pPr>
        <w:spacing w:line="360" w:lineRule="auto"/>
        <w:contextualSpacing/>
      </w:pPr>
    </w:p>
    <w:p w14:paraId="1B32003F" w14:textId="77777777" w:rsidR="001969B5" w:rsidRPr="00F161C9" w:rsidRDefault="001969B5" w:rsidP="001969B5">
      <w:pPr>
        <w:spacing w:line="360" w:lineRule="auto"/>
        <w:contextualSpacing/>
      </w:pPr>
    </w:p>
    <w:p w14:paraId="68402A94" w14:textId="77777777" w:rsidR="001969B5" w:rsidRDefault="001969B5" w:rsidP="001969B5">
      <w:pPr>
        <w:spacing w:line="360" w:lineRule="auto"/>
        <w:contextualSpacing/>
      </w:pPr>
    </w:p>
    <w:p w14:paraId="00AE6ABA" w14:textId="77777777" w:rsidR="001969B5" w:rsidRDefault="001969B5" w:rsidP="001969B5">
      <w:pPr>
        <w:spacing w:line="360" w:lineRule="auto"/>
        <w:contextualSpacing/>
      </w:pPr>
    </w:p>
    <w:p w14:paraId="5AD03B38" w14:textId="77777777" w:rsidR="00CE7148" w:rsidRDefault="00CE7148"/>
    <w:sectPr w:rsidR="00CE7148" w:rsidSect="000F0494">
      <w:headerReference w:type="even" r:id="rId7"/>
      <w:headerReference w:type="default" r:id="rId8"/>
      <w:footerReference w:type="default" r:id="rId9"/>
      <w:headerReference w:type="first" r:id="rId10"/>
      <w:pgSz w:w="12240" w:h="15840"/>
      <w:pgMar w:top="819" w:right="1701" w:bottom="1417" w:left="1701" w:header="142"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F21DC" w14:textId="77777777" w:rsidR="0090254F" w:rsidRDefault="0090254F" w:rsidP="001969B5">
      <w:pPr>
        <w:spacing w:after="0" w:line="240" w:lineRule="auto"/>
      </w:pPr>
      <w:r>
        <w:separator/>
      </w:r>
    </w:p>
  </w:endnote>
  <w:endnote w:type="continuationSeparator" w:id="0">
    <w:p w14:paraId="69E43670" w14:textId="77777777" w:rsidR="0090254F" w:rsidRDefault="0090254F" w:rsidP="00196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58720" w14:textId="77777777" w:rsidR="001969B5" w:rsidRDefault="001969B5">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F0494">
      <w:rPr>
        <w:b/>
        <w:noProof/>
        <w:color w:val="000000"/>
        <w:sz w:val="24"/>
        <w:szCs w:val="24"/>
      </w:rPr>
      <w:t>13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F0494">
      <w:rPr>
        <w:b/>
        <w:noProof/>
        <w:color w:val="000000"/>
        <w:sz w:val="24"/>
        <w:szCs w:val="24"/>
      </w:rPr>
      <w:t>13</w:t>
    </w:r>
    <w:r>
      <w:rPr>
        <w:b/>
        <w:color w:val="000000"/>
        <w:sz w:val="24"/>
        <w:szCs w:val="24"/>
      </w:rPr>
      <w:fldChar w:fldCharType="end"/>
    </w:r>
  </w:p>
  <w:p w14:paraId="3FDD9D95" w14:textId="77777777" w:rsidR="001969B5" w:rsidRDefault="001969B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DF21F" w14:textId="77777777" w:rsidR="0090254F" w:rsidRDefault="0090254F" w:rsidP="001969B5">
      <w:pPr>
        <w:spacing w:after="0" w:line="240" w:lineRule="auto"/>
      </w:pPr>
      <w:r>
        <w:separator/>
      </w:r>
    </w:p>
  </w:footnote>
  <w:footnote w:type="continuationSeparator" w:id="0">
    <w:p w14:paraId="6F3DF419" w14:textId="77777777" w:rsidR="0090254F" w:rsidRDefault="0090254F" w:rsidP="00196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7688D" w14:textId="77777777" w:rsidR="001969B5" w:rsidRDefault="0090254F">
    <w:pPr>
      <w:pBdr>
        <w:top w:val="nil"/>
        <w:left w:val="nil"/>
        <w:bottom w:val="nil"/>
        <w:right w:val="nil"/>
        <w:between w:val="nil"/>
      </w:pBdr>
      <w:tabs>
        <w:tab w:val="center" w:pos="4252"/>
        <w:tab w:val="right" w:pos="8504"/>
      </w:tabs>
      <w:spacing w:after="0" w:line="240" w:lineRule="auto"/>
      <w:rPr>
        <w:color w:val="000000"/>
      </w:rPr>
    </w:pPr>
    <w:r>
      <w:rPr>
        <w:color w:val="000000"/>
      </w:rPr>
      <w:pict w14:anchorId="3E411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1.8pt;height:81.25pt;rotation:315;z-index:-25165721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CDBAE" w14:textId="77777777" w:rsidR="001969B5" w:rsidRDefault="001969B5">
    <w:pPr>
      <w:widowControl w:val="0"/>
      <w:pBdr>
        <w:top w:val="nil"/>
        <w:left w:val="nil"/>
        <w:bottom w:val="nil"/>
        <w:right w:val="nil"/>
        <w:between w:val="nil"/>
      </w:pBdr>
      <w:spacing w:after="0" w:line="276" w:lineRule="auto"/>
      <w:rPr>
        <w:rFonts w:ascii="Palatino Linotype" w:eastAsia="Palatino Linotype" w:hAnsi="Palatino Linotype" w:cs="Palatino Linotype"/>
      </w:rPr>
    </w:pPr>
  </w:p>
  <w:tbl>
    <w:tblPr>
      <w:tblW w:w="8931" w:type="dxa"/>
      <w:tblBorders>
        <w:top w:val="nil"/>
        <w:left w:val="nil"/>
        <w:bottom w:val="nil"/>
        <w:right w:val="nil"/>
        <w:insideH w:val="nil"/>
        <w:insideV w:val="nil"/>
      </w:tblBorders>
      <w:tblLayout w:type="fixed"/>
      <w:tblLook w:val="0400" w:firstRow="0" w:lastRow="0" w:firstColumn="0" w:lastColumn="0" w:noHBand="0" w:noVBand="1"/>
    </w:tblPr>
    <w:tblGrid>
      <w:gridCol w:w="3119"/>
      <w:gridCol w:w="5812"/>
    </w:tblGrid>
    <w:tr w:rsidR="009D5A54" w14:paraId="2A44D9B5" w14:textId="77777777" w:rsidTr="001969B5">
      <w:trPr>
        <w:trHeight w:val="2219"/>
      </w:trPr>
      <w:tc>
        <w:tcPr>
          <w:tcW w:w="3119" w:type="dxa"/>
          <w:vAlign w:val="bottom"/>
        </w:tcPr>
        <w:p w14:paraId="60A45396" w14:textId="77777777" w:rsidR="001969B5" w:rsidRDefault="001969B5">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14:anchorId="625D3FDD" wp14:editId="2E67DAC0">
                <wp:extent cx="1873633" cy="112654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14:paraId="1B27963C" w14:textId="77777777" w:rsidR="001969B5" w:rsidRDefault="001969B5">
          <w:pPr>
            <w:pBdr>
              <w:top w:val="nil"/>
              <w:left w:val="nil"/>
              <w:bottom w:val="nil"/>
              <w:right w:val="nil"/>
              <w:between w:val="nil"/>
            </w:pBdr>
            <w:tabs>
              <w:tab w:val="center" w:pos="4252"/>
              <w:tab w:val="right" w:pos="8504"/>
              <w:tab w:val="center" w:pos="2614"/>
            </w:tabs>
            <w:ind w:left="-255"/>
            <w:rPr>
              <w:color w:val="000000"/>
            </w:rPr>
          </w:pPr>
        </w:p>
      </w:tc>
      <w:tc>
        <w:tcPr>
          <w:tcW w:w="5812" w:type="dxa"/>
          <w:vAlign w:val="center"/>
        </w:tcPr>
        <w:p w14:paraId="58BB2F1F" w14:textId="77777777" w:rsidR="001969B5" w:rsidRDefault="001969B5" w:rsidP="003C3545">
          <w:pPr>
            <w:pBdr>
              <w:top w:val="nil"/>
              <w:left w:val="nil"/>
              <w:bottom w:val="nil"/>
              <w:right w:val="nil"/>
              <w:between w:val="nil"/>
            </w:pBdr>
            <w:tabs>
              <w:tab w:val="center" w:pos="4252"/>
              <w:tab w:val="right" w:pos="8504"/>
            </w:tabs>
            <w:spacing w:line="240" w:lineRule="auto"/>
            <w:ind w:right="-250"/>
            <w:jc w:val="both"/>
            <w:rPr>
              <w:rFonts w:ascii="Palatino Linotype" w:eastAsia="Palatino Linotype" w:hAnsi="Palatino Linotype" w:cs="Palatino Linotype"/>
              <w:color w:val="000000"/>
            </w:rPr>
          </w:pPr>
        </w:p>
        <w:p w14:paraId="200BA25D" w14:textId="77777777" w:rsidR="001969B5" w:rsidRDefault="001969B5" w:rsidP="00F161C9">
          <w:pPr>
            <w:pBdr>
              <w:top w:val="nil"/>
              <w:left w:val="nil"/>
              <w:bottom w:val="nil"/>
              <w:right w:val="nil"/>
              <w:between w:val="nil"/>
            </w:pBdr>
            <w:tabs>
              <w:tab w:val="center" w:pos="4252"/>
              <w:tab w:val="right" w:pos="8504"/>
            </w:tabs>
            <w:spacing w:line="240" w:lineRule="auto"/>
            <w:ind w:left="-108" w:right="-250"/>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14:paraId="7960850D" w14:textId="2F3AF659" w:rsidR="001969B5" w:rsidRDefault="001969B5" w:rsidP="00F161C9">
          <w:pPr>
            <w:pBdr>
              <w:top w:val="nil"/>
              <w:left w:val="nil"/>
              <w:bottom w:val="nil"/>
              <w:right w:val="nil"/>
              <w:between w:val="nil"/>
            </w:pBdr>
            <w:tabs>
              <w:tab w:val="center" w:pos="4252"/>
              <w:tab w:val="right" w:pos="8504"/>
            </w:tabs>
            <w:spacing w:line="240" w:lineRule="auto"/>
            <w:ind w:left="-108" w:right="-250"/>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bCs/>
              <w:color w:val="000000"/>
            </w:rPr>
            <w:t>03427</w:t>
          </w:r>
          <w:r w:rsidRPr="005D1780">
            <w:rPr>
              <w:rFonts w:ascii="Palatino Linotype" w:eastAsia="Palatino Linotype" w:hAnsi="Palatino Linotype" w:cs="Palatino Linotype"/>
              <w:bCs/>
              <w:color w:val="000000"/>
            </w:rPr>
            <w:t>/INFOEM</w:t>
          </w:r>
          <w:r>
            <w:rPr>
              <w:rFonts w:ascii="Palatino Linotype" w:eastAsia="Palatino Linotype" w:hAnsi="Palatino Linotype" w:cs="Palatino Linotype"/>
              <w:color w:val="000000"/>
            </w:rPr>
            <w:t>/IP/RR/2023</w:t>
          </w:r>
        </w:p>
        <w:p w14:paraId="06DD3791" w14:textId="1BFEDD9F" w:rsidR="001969B5" w:rsidRDefault="001969B5" w:rsidP="00F161C9">
          <w:pPr>
            <w:pBdr>
              <w:top w:val="nil"/>
              <w:left w:val="nil"/>
              <w:bottom w:val="nil"/>
              <w:right w:val="nil"/>
              <w:between w:val="nil"/>
            </w:pBdr>
            <w:tabs>
              <w:tab w:val="center" w:pos="4252"/>
              <w:tab w:val="right" w:pos="8504"/>
            </w:tabs>
            <w:spacing w:line="240" w:lineRule="auto"/>
            <w:ind w:left="-108" w:right="-102"/>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Ayuntamiento de Lerma</w:t>
          </w:r>
        </w:p>
        <w:p w14:paraId="6FA96241" w14:textId="561B8352" w:rsidR="001969B5" w:rsidRDefault="001969B5" w:rsidP="00F161C9">
          <w:pPr>
            <w:pBdr>
              <w:top w:val="nil"/>
              <w:left w:val="nil"/>
              <w:bottom w:val="nil"/>
              <w:right w:val="nil"/>
              <w:between w:val="nil"/>
            </w:pBdr>
            <w:tabs>
              <w:tab w:val="center" w:pos="4252"/>
              <w:tab w:val="right" w:pos="8504"/>
            </w:tabs>
            <w:spacing w:line="240" w:lineRule="auto"/>
            <w:ind w:left="-108" w:right="-1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Pr>
              <w:rFonts w:ascii="Palatino Linotype" w:eastAsia="Palatino Linotype" w:hAnsi="Palatino Linotype" w:cs="Palatino Linotype"/>
              <w:color w:val="000000"/>
            </w:rPr>
            <w:t xml:space="preserve">Sharon Cristina Morales Martínez </w:t>
          </w:r>
        </w:p>
        <w:p w14:paraId="502B5ABD" w14:textId="77777777" w:rsidR="001969B5" w:rsidRPr="000F0494" w:rsidRDefault="001969B5" w:rsidP="00F161C9">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sz w:val="2"/>
              <w:szCs w:val="2"/>
            </w:rPr>
          </w:pPr>
        </w:p>
      </w:tc>
    </w:tr>
  </w:tbl>
  <w:p w14:paraId="2E60AE73" w14:textId="77777777" w:rsidR="001969B5" w:rsidRDefault="0090254F">
    <w:pPr>
      <w:pBdr>
        <w:top w:val="nil"/>
        <w:left w:val="nil"/>
        <w:bottom w:val="nil"/>
        <w:right w:val="nil"/>
        <w:between w:val="nil"/>
      </w:pBdr>
      <w:tabs>
        <w:tab w:val="center" w:pos="4252"/>
        <w:tab w:val="right" w:pos="8504"/>
      </w:tabs>
      <w:spacing w:after="0" w:line="240" w:lineRule="auto"/>
      <w:rPr>
        <w:color w:val="000000"/>
        <w:sz w:val="2"/>
        <w:szCs w:val="2"/>
      </w:rPr>
    </w:pPr>
    <w:r>
      <w:rPr>
        <w:color w:val="000000"/>
      </w:rPr>
      <w:pict w14:anchorId="623B9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41.8pt;height:81.25pt;rotation:315;z-index:-25165619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4B8DD" w14:textId="77777777" w:rsidR="001969B5" w:rsidRDefault="0090254F">
    <w:pPr>
      <w:pBdr>
        <w:top w:val="nil"/>
        <w:left w:val="nil"/>
        <w:bottom w:val="nil"/>
        <w:right w:val="nil"/>
        <w:between w:val="nil"/>
      </w:pBdr>
      <w:tabs>
        <w:tab w:val="center" w:pos="4252"/>
        <w:tab w:val="right" w:pos="8504"/>
      </w:tabs>
      <w:spacing w:after="0" w:line="240" w:lineRule="auto"/>
      <w:rPr>
        <w:color w:val="000000"/>
      </w:rPr>
    </w:pPr>
    <w:r>
      <w:rPr>
        <w:color w:val="000000"/>
      </w:rPr>
      <w:pict w14:anchorId="23994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541.8pt;height:81.25pt;rotation:315;z-index:-25165516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B5"/>
    <w:rsid w:val="000F0494"/>
    <w:rsid w:val="001969B5"/>
    <w:rsid w:val="00264675"/>
    <w:rsid w:val="0090254F"/>
    <w:rsid w:val="00CE71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87BB2"/>
  <w15:chartTrackingRefBased/>
  <w15:docId w15:val="{B0FD66BC-F109-4FD3-9AF6-8C48CE77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9B5"/>
    <w:rPr>
      <w:rFonts w:ascii="Calibri" w:eastAsia="Calibri" w:hAnsi="Calibri" w:cs="Calibri"/>
      <w:kern w:val="0"/>
      <w:lang w:val="es-ES"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969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9B5"/>
    <w:rPr>
      <w:rFonts w:ascii="Calibri" w:eastAsia="Calibri" w:hAnsi="Calibri" w:cs="Calibri"/>
      <w:kern w:val="0"/>
      <w:lang w:val="es-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3376</Words>
  <Characters>18571</Characters>
  <Application>Microsoft Office Word</Application>
  <DocSecurity>0</DocSecurity>
  <Lines>154</Lines>
  <Paragraphs>43</Paragraphs>
  <ScaleCrop>false</ScaleCrop>
  <Company/>
  <LinksUpToDate>false</LinksUpToDate>
  <CharactersWithSpaces>21904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2</cp:revision>
  <dcterms:created xsi:type="dcterms:W3CDTF">2023-08-11T02:08:00Z</dcterms:created>
  <dcterms:modified xsi:type="dcterms:W3CDTF">2023-08-11T21:11:00Z</dcterms:modified>
</cp:coreProperties>
</file>