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right="139"/>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TRIGÉSIMA TERCERA SESIÓN ORDINARIA DEL TRECE DE SEPTIEMBRE DE DOS MIL VEINTITRÉS, EN EL RECURSO DE REVISIÓN 02710/INFOEM/IP/RR/2023. </w:t>
      </w:r>
    </w:p>
    <w:p w:rsidR="00000000" w:rsidDel="00000000" w:rsidP="00000000" w:rsidRDefault="00000000" w:rsidRPr="00000000" w14:paraId="00000002">
      <w:pPr>
        <w:spacing w:after="240" w:before="240" w:line="360" w:lineRule="auto"/>
        <w:ind w:right="139"/>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El pleno del Instituto de Transparencia, Acceso a la Información Pública y Protección de Datos Personales del Estado de México y Municipios, aprobó por mayoría de votos, la resolución relativa al recurso de revisión </w:t>
      </w:r>
      <w:r w:rsidDel="00000000" w:rsidR="00000000" w:rsidRPr="00000000">
        <w:rPr>
          <w:rFonts w:ascii="Palatino Linotype" w:cs="Palatino Linotype" w:eastAsia="Palatino Linotype" w:hAnsi="Palatino Linotype"/>
          <w:b w:val="1"/>
          <w:sz w:val="24"/>
          <w:szCs w:val="24"/>
          <w:rtl w:val="0"/>
        </w:rPr>
        <w:t xml:space="preserve">02710/INFOEM/IP/RR/2023</w:t>
      </w:r>
      <w:r w:rsidDel="00000000" w:rsidR="00000000" w:rsidRPr="00000000">
        <w:rPr>
          <w:rFonts w:ascii="Palatino Linotype" w:cs="Palatino Linotype" w:eastAsia="Palatino Linotype" w:hAnsi="Palatino Linotype"/>
          <w:sz w:val="24"/>
          <w:szCs w:val="24"/>
          <w:rtl w:val="0"/>
        </w:rPr>
        <w:t xml:space="preserve">, presentada por el Comisionado </w:t>
      </w:r>
      <w:r w:rsidDel="00000000" w:rsidR="00000000" w:rsidRPr="00000000">
        <w:rPr>
          <w:rFonts w:ascii="Palatino Linotype" w:cs="Palatino Linotype" w:eastAsia="Palatino Linotype" w:hAnsi="Palatino Linotype"/>
          <w:b w:val="1"/>
          <w:sz w:val="24"/>
          <w:szCs w:val="24"/>
          <w:rtl w:val="0"/>
        </w:rPr>
        <w:t xml:space="preserve">José Martínez Vilchis</w:t>
      </w:r>
      <w:r w:rsidDel="00000000" w:rsidR="00000000" w:rsidRPr="00000000">
        <w:rPr>
          <w:rFonts w:ascii="Palatino Linotype" w:cs="Palatino Linotype" w:eastAsia="Palatino Linotype" w:hAnsi="Palatino Linotype"/>
          <w:sz w:val="24"/>
          <w:szCs w:val="24"/>
          <w:rtl w:val="0"/>
        </w:rPr>
        <w:t xml:space="preserve">, respecto de la cual, la suscrita fórmula </w:t>
      </w:r>
      <w:r w:rsidDel="00000000" w:rsidR="00000000" w:rsidRPr="00000000">
        <w:rPr>
          <w:rFonts w:ascii="Palatino Linotype" w:cs="Palatino Linotype" w:eastAsia="Palatino Linotype" w:hAnsi="Palatino Linotype"/>
          <w:b w:val="1"/>
          <w:sz w:val="24"/>
          <w:szCs w:val="24"/>
          <w:rtl w:val="0"/>
        </w:rPr>
        <w:t xml:space="preserve">VOTO PARTICULAR</w:t>
      </w:r>
      <w:r w:rsidDel="00000000" w:rsidR="00000000" w:rsidRPr="00000000">
        <w:rPr>
          <w:rFonts w:ascii="Palatino Linotype" w:cs="Palatino Linotype" w:eastAsia="Palatino Linotype" w:hAnsi="Palatino Linotype"/>
          <w:sz w:val="24"/>
          <w:szCs w:val="24"/>
          <w:rtl w:val="0"/>
        </w:rPr>
        <w:t xml:space="preserve">, con fundamento en el artículo 14 fracción XI del Reglamento Interior del Instituto de Transparencia, Acceso a la Información Pública y Protección de Datos Personales del Estado de México y Municipios.</w:t>
      </w:r>
      <w:r w:rsidDel="00000000" w:rsidR="00000000" w:rsidRPr="00000000">
        <w:rPr>
          <w:rtl w:val="0"/>
        </w:rPr>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rtl w:val="0"/>
        </w:rPr>
        <w:t xml:space="preserve">A través de la solicitud de acceso a la información que nos ocupa, la parte Recurrente requirió lo siguiente:</w:t>
      </w:r>
      <w:r w:rsidDel="00000000" w:rsidR="00000000" w:rsidRPr="00000000">
        <w:rPr>
          <w:rtl w:val="0"/>
        </w:rPr>
      </w:r>
    </w:p>
    <w:p w:rsidR="00000000" w:rsidDel="00000000" w:rsidP="00000000" w:rsidRDefault="00000000" w:rsidRPr="00000000" w14:paraId="00000004">
      <w:pPr>
        <w:spacing w:after="120" w:before="120" w:line="240" w:lineRule="auto"/>
        <w:ind w:left="851" w:right="99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“Solicito el contenido del informe mensual de mes de enero del año 2014, del Municipio de Atizapan de Zaragoza”</w:t>
      </w:r>
      <w:r w:rsidDel="00000000" w:rsidR="00000000" w:rsidRPr="00000000">
        <w:rPr>
          <w:rtl w:val="0"/>
        </w:rPr>
      </w:r>
    </w:p>
    <w:p w:rsidR="00000000" w:rsidDel="00000000" w:rsidP="00000000" w:rsidRDefault="00000000" w:rsidRPr="00000000" w14:paraId="00000005">
      <w:pPr>
        <w:spacing w:after="240" w:before="240" w:line="360" w:lineRule="auto"/>
        <w:ind w:right="142"/>
        <w:jc w:val="both"/>
        <w:rPr>
          <w:rFonts w:ascii="Palatino Linotype" w:cs="Palatino Linotype" w:eastAsia="Palatino Linotype" w:hAnsi="Palatino Linotype"/>
          <w:b w:val="1"/>
          <w:color w:val="000000"/>
          <w:sz w:val="24"/>
          <w:szCs w:val="24"/>
          <w:u w:val="single"/>
        </w:rPr>
      </w:pPr>
      <w:r w:rsidDel="00000000" w:rsidR="00000000" w:rsidRPr="00000000">
        <w:rPr>
          <w:rFonts w:ascii="Palatino Linotype" w:cs="Palatino Linotype" w:eastAsia="Palatino Linotype" w:hAnsi="Palatino Linotype"/>
          <w:sz w:val="24"/>
          <w:szCs w:val="24"/>
          <w:rtl w:val="0"/>
        </w:rPr>
        <w:t xml:space="preserve">En respuesta,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a través de la </w:t>
      </w:r>
      <w:r w:rsidDel="00000000" w:rsidR="00000000" w:rsidRPr="00000000">
        <w:rPr>
          <w:rFonts w:ascii="Palatino Linotype" w:cs="Palatino Linotype" w:eastAsia="Palatino Linotype" w:hAnsi="Palatino Linotype"/>
          <w:color w:val="000000"/>
          <w:sz w:val="24"/>
          <w:szCs w:val="24"/>
          <w:rtl w:val="0"/>
        </w:rPr>
        <w:t xml:space="preserve">Dirección Jurídica del Órgano Superior de Fiscalización del Estado de México, señaló, en términos de los artículos 18, 19, 23, párrafo segundo y 92, fracción XXV de la Ley de Transparencia y Acceso a la Información Pública del Estado de México y Municipios que, el Ayuntamiento de Atizapán de Zaragoza genera, posee y administra la información que requiere la persona solicitante, por lo que resulta ser el Sujeto Obligado idóneo para permitir el acceso a esa información pública, y sugiere formular la solicitud ante ese municipio, asimismo</w:t>
      </w:r>
      <w:r w:rsidDel="00000000" w:rsidR="00000000" w:rsidRPr="00000000">
        <w:rPr>
          <w:rFonts w:ascii="Palatino Linotype" w:cs="Palatino Linotype" w:eastAsia="Palatino Linotype" w:hAnsi="Palatino Linotype"/>
          <w:b w:val="1"/>
          <w:color w:val="000000"/>
          <w:sz w:val="24"/>
          <w:szCs w:val="24"/>
          <w:rtl w:val="0"/>
        </w:rPr>
        <w:t xml:space="preserve">, </w:t>
      </w:r>
      <w:r w:rsidDel="00000000" w:rsidR="00000000" w:rsidRPr="00000000">
        <w:rPr>
          <w:rFonts w:ascii="Palatino Linotype" w:cs="Palatino Linotype" w:eastAsia="Palatino Linotype" w:hAnsi="Palatino Linotype"/>
          <w:b w:val="1"/>
          <w:color w:val="000000"/>
          <w:sz w:val="24"/>
          <w:szCs w:val="24"/>
          <w:u w:val="single"/>
          <w:rtl w:val="0"/>
        </w:rPr>
        <w:t xml:space="preserve">no omite mencionar que de conformidad con lo establecido en el artículo 42 de la Ley de Fiscalización Superior del Estado de México, la información que proporcionen las entidades fiscalizables como lo es el Ayuntamiento de Atizapán de Zaragoza al OSFEM, sólo será utilizada para el cumplimiento de las disposiciones previstas en la Ley de Fiscalización Superior, es decir, para la fiscalización, revisión, evaluación y auditorías de sus estados financieros y cuenta pública municipal.</w:t>
      </w:r>
    </w:p>
    <w:p w:rsidR="00000000" w:rsidDel="00000000" w:rsidP="00000000" w:rsidRDefault="00000000" w:rsidRPr="00000000" w14:paraId="00000006">
      <w:pPr>
        <w:spacing w:after="0" w:line="360" w:lineRule="auto"/>
        <w:ind w:right="13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Al no estar conforme con los términos de la respuesta emitida, la persona solicitante presentó el recurso de revisión que se resolvió, donde señaló como motivo de inconformidad:</w:t>
      </w:r>
    </w:p>
    <w:p w:rsidR="00000000" w:rsidDel="00000000" w:rsidP="00000000" w:rsidRDefault="00000000" w:rsidRPr="00000000" w14:paraId="00000007">
      <w:pPr>
        <w:spacing w:after="120" w:before="120" w:line="240" w:lineRule="auto"/>
        <w:ind w:left="851" w:right="99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“El municipio entrega la información a el órgano superior de fiscalización del Estado de México, razon por la cual la tiene, aparte que la fiscalización para ese año ha concluido” (sic)</w:t>
      </w:r>
    </w:p>
    <w:p w:rsidR="00000000" w:rsidDel="00000000" w:rsidP="00000000" w:rsidRDefault="00000000" w:rsidRPr="00000000" w14:paraId="00000008">
      <w:pPr>
        <w:spacing w:after="240" w:before="240" w:line="360" w:lineRule="auto"/>
        <w:ind w:right="142"/>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Derivado del análisis efectuado, la Ponencia que resolvió determinó confirmar respuesta emitida por el </w:t>
      </w:r>
      <w:r w:rsidDel="00000000" w:rsidR="00000000" w:rsidRPr="00000000">
        <w:rPr>
          <w:rFonts w:ascii="Palatino Linotype" w:cs="Palatino Linotype" w:eastAsia="Palatino Linotype" w:hAnsi="Palatino Linotype"/>
          <w:b w:val="1"/>
          <w:sz w:val="24"/>
          <w:szCs w:val="24"/>
          <w:rtl w:val="0"/>
        </w:rPr>
        <w:t xml:space="preserve">Sujeto Obligado.</w:t>
      </w:r>
    </w:p>
    <w:p w:rsidR="00000000" w:rsidDel="00000000" w:rsidP="00000000" w:rsidRDefault="00000000" w:rsidRPr="00000000" w14:paraId="00000009">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tenor, si bien el Órgano Superior de Fiscalización del Estado de México señala en su respuesta que no es competente para proporcionar la información, también lo es que, reconoce que </w:t>
      </w:r>
      <w:r w:rsidDel="00000000" w:rsidR="00000000" w:rsidRPr="00000000">
        <w:rPr>
          <w:rFonts w:ascii="Palatino Linotype" w:cs="Palatino Linotype" w:eastAsia="Palatino Linotype" w:hAnsi="Palatino Linotype"/>
          <w:b w:val="1"/>
          <w:sz w:val="24"/>
          <w:szCs w:val="24"/>
          <w:rtl w:val="0"/>
        </w:rPr>
        <w:t xml:space="preserve">se encuentra legalmente impedido para proporcionar cualquier tipo de información que sea entregada por los entes fiscalizable</w:t>
      </w:r>
      <w:r w:rsidDel="00000000" w:rsidR="00000000" w:rsidRPr="00000000">
        <w:rPr>
          <w:rFonts w:ascii="Palatino Linotype" w:cs="Palatino Linotype" w:eastAsia="Palatino Linotype" w:hAnsi="Palatino Linotype"/>
          <w:sz w:val="24"/>
          <w:szCs w:val="24"/>
          <w:rtl w:val="0"/>
        </w:rPr>
        <w:t xml:space="preserve">s, sin embargo, no debe perderse de vista que en términos de lo dispuesto por los artículos 12 y 24 de la Ley de Transparencia estatal  los Sujetos Obligados deberán proporcionar la información que generen, posean o administren en el ejercicio de sus atribuciones, por lo que se estima que se debió analizar si la circunstancia señalada por el Sujeto Obligado actualiza alguna causal de clasificación para ordenar que se hiciera con las formalidades establecidas por la Ley y ordenar en su caso el acuerdo de reserva respectivo, conforme a los términos siguientes:</w:t>
      </w:r>
    </w:p>
    <w:p w:rsidR="00000000" w:rsidDel="00000000" w:rsidP="00000000" w:rsidRDefault="00000000" w:rsidRPr="00000000" w14:paraId="0000000A">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Ley de Transparencia y Acceso a la Información Pública del Estado de México y Municipios, define como </w:t>
      </w:r>
      <w:r w:rsidDel="00000000" w:rsidR="00000000" w:rsidRPr="00000000">
        <w:rPr>
          <w:rFonts w:ascii="Palatino Linotype" w:cs="Palatino Linotype" w:eastAsia="Palatino Linotype" w:hAnsi="Palatino Linotype"/>
          <w:b w:val="1"/>
          <w:sz w:val="24"/>
          <w:szCs w:val="24"/>
          <w:rtl w:val="0"/>
        </w:rPr>
        <w:t xml:space="preserve">información reservada a la información pública clasificada con este carácter de manera temporal por las disposiciones de la Ley de la Materia, cuya divulgación puede causar daños a las </w:t>
      </w:r>
      <w:r w:rsidDel="00000000" w:rsidR="00000000" w:rsidRPr="00000000">
        <w:rPr>
          <w:rFonts w:ascii="Palatino Linotype" w:cs="Palatino Linotype" w:eastAsia="Palatino Linotype" w:hAnsi="Palatino Linotype"/>
          <w:sz w:val="24"/>
          <w:szCs w:val="24"/>
          <w:rtl w:val="0"/>
        </w:rPr>
        <w:t xml:space="preserve"> seguridad pública, y como información confidencial, los secretos bancario, fiduciario, industrial, comercial, fiscal, bursátil y postal, cuya titularidad corresponda a particulares, sujetos de derecho internacional o sujetos obligados cuando no involucren el ejercicio de recursos públicos.</w:t>
      </w:r>
    </w:p>
    <w:p w:rsidR="00000000" w:rsidDel="00000000" w:rsidP="00000000" w:rsidRDefault="00000000" w:rsidRPr="00000000" w14:paraId="0000000B">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misma norma referida, considera en su artículo 140 que el acceso a la información pública será restringido excepcionalmente por razones de interés público, cuando ésta sea clasificada </w:t>
      </w:r>
      <w:r w:rsidDel="00000000" w:rsidR="00000000" w:rsidRPr="00000000">
        <w:rPr>
          <w:rFonts w:ascii="Palatino Linotype" w:cs="Palatino Linotype" w:eastAsia="Palatino Linotype" w:hAnsi="Palatino Linotype"/>
          <w:b w:val="1"/>
          <w:sz w:val="24"/>
          <w:szCs w:val="24"/>
          <w:rtl w:val="0"/>
        </w:rPr>
        <w:t xml:space="preserve">como reservada porque se comprometa las actividades de fiscalización, verificación, inspección, comprobación y auditoría sobre el cumplimiento de las Leyes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relación con las implicaciones anteriores, cabe considerar que la </w:t>
      </w:r>
      <w:r w:rsidDel="00000000" w:rsidR="00000000" w:rsidRPr="00000000">
        <w:rPr>
          <w:rFonts w:ascii="Palatino Linotype" w:cs="Palatino Linotype" w:eastAsia="Palatino Linotype" w:hAnsi="Palatino Linotype"/>
          <w:i w:val="1"/>
          <w:sz w:val="24"/>
          <w:szCs w:val="24"/>
          <w:rtl w:val="0"/>
        </w:rPr>
        <w:t xml:space="preserve">clasificación</w:t>
      </w:r>
      <w:r w:rsidDel="00000000" w:rsidR="00000000" w:rsidRPr="00000000">
        <w:rPr>
          <w:rFonts w:ascii="Palatino Linotype" w:cs="Palatino Linotype" w:eastAsia="Palatino Linotype" w:hAnsi="Palatino Linotype"/>
          <w:sz w:val="24"/>
          <w:szCs w:val="24"/>
          <w:rtl w:val="0"/>
        </w:rPr>
        <w:t xml:space="preserve"> es el proceso mediante el cual los sujetos obligados determinan si respecto de la información que obra en su poder se actualiza alguno de los supuestos de reserva o confidencialidad, y para ello, los titulares de las áreas son los responsables de clasificar la información mediante el Comité de Transparencia por ser la autoridad máxima al interior de los sujetos obligados, siendo éste un Cuerpo Colegiado que se integra para resolver sobre la información que debe clasificarse, así como para atender y resolver los requerimientos de las Unidades de Transparencia y del Instituto.</w:t>
      </w:r>
    </w:p>
    <w:p w:rsidR="00000000" w:rsidDel="00000000" w:rsidP="00000000" w:rsidRDefault="00000000" w:rsidRPr="00000000" w14:paraId="0000000D">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la Ley de la Materia establece que la clasificación de la información como reservada permanecerá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de reserva hasta por un periodo de cinco años adicionales y por una sola vez, siempre y cuando justifiquen que subsistente las causas que dieron origen a su clasificación, mediante la aplicación de una prueba de daño, lo que implica que cada área deba elaborar un índice de los expedientes clasificados como reservados, el cual deberá elaborarse semestralmente y publicarse en formatos abiertos al día siguiente de su elaboración, en virtud de que tienen el carácter de información pública.</w:t>
      </w:r>
    </w:p>
    <w:p w:rsidR="00000000" w:rsidDel="00000000" w:rsidP="00000000" w:rsidRDefault="00000000" w:rsidRPr="00000000" w14:paraId="0000000E">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Ahora bien, para motivar la clasificación de la información o en su caso, la ampliación del plazo de reserva, se deberán señalar las razones, motivos o circunstancias especiales que llevaron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concluir que el caso particular se ajusta a los supuestos previstos en el artículo 140 de la Ley de Transparencia en la entidad, debiendo en todo momento aplicar la prueba de daño</w:t>
      </w:r>
      <w:r w:rsidDel="00000000" w:rsidR="00000000" w:rsidRPr="00000000">
        <w:rPr>
          <w:rFonts w:ascii="Palatino Linotype" w:cs="Palatino Linotype" w:eastAsia="Palatino Linotype" w:hAnsi="Palatino Linotype"/>
          <w:sz w:val="24"/>
          <w:szCs w:val="24"/>
          <w:vertAlign w:val="superscript"/>
        </w:rPr>
        <w:footnoteReference w:customMarkFollows="0" w:id="0"/>
      </w:r>
      <w:r w:rsidDel="00000000" w:rsidR="00000000" w:rsidRPr="00000000">
        <w:rPr>
          <w:rFonts w:ascii="Palatino Linotype" w:cs="Palatino Linotype" w:eastAsia="Palatino Linotype" w:hAnsi="Palatino Linotype"/>
          <w:sz w:val="24"/>
          <w:szCs w:val="24"/>
          <w:rtl w:val="0"/>
        </w:rPr>
        <w:t xml:space="preserve"> y hacer mención del plazo al que estará sujeto la reserva.</w:t>
      </w:r>
    </w:p>
    <w:p w:rsidR="00000000" w:rsidDel="00000000" w:rsidP="00000000" w:rsidRDefault="00000000" w:rsidRPr="00000000" w14:paraId="0000000F">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clasificación de la información se llevará a cabo en el momento que se reciba una solicitud de información, cuando se determine mediante resolución de autoridad competente o bien, en la generación de versiones públicas para dar cumplimiento a las obligaciones de transparencia previstas en la Ley. Cuando en un mismo medio, impreso o electrónico se contenga información pública y reservada o confidencial, la Unidad de Transparencia para efectos de atender la solicitud de información, deberá elaborar una versión pública en la que se testen las partes o secciones clasificadas, indicando su contenido de manera genérica y fundando y motivando su clasificación. </w:t>
      </w:r>
    </w:p>
    <w:p w:rsidR="00000000" w:rsidDel="00000000" w:rsidP="00000000" w:rsidRDefault="00000000" w:rsidRPr="00000000" w14:paraId="00000010">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rsidR="00000000" w:rsidDel="00000000" w:rsidP="00000000" w:rsidRDefault="00000000" w:rsidRPr="00000000" w14:paraId="00000011">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los casos en que la información solicitada por los particulares actualice algún supuesto de información reservada, les corresponde a los sujetos obligados la carga de la prueba para justificar la negativa de acceso a la información.</w:t>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sz w:val="24"/>
          <w:szCs w:val="24"/>
        </w:rPr>
      </w:pPr>
      <w:bookmarkStart w:colFirst="0" w:colLast="0" w:name="_heading=h.2et92p0" w:id="0"/>
      <w:bookmarkEnd w:id="0"/>
      <w:r w:rsidDel="00000000" w:rsidR="00000000" w:rsidRPr="00000000">
        <w:rPr>
          <w:rFonts w:ascii="Palatino Linotype" w:cs="Palatino Linotype" w:eastAsia="Palatino Linotype" w:hAnsi="Palatino Linotype"/>
          <w:sz w:val="24"/>
          <w:szCs w:val="24"/>
          <w:rtl w:val="0"/>
        </w:rPr>
        <w:t xml:space="preserve">Finalmente,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rsidR="00000000" w:rsidDel="00000000" w:rsidP="00000000" w:rsidRDefault="00000000" w:rsidRPr="00000000" w14:paraId="0000001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Acuerdo que deberá emitir el Comité de Transparencia en términos de las formalidades exigidas por con el artículo 113 de la Ley General de Transparencia y Acceso a la Información Pública, numeral trigésimo fracción I de los Lineamientos Generales en Materia de Clasificación y Desclasificación de la Información, así como para la Elaboración de Versiones Públicas, así como los artículos 91, 128, 129, 140, fracción I y 141, de la Ley de Transparencia y Acceso a la Información Pública del Estado de México y Municipios.</w:t>
      </w:r>
    </w:p>
    <w:p w:rsidR="00000000" w:rsidDel="00000000" w:rsidP="00000000" w:rsidRDefault="00000000" w:rsidRPr="00000000" w14:paraId="0000001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anteriormente expuesto considero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debió emitir el acuerdo de reserva respectivo, para tener por atendido el derecho de acceso a la información, consideraciones que constituyen las razones y fundamentos que me llevan a emitir el presente Voto particular.</w:t>
      </w:r>
    </w:p>
    <w:p w:rsidR="00000000" w:rsidDel="00000000" w:rsidP="00000000" w:rsidRDefault="00000000" w:rsidRPr="00000000" w14:paraId="00000015">
      <w:pPr>
        <w:spacing w:line="360" w:lineRule="auto"/>
        <w:ind w:right="-6"/>
        <w:jc w:val="both"/>
        <w:rPr>
          <w:rFonts w:ascii="Palatino Linotype" w:cs="Palatino Linotype" w:eastAsia="Palatino Linotype" w:hAnsi="Palatino Linotype"/>
          <w:sz w:val="24"/>
          <w:szCs w:val="24"/>
        </w:rPr>
        <w:sectPr>
          <w:headerReference r:id="rId8" w:type="default"/>
          <w:headerReference r:id="rId9" w:type="even"/>
          <w:footerReference r:id="rId10" w:type="default"/>
          <w:pgSz w:h="15840" w:w="12240" w:orient="portrait"/>
          <w:pgMar w:bottom="2836" w:top="1871" w:left="1985" w:right="1327" w:header="709" w:footer="586"/>
          <w:pgNumType w:start="1"/>
        </w:sectPr>
      </w:pPr>
      <w:r w:rsidDel="00000000" w:rsidR="00000000" w:rsidRPr="00000000">
        <w:rPr>
          <w:rtl w:val="0"/>
        </w:rPr>
      </w:r>
    </w:p>
    <w:p w:rsidR="00000000" w:rsidDel="00000000" w:rsidP="00000000" w:rsidRDefault="00000000" w:rsidRPr="00000000" w14:paraId="00000016">
      <w:pPr>
        <w:spacing w:after="240" w:before="240" w:line="360" w:lineRule="auto"/>
        <w:ind w:right="423"/>
        <w:jc w:val="both"/>
        <w:rPr>
          <w:rFonts w:ascii="Palatino Linotype" w:cs="Palatino Linotype" w:eastAsia="Palatino Linotype" w:hAnsi="Palatino Linotype"/>
          <w:sz w:val="24"/>
          <w:szCs w:val="24"/>
        </w:rPr>
      </w:pPr>
      <w:r w:rsidDel="00000000" w:rsidR="00000000" w:rsidRPr="00000000">
        <w:rPr>
          <w:rtl w:val="0"/>
        </w:rPr>
      </w:r>
    </w:p>
    <w:sectPr>
      <w:headerReference r:id="rId11"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129. En la aplicación de la prueba de daño, el sujeto obligado deberá precisar las razones objetivas por las que la apertura de la información generaría una afectación, justificando que: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 La divulgación de la información representa un riesgo real, demostrable e identificable del perjuicio significativo al interés público o a la seguridad pública;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El riesgo de perjuicio que supondría la divulgación supera el interés público general de que se difunda; y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III. La limitación se adecua al principio de proporcionalidad y representa el medio menos restrictivo disponible representa el medio menos restrictivo disponible para evitar el perjuicio. Ley de Transparencia y Acceso a la Información Pública del Estado de México y Municipios.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-1096619</wp:posOffset>
          </wp:positionH>
          <wp:positionV relativeFrom="paragraph">
            <wp:posOffset>-434352</wp:posOffset>
          </wp:positionV>
          <wp:extent cx="7521053" cy="9897494"/>
          <wp:effectExtent b="0" l="0" r="0" t="0"/>
          <wp:wrapNone/>
          <wp:docPr id="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21053" cy="9897494"/>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PARTICULAR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RECURSO DE REVISIÓN </w:t>
    </w:r>
    <w:r w:rsidDel="00000000" w:rsidR="00000000" w:rsidRPr="00000000">
      <w:rPr>
        <w:rFonts w:ascii="Palatino Linotype" w:cs="Palatino Linotype" w:eastAsia="Palatino Linotype" w:hAnsi="Palatino Linotype"/>
        <w:b w:val="1"/>
        <w:color w:val="000000"/>
        <w:rtl w:val="0"/>
      </w:rPr>
      <w:t xml:space="preserve">02710/INFOEM/IP/RR/2023</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3261110" cy="13261110"/>
              <wp:effectExtent b="0" l="0" r="0" t="0"/>
              <wp:wrapNone/>
              <wp:docPr id="27" name=""/>
              <a:graphic>
                <a:graphicData uri="http://schemas.microsoft.com/office/word/2010/wordprocessingShape">
                  <wps:wsp>
                    <wps:cNvSpPr/>
                    <wps:cNvPr id="2" name="Shape 2"/>
                    <wps:spPr>
                      <a:xfrm rot="-2700000">
                        <a:off x="2440875" y="3394238"/>
                        <a:ext cx="5810250" cy="7715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3261110" cy="13261110"/>
              <wp:effectExtent b="0" l="0" r="0" t="0"/>
              <wp:wrapNone/>
              <wp:docPr id="2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261110" cy="1326111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07BA"/>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3.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XfV3SQhdP/KA9Jy7Ahl/+iioNA==">CgMxLjAyCWguMmV0OTJwMDgAciExWERPRlZ6VWp0OUhXNGU1eFBObDQ1M1FhRWJjdE1pMl8=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2023-09-15T06:42:00Z</dcterms:created>
  <dc:creator>USUARIO</dc:creator>
</cp:coreProperties>
</file>