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F8B" w:rsidRPr="00715F8B" w:rsidRDefault="00715F8B" w:rsidP="00715F8B">
      <w:pPr>
        <w:spacing w:after="0" w:line="360" w:lineRule="auto"/>
        <w:jc w:val="both"/>
        <w:rPr>
          <w:rFonts w:ascii="Palatino Linotype" w:hAnsi="Palatino Linotype" w:cs="Tahoma"/>
          <w:b/>
        </w:rPr>
      </w:pPr>
      <w:r w:rsidRPr="00715F8B">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PÚBLICA Y PROTECCIÓN DE DATOS </w:t>
      </w:r>
      <w:r w:rsidR="004A7409" w:rsidRPr="00715F8B">
        <w:rPr>
          <w:rFonts w:ascii="Palatino Linotype" w:hAnsi="Palatino Linotype" w:cs="Tahoma"/>
          <w:b/>
        </w:rPr>
        <w:t xml:space="preserve">PERSONALES DEL ESTADO DE MÉXICO Y MUNICIPIOS AL RECURSO DE REVISIÓN </w:t>
      </w:r>
      <w:r w:rsidR="004A7409" w:rsidRPr="003A2D8F">
        <w:rPr>
          <w:rFonts w:ascii="Palatino Linotype" w:hAnsi="Palatino Linotype" w:cs="Tahoma"/>
          <w:b/>
        </w:rPr>
        <w:t>015030/INFOEM/IP/RR/2022</w:t>
      </w:r>
      <w:r w:rsidR="004A7409" w:rsidRPr="00715F8B">
        <w:rPr>
          <w:rFonts w:ascii="Palatino Linotype" w:hAnsi="Palatino Linotype" w:cs="Tahoma"/>
          <w:b/>
        </w:rPr>
        <w:t xml:space="preserve">, PROMOVIDO EN CONTRA DEL </w:t>
      </w:r>
      <w:r w:rsidR="004A7409" w:rsidRPr="003A2D8F">
        <w:rPr>
          <w:rFonts w:ascii="Palatino Linotype" w:hAnsi="Palatino Linotype" w:cs="Tahoma"/>
          <w:b/>
        </w:rPr>
        <w:t>AYUNTAMIENTO DE CHIMALHUACÁN</w:t>
      </w:r>
      <w:r w:rsidR="006942ED">
        <w:rPr>
          <w:rFonts w:ascii="Palatino Linotype" w:hAnsi="Palatino Linotype" w:cs="Tahoma"/>
          <w:b/>
        </w:rPr>
        <w:t>.</w:t>
      </w:r>
      <w:bookmarkStart w:id="0" w:name="_GoBack"/>
      <w:bookmarkEnd w:id="0"/>
    </w:p>
    <w:p w:rsidR="00715F8B" w:rsidRPr="00715F8B" w:rsidRDefault="00715F8B" w:rsidP="00715F8B">
      <w:pPr>
        <w:spacing w:after="0" w:line="360" w:lineRule="auto"/>
        <w:jc w:val="both"/>
        <w:rPr>
          <w:rFonts w:ascii="Palatino Linotype" w:hAnsi="Palatino Linotype" w:cs="Tahoma"/>
          <w:b/>
        </w:rPr>
      </w:pPr>
    </w:p>
    <w:p w:rsidR="00715F8B" w:rsidRPr="00715F8B" w:rsidRDefault="00715F8B" w:rsidP="00715F8B">
      <w:pPr>
        <w:spacing w:after="0" w:line="360" w:lineRule="auto"/>
        <w:jc w:val="both"/>
        <w:rPr>
          <w:rFonts w:ascii="Palatino Linotype" w:hAnsi="Palatino Linotype" w:cs="Tahoma"/>
          <w:b/>
        </w:rPr>
      </w:pPr>
      <w:r w:rsidRPr="00715F8B">
        <w:rPr>
          <w:rFonts w:ascii="Palatino Linotype" w:hAnsi="Palatino Linotype" w:cs="Tahoma"/>
          <w:b/>
        </w:rPr>
        <w:t>A.</w:t>
      </w:r>
      <w:r w:rsidRPr="00715F8B">
        <w:rPr>
          <w:rFonts w:ascii="Palatino Linotype" w:hAnsi="Palatino Linotype" w:cs="Tahoma"/>
          <w:b/>
        </w:rPr>
        <w:tab/>
        <w:t>Consideraciones Generales.</w:t>
      </w:r>
    </w:p>
    <w:p w:rsidR="00715F8B" w:rsidRPr="00715F8B" w:rsidRDefault="00715F8B" w:rsidP="00715F8B">
      <w:pPr>
        <w:spacing w:after="0" w:line="360" w:lineRule="auto"/>
        <w:jc w:val="both"/>
        <w:rPr>
          <w:rFonts w:ascii="Palatino Linotype" w:hAnsi="Palatino Linotype" w:cs="Tahoma"/>
          <w:b/>
        </w:rPr>
      </w:pPr>
    </w:p>
    <w:p w:rsidR="00A16235" w:rsidRDefault="00715F8B" w:rsidP="004A7409">
      <w:pPr>
        <w:spacing w:after="0" w:line="360" w:lineRule="auto"/>
        <w:jc w:val="both"/>
        <w:rPr>
          <w:rFonts w:ascii="Palatino Linotype" w:hAnsi="Palatino Linotype" w:cs="Arial"/>
          <w:b/>
          <w:bCs/>
          <w:sz w:val="24"/>
          <w:szCs w:val="24"/>
        </w:rPr>
      </w:pPr>
      <w:r w:rsidRPr="0041486C">
        <w:rPr>
          <w:sz w:val="24"/>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 que sustentan la Resolución del Recurso de Revisión </w:t>
      </w:r>
      <w:r w:rsidR="004A7409" w:rsidRPr="004A7409">
        <w:rPr>
          <w:rFonts w:eastAsia="Calibri" w:cs="Tahoma"/>
          <w:b/>
          <w:color w:val="0D0D0D"/>
        </w:rPr>
        <w:t>015030/INFOEM/IP/RR/2022</w:t>
      </w:r>
      <w:r w:rsidRPr="0041486C">
        <w:rPr>
          <w:sz w:val="24"/>
        </w:rPr>
        <w:t xml:space="preserve">, promovido en contra del </w:t>
      </w:r>
      <w:r w:rsidR="004A7409">
        <w:rPr>
          <w:rFonts w:ascii="Palatino Linotype" w:hAnsi="Palatino Linotype" w:cs="Arial"/>
          <w:b/>
          <w:bCs/>
          <w:sz w:val="24"/>
          <w:szCs w:val="24"/>
        </w:rPr>
        <w:t>Ayuntamiento de Chimalhuacán.</w:t>
      </w:r>
    </w:p>
    <w:p w:rsidR="004A7409" w:rsidRDefault="004A7409" w:rsidP="004A7409">
      <w:pPr>
        <w:spacing w:after="0" w:line="360" w:lineRule="auto"/>
        <w:jc w:val="both"/>
        <w:rPr>
          <w:rFonts w:eastAsia="Times New Roman" w:cs="Tahoma"/>
          <w:lang w:eastAsia="es-ES"/>
        </w:rPr>
      </w:pPr>
    </w:p>
    <w:p w:rsidR="00A16235" w:rsidRPr="00A16235" w:rsidRDefault="00A16235" w:rsidP="00A16235">
      <w:pPr>
        <w:spacing w:after="0" w:line="360" w:lineRule="auto"/>
        <w:rPr>
          <w:sz w:val="24"/>
        </w:rPr>
      </w:pPr>
      <w:r w:rsidRPr="00A16235">
        <w:rPr>
          <w:sz w:val="24"/>
        </w:rPr>
        <w:t xml:space="preserve">El Particular presentó una solicitud de acceso a la información pública, a través Sistema de Acceso a la Información Mexiquense (SAIMEX), ante el </w:t>
      </w:r>
      <w:r w:rsidR="004A7409">
        <w:rPr>
          <w:rFonts w:ascii="Palatino Linotype" w:hAnsi="Palatino Linotype" w:cs="Arial"/>
          <w:b/>
          <w:bCs/>
          <w:sz w:val="24"/>
          <w:szCs w:val="24"/>
        </w:rPr>
        <w:t>Ayuntamiento de Chimalhuacán</w:t>
      </w:r>
      <w:r w:rsidRPr="00A16235">
        <w:rPr>
          <w:sz w:val="24"/>
        </w:rPr>
        <w:t xml:space="preserve">, en los siguientes términos: </w:t>
      </w:r>
    </w:p>
    <w:p w:rsidR="00A16235" w:rsidRPr="00A16235" w:rsidRDefault="00A16235" w:rsidP="00A16235">
      <w:pPr>
        <w:spacing w:after="0" w:line="360" w:lineRule="auto"/>
        <w:rPr>
          <w:sz w:val="24"/>
        </w:rPr>
      </w:pPr>
    </w:p>
    <w:p w:rsidR="004A7409" w:rsidRPr="004A7409" w:rsidRDefault="004A7409" w:rsidP="004A7409">
      <w:pPr>
        <w:tabs>
          <w:tab w:val="left" w:pos="5647"/>
        </w:tabs>
        <w:spacing w:after="0" w:line="240" w:lineRule="auto"/>
        <w:ind w:left="567" w:right="567"/>
        <w:jc w:val="both"/>
        <w:rPr>
          <w:sz w:val="24"/>
        </w:rPr>
      </w:pPr>
      <w:r w:rsidRPr="004A7409">
        <w:rPr>
          <w:sz w:val="24"/>
        </w:rPr>
        <w:t xml:space="preserve">" 1.- QUE PROPORCIONE EL LISTADOS DE MERCADOS PÚBLICOS QUE PERTENECEN AL MUNICIPIO DE CHIMALHUACÁN. 2.- QUE INDIQUE SI EL MERCADO “UNIÓN DE COMERCIANTES DEL BORDO DE XOCHIACA”, UBICADO EN AV. BORDO DE XOCHIACA S/N Y CANAL DE LA COMPAÑÍA, COLONIA BENITO JUÁREZ, SE UBICA DENTRO DEL TERRITORIO DE CHIMALHUACÁN. 3.- QUE PROPORCIONE EL PADRÓN </w:t>
      </w:r>
      <w:r w:rsidRPr="004A7409">
        <w:rPr>
          <w:sz w:val="24"/>
        </w:rPr>
        <w:lastRenderedPageBreak/>
        <w:t>DE LOCATARIOS DEL MERCADO “UNIÓN DE COMERCIANTES DEL BORDO DE XOCHIACA”, UBICADO EN AV. BORDO DE XOCHIACA S/N Y CANAL DE LA COMPAÑÍA, COLONIA BENITO JUÁREZ, QUE TENGA DE LOS AÑOS 2015 A 2019. 4.- QUE INDIQUE SI LOS COMERCIANTES DEL MERCADO “UNIÓN DE COMERCIANTES DEL BORDO DE XOCHIACA”, UBICADO EN AV. BORDO DE XOCHIACA S/N Y CANAL DE LA COMPAÑÍA, COLONIA BENITO JUÁREZ, LES HA SIDO PROPORCIONADA CEDULA DE EMPADRONAMIENTO A QUE HACE REFERENCIA EL REGLAMENTO DE MERCADOS PÚBLICOS DE CHIMALHUACÁN. 5.- QUE INDIQUE SI HA COBRADO PAGO DE DERECHOS O LICENCIAS POR CONCEPTO DE CEDULA DE EMPADRONAMIENTO Y GIRO DE LOS AÑOS 2019, 2021 Y 2022, A LOS COMERCIANTES DEL MERCADO “UNIÓN DE COMERCIANTES DEL BORDO DE XOCHIACA”, UBICADO EN AV. BORDO DE XOCHIACA S/N Y CANAL DE LA COMPAÑÍA, COLONIA BENITO JUÁREZ. 6.- QUE PROPORCIONE EN COPIA CERTIFICADA EL TITULO DE PROPIEDAD O EL DOCUMENTO QUE ACREDITE LA PROPIEDAD DEL MERCADO DEL MERCADO “UNIÓN DE COMERCIANTES DEL BORDO DE XOCHIACA”, UBICADO EN AV. BORDO DE XOCHIACA S/N Y CANAL DE LA COMPAÑÍA, COLONIA BENITO JUÁREZ. 7.- QUE PROPORCIONE EL FOLIO REAL O ANTECEDENTES REGISTRALES ANTE EL INSTITUTO DE LA FUNCIÓN REGISTRAL DEL ESTADO DE MÉXICO (IFREM), DEL MERCADO “UNIÓN DE COMERCIANTES DEL BORDO DE XOCHIACA”, UBICADO EN AV. BORDO DE XOCHIACA S/N Y CANAL DE LA COMPAÑÍA, COLONIA BENITO JUÁREZ. 8.- QUE PROPORCIONE COPIA CERTIFICADA DEL ACTA DE ASAMBLEA QUE LLEVO A CABO EL DÍA 25 DE JULIO DEL AÑO 2022, LA C. SOFÍA REYES TORAL, COMO JEFA DEL DEPARTAMENTO DE MERCADOS DE CHIMALHUACÁN, EN LAS INSTALACIONES DEL MERCADO PUBLICO LOS COMERCIANTES DEL MERCADO “UNIÓN DE COMERCIANTES DEL BORDO DE XOCHIACA”, UBICADO EN AV. BORDO DE XOCHIACA S/N Y CANAL DE LA COMPAÑÍA, COLONIA BENITO JUÁREZ, (SE ADJUNTA CONVOCATORIA Y FOTOGRAFÍAS DEL HECHO). 9.- QUE PROPORCIONE LA GEOREFERENCIA DEL MERCADO “UNIÓN DE COMERCIANTES DEL BORDO DE XOCHIACA”, UBICADO EN AV. BORDO DE XOCHIACA S/N Y CANAL DE LA COMPAÑÍA, COLONIA BENITO JUÁREZ. 10.- QUE PROPORCIONE LAS MEDIDAS Y COLINDANCIAS DEL MERCADO “UNIÓN DE COMERCIANTES DEL BORDO DE XOCHIACA”, UBICADO EN AV. BORDO DE XOCHIACA S/N Y CANAL DE LA COMPAÑÍA, COLONIA BENITO JUÁREZ. 11.- QUE INDIQUE CUANTAS VISITAS DE PROTECCIÓN CIVIL, HA RECIBIDO EL MERCADO “UNIÓN DE COMERCIANTES DEL BORDO DE XOCHIACA”, UBICADO EN AV. BORDO DE XOCHIACA S/N Y CANAL DE LA COMPAÑÍA, COLONIA BENITO JUÁREZ. 12.- QUE INDIQUE EL NOMBRE Y CARGO DEL PERSONAL ADSCRITO AL DEPARTAMENTO DE MERCADOS DE CHIMALHUACÁN. 13.- QUE PROPORCIONE COPIA DEL NOMBRAMIENTO Y CREDENCIAL DEL PERSONAL ADSCRITO AL DEPARTAMENTO DE MERCADOS DEL MUNICIPIO DE CHIMALHUACÁN. 14.- QUE INDIQUE EL GRADO DE ESTUDIOS QUE TIENE EL PERSONAL DE ADSCRITO AL DEPARTAMENTO DE MERCADOS DE CHIMALHUACÁN. 15.- QUE PROPORCIONE EL NOMBRE DE LOS ELEMENTOS DE LA POLICÍA MUNICIPAL DE CHIMALHUACÁN, QUE ACOMPAÑARON A LA C. SOFÍA REYES TORAL, EL DÍA 25 DE JULIO DEL AÑO 2022, A LA ASAMBLEA QUE SE LLEVO A CABO EN EL INTERIOR DEL MERCADO UNIÓN DE COMERCIANTES DEL BORDO DE XOCHIACA. 16.- QUE INDIQUE SI HA PROPORCIONADO RECONOCIMIENTO O NOMBRAMIENTO COMO MESA DIRECTIVA, A ALGÚN LOCATARIO DEL MERCADO UNIÓN DE COMERCIANTES DEL BORDO DE XOCHIACA, SITUADO EN AV. BORDO DE XOCHIACA S/N Y CANAL DE LA COMPAÑÍA, EN LOS AÑOS 2019, 2021 Y 2022. 17.- QUE INDIQUE HA DESTINADO RECURSOS PARA MEJORAR EL MERCADO MERCADO UNIÓN DE COMERCIANTES DEL BORDO DE XOCHIACA, SITUADO EN AV. BORDO DE XOCHIACA S/N Y CANAL DE LA COMPAÑÍA, EN LOS AÑOS 2019, 2021 Y 2022. EN CASO DE SER AFIRMATIVO QUE ADJUNTE LA EVIDENCIA DE SU MINISTRACIÓN Y APLICACIÓN. 18.- QUE LA TESORERÍA MUNICIPAL, PROPORCIONE COPIA DE LOS RECIBOS DE PAGO QUE ENTREGA POR CONCEPTO DE PAGOS DE LICENCIA Y GIRO. 19.- QUE SEÑALE CON TODA CLARIDAD, CUALES SON LOS LIMITES TERRITORIALES DEL MUNICIPIO DE CHIMALHUACÁN. 20.- QUE INDIQUE QUE FUNCIONARIO TOMO LA DECISIÓN DE LLEVAR A CABO LA ASAMBLEA DEL DÍA 25 DE JULIO DEL AÑO 2022, EN EL MERCADO UNIÓN DE COMERCIANTES DEL BORDO DE XOCHIACA, SITUADO EN AV. BORDO DE XOCHIACA S/N Y CANAL DE LA COMPAÑÍA, Y CUAL ES EL FUNDAMENTO LEGAL PARA ELLO. "</w:t>
      </w:r>
    </w:p>
    <w:p w:rsidR="00A16235" w:rsidRPr="00A16235" w:rsidRDefault="00A16235" w:rsidP="00A16235">
      <w:pPr>
        <w:tabs>
          <w:tab w:val="left" w:pos="4667"/>
        </w:tabs>
        <w:spacing w:after="0" w:line="360" w:lineRule="auto"/>
        <w:ind w:left="567" w:right="567"/>
        <w:jc w:val="both"/>
        <w:rPr>
          <w:sz w:val="24"/>
        </w:rPr>
      </w:pPr>
    </w:p>
    <w:p w:rsidR="004A7409" w:rsidRPr="004A7409" w:rsidRDefault="004A7409" w:rsidP="004A7409">
      <w:pPr>
        <w:spacing w:after="0" w:line="360" w:lineRule="auto"/>
        <w:jc w:val="both"/>
        <w:rPr>
          <w:sz w:val="24"/>
        </w:rPr>
      </w:pPr>
      <w:r w:rsidRPr="004A7409">
        <w:rPr>
          <w:sz w:val="24"/>
        </w:rPr>
        <w:t>El Sujeto Obligado emitió respuesta por medio del documento electrónico “Solicitu</w:t>
      </w:r>
      <w:r w:rsidR="003A2D8F">
        <w:rPr>
          <w:sz w:val="24"/>
        </w:rPr>
        <w:t>d</w:t>
      </w:r>
      <w:r w:rsidRPr="004A7409">
        <w:rPr>
          <w:sz w:val="24"/>
        </w:rPr>
        <w:t xml:space="preserve"> 501 respuesta.pdf”, consistente en el oficio número DMCHIM/0454/2022, remitido por la Jefa del Departamento de Mercados a la Titular de la Unidad de Transparencia, ambos del Sujeto Obligado, a través del cual da respuesta a los requerimientos de información</w:t>
      </w:r>
    </w:p>
    <w:p w:rsidR="00A16235" w:rsidRPr="004A7409" w:rsidRDefault="00A16235" w:rsidP="00A16235">
      <w:pPr>
        <w:spacing w:after="0" w:line="360" w:lineRule="auto"/>
        <w:rPr>
          <w:sz w:val="24"/>
        </w:rPr>
      </w:pPr>
    </w:p>
    <w:p w:rsidR="00314CC5" w:rsidRDefault="00715F8B" w:rsidP="00314CC5">
      <w:pPr>
        <w:autoSpaceDE w:val="0"/>
        <w:autoSpaceDN w:val="0"/>
        <w:adjustRightInd w:val="0"/>
        <w:spacing w:after="0" w:line="360" w:lineRule="auto"/>
        <w:contextualSpacing/>
        <w:jc w:val="both"/>
        <w:rPr>
          <w:sz w:val="24"/>
        </w:rPr>
      </w:pPr>
      <w:r w:rsidRPr="0041486C">
        <w:rPr>
          <w:sz w:val="24"/>
        </w:rPr>
        <w:t>En la Resolución se determinó</w:t>
      </w:r>
      <w:r w:rsidR="00314CC5" w:rsidRPr="00314CC5">
        <w:rPr>
          <w:sz w:val="24"/>
        </w:rPr>
        <w:t xml:space="preserve"> </w:t>
      </w:r>
      <w:r w:rsidR="00314CC5" w:rsidRPr="004A7409">
        <w:rPr>
          <w:sz w:val="24"/>
        </w:rPr>
        <w:t>ORDENAR</w:t>
      </w:r>
      <w:r w:rsidR="00314CC5" w:rsidRPr="00314CC5">
        <w:rPr>
          <w:sz w:val="24"/>
        </w:rPr>
        <w:t xml:space="preserve"> al </w:t>
      </w:r>
      <w:r w:rsidR="004A7409" w:rsidRPr="004A7409">
        <w:rPr>
          <w:b/>
          <w:sz w:val="24"/>
        </w:rPr>
        <w:t>Ayuntamiento de Chimalhuacán</w:t>
      </w:r>
      <w:r w:rsidR="00314CC5" w:rsidRPr="00314CC5">
        <w:rPr>
          <w:sz w:val="24"/>
        </w:rPr>
        <w:t xml:space="preserve">, a efecto ponga a disposición del Recurrente en copias certificadas, previo pago de los derechos correspondientes </w:t>
      </w:r>
      <w:r w:rsidR="004A7409">
        <w:rPr>
          <w:sz w:val="24"/>
        </w:rPr>
        <w:t>de:</w:t>
      </w:r>
    </w:p>
    <w:p w:rsidR="004A7409" w:rsidRDefault="004A7409" w:rsidP="00314CC5">
      <w:pPr>
        <w:autoSpaceDE w:val="0"/>
        <w:autoSpaceDN w:val="0"/>
        <w:adjustRightInd w:val="0"/>
        <w:spacing w:after="0" w:line="360" w:lineRule="auto"/>
        <w:contextualSpacing/>
        <w:jc w:val="both"/>
        <w:rPr>
          <w:sz w:val="24"/>
        </w:rPr>
      </w:pPr>
    </w:p>
    <w:p w:rsidR="004A7409" w:rsidRDefault="004A7409" w:rsidP="004A7409">
      <w:pPr>
        <w:pStyle w:val="Prrafodelista"/>
        <w:spacing w:line="360" w:lineRule="auto"/>
        <w:contextualSpacing w:val="0"/>
        <w:jc w:val="both"/>
        <w:rPr>
          <w:rFonts w:asciiTheme="minorHAnsi" w:eastAsiaTheme="minorHAnsi" w:hAnsiTheme="minorHAnsi" w:cstheme="minorBidi"/>
          <w:szCs w:val="22"/>
          <w:lang w:val="es-MX" w:eastAsia="en-US"/>
        </w:rPr>
      </w:pPr>
      <w:r w:rsidRPr="004A7409">
        <w:rPr>
          <w:rFonts w:asciiTheme="minorHAnsi" w:eastAsiaTheme="minorHAnsi" w:hAnsiTheme="minorHAnsi" w:cstheme="minorBidi"/>
          <w:szCs w:val="22"/>
          <w:lang w:val="es-MX" w:eastAsia="en-US"/>
        </w:rPr>
        <w:t xml:space="preserve">Copia certificada el título de propiedad o el documento que acredite la propiedad del mercado del mercado “unión de comerciantes del bordo de Xochiaca”, ubicado en av. Bordo de Xochiaca s/n y canal de la compañía, colonia Benito Juárez. </w:t>
      </w:r>
    </w:p>
    <w:p w:rsidR="004A7409" w:rsidRPr="004A7409" w:rsidRDefault="004A7409" w:rsidP="004A7409">
      <w:pPr>
        <w:pStyle w:val="Prrafodelista"/>
        <w:spacing w:line="360" w:lineRule="auto"/>
        <w:contextualSpacing w:val="0"/>
        <w:jc w:val="both"/>
        <w:rPr>
          <w:rFonts w:asciiTheme="minorHAnsi" w:eastAsiaTheme="minorHAnsi" w:hAnsiTheme="minorHAnsi" w:cstheme="minorBidi"/>
          <w:szCs w:val="22"/>
          <w:lang w:val="es-MX" w:eastAsia="en-US"/>
        </w:rPr>
      </w:pPr>
    </w:p>
    <w:p w:rsidR="004A7409" w:rsidRDefault="004A7409" w:rsidP="004A7409">
      <w:pPr>
        <w:pStyle w:val="Prrafodelista"/>
        <w:spacing w:line="360" w:lineRule="auto"/>
        <w:contextualSpacing w:val="0"/>
        <w:jc w:val="both"/>
        <w:rPr>
          <w:rFonts w:ascii="Palatino Linotype" w:hAnsi="Palatino Linotype"/>
        </w:rPr>
      </w:pPr>
      <w:r w:rsidRPr="004A7409">
        <w:rPr>
          <w:rFonts w:asciiTheme="minorHAnsi" w:eastAsiaTheme="minorHAnsi" w:hAnsiTheme="minorHAnsi" w:cstheme="minorBidi"/>
          <w:szCs w:val="22"/>
          <w:lang w:val="es-MX" w:eastAsia="en-US"/>
        </w:rPr>
        <w:t>Copia certificada del acta de asamblea que se llevo a cabo el día 25 de julio del año 2022, en las instalaciones del mercado publico los comerciantes del mercado “Unión de Comerciantes del Bordo de Xochiaca”, ubicado en av. Bordo de Xochiaca s/n y canal de la compañía, colonia Benito Juárez</w:t>
      </w:r>
      <w:r>
        <w:rPr>
          <w:rFonts w:ascii="Palatino Linotype" w:hAnsi="Palatino Linotype"/>
        </w:rPr>
        <w:t xml:space="preserve">; </w:t>
      </w:r>
    </w:p>
    <w:p w:rsidR="003A2D8F" w:rsidRDefault="003A2D8F" w:rsidP="004A7409">
      <w:pPr>
        <w:pStyle w:val="Prrafodelista"/>
        <w:spacing w:line="360" w:lineRule="auto"/>
        <w:contextualSpacing w:val="0"/>
        <w:jc w:val="both"/>
        <w:rPr>
          <w:rFonts w:ascii="Palatino Linotype" w:hAnsi="Palatino Linotype"/>
        </w:rPr>
      </w:pPr>
    </w:p>
    <w:p w:rsidR="003A2D8F" w:rsidRPr="003A2D8F" w:rsidRDefault="003A2D8F" w:rsidP="003A2D8F">
      <w:pPr>
        <w:spacing w:line="360" w:lineRule="auto"/>
        <w:jc w:val="both"/>
        <w:rPr>
          <w:sz w:val="24"/>
        </w:rPr>
      </w:pPr>
      <w:r w:rsidRPr="003A2D8F">
        <w:rPr>
          <w:sz w:val="24"/>
        </w:rPr>
        <w:t>Por tanto, el Sujeto Obligado, deberá informar a la Recurrente, a través del Sistema de Acceso a la Información Mexiquense SAIMEX, el procedimiento para indicar el lugar, día y horario, así como nombre del servidor público que le hará entrega de la misma.</w:t>
      </w:r>
    </w:p>
    <w:p w:rsidR="004A7409" w:rsidRDefault="004A7409" w:rsidP="004A7409">
      <w:pPr>
        <w:pStyle w:val="Prrafodelista"/>
        <w:spacing w:line="360" w:lineRule="auto"/>
        <w:contextualSpacing w:val="0"/>
        <w:jc w:val="both"/>
        <w:rPr>
          <w:rFonts w:ascii="Palatino Linotype" w:hAnsi="Palatino Linotype"/>
        </w:rPr>
      </w:pPr>
    </w:p>
    <w:p w:rsidR="004A7409" w:rsidRPr="003A2D8F" w:rsidRDefault="004A7409" w:rsidP="004A7409">
      <w:pPr>
        <w:spacing w:after="0" w:line="360" w:lineRule="auto"/>
        <w:jc w:val="both"/>
        <w:rPr>
          <w:sz w:val="24"/>
        </w:rPr>
      </w:pPr>
      <w:r w:rsidRPr="003A2D8F">
        <w:rPr>
          <w:sz w:val="24"/>
        </w:rPr>
        <w:t xml:space="preserve">Refiere que respecto de los requerimientos de información donde se  peticiona la entrega de información en copias certificadas, resulta inconcuso que la expedición de copias certificadas configura un servicio que presta el Estado en sus funciones de derecho público, de ahí que resulte necesario la recuperación de tales gastos, en el caso en particular, mediante el pago de un derecho establecido en la normatividad aplicable, el cual no podrá ser desestimado, condonado o inaplicado, pues conforme a la normatividad previamente referida se reconoce la imposición de un gravamen incluso con independencia del número de fojas. </w:t>
      </w:r>
    </w:p>
    <w:p w:rsidR="004A7409" w:rsidRPr="00314CC5" w:rsidRDefault="004A7409" w:rsidP="00314CC5">
      <w:pPr>
        <w:autoSpaceDE w:val="0"/>
        <w:autoSpaceDN w:val="0"/>
        <w:adjustRightInd w:val="0"/>
        <w:spacing w:after="0" w:line="360" w:lineRule="auto"/>
        <w:contextualSpacing/>
        <w:jc w:val="both"/>
        <w:rPr>
          <w:sz w:val="24"/>
        </w:rPr>
      </w:pPr>
    </w:p>
    <w:p w:rsidR="00B775D8" w:rsidRPr="0041486C" w:rsidRDefault="00B775D8" w:rsidP="00B775D8">
      <w:pPr>
        <w:spacing w:line="360" w:lineRule="auto"/>
        <w:jc w:val="both"/>
        <w:rPr>
          <w:sz w:val="24"/>
        </w:rPr>
      </w:pPr>
      <w:r w:rsidRPr="0041486C">
        <w:rPr>
          <w:sz w:val="24"/>
        </w:rPr>
        <w:t>Al respecto, se indica que el artículo 6° de la Constitución Política de los Estados Unidos Mexicanos protege el derecho de acceso a la información bajo ciertos principios, entre los que se encuentra el que refiere que toda persona, sin necesidad de acreditar interés alguno o justificar su utilización, tendrá acceso gratuito a la información pública, a sus datos  personales o a la rectificación de éstos.</w:t>
      </w:r>
    </w:p>
    <w:p w:rsidR="00B775D8" w:rsidRDefault="00B775D8" w:rsidP="00B775D8">
      <w:pPr>
        <w:pStyle w:val="Textoindependiente"/>
        <w:spacing w:before="13"/>
        <w:rPr>
          <w:sz w:val="35"/>
        </w:rPr>
      </w:pPr>
    </w:p>
    <w:p w:rsidR="00B775D8" w:rsidRDefault="00B775D8" w:rsidP="0041486C">
      <w:pPr>
        <w:spacing w:line="360" w:lineRule="auto"/>
        <w:ind w:right="49"/>
        <w:jc w:val="both"/>
        <w:rPr>
          <w:sz w:val="24"/>
        </w:rPr>
      </w:pPr>
      <w:r>
        <w:rPr>
          <w:sz w:val="24"/>
        </w:rPr>
        <w:t>Asimismo,</w:t>
      </w:r>
      <w:r>
        <w:rPr>
          <w:spacing w:val="1"/>
          <w:sz w:val="24"/>
        </w:rPr>
        <w:t xml:space="preserve"> </w:t>
      </w:r>
      <w:r>
        <w:rPr>
          <w:sz w:val="24"/>
        </w:rPr>
        <w:t>el</w:t>
      </w:r>
      <w:r>
        <w:rPr>
          <w:spacing w:val="1"/>
          <w:sz w:val="24"/>
        </w:rPr>
        <w:t xml:space="preserve"> </w:t>
      </w:r>
      <w:r>
        <w:rPr>
          <w:sz w:val="24"/>
        </w:rPr>
        <w:t>artículo</w:t>
      </w:r>
      <w:r>
        <w:rPr>
          <w:spacing w:val="1"/>
          <w:sz w:val="24"/>
        </w:rPr>
        <w:t xml:space="preserve"> </w:t>
      </w:r>
      <w:r>
        <w:rPr>
          <w:sz w:val="24"/>
        </w:rPr>
        <w:t>17</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Ley</w:t>
      </w:r>
      <w:r>
        <w:rPr>
          <w:spacing w:val="1"/>
          <w:sz w:val="24"/>
        </w:rPr>
        <w:t xml:space="preserve"> </w:t>
      </w:r>
      <w:r>
        <w:rPr>
          <w:sz w:val="24"/>
        </w:rPr>
        <w:t>General</w:t>
      </w:r>
      <w:r>
        <w:rPr>
          <w:spacing w:val="1"/>
          <w:sz w:val="24"/>
        </w:rPr>
        <w:t xml:space="preserve"> </w:t>
      </w:r>
      <w:r>
        <w:rPr>
          <w:sz w:val="24"/>
        </w:rPr>
        <w:t>de</w:t>
      </w:r>
      <w:r>
        <w:rPr>
          <w:spacing w:val="1"/>
          <w:sz w:val="24"/>
        </w:rPr>
        <w:t xml:space="preserve"> </w:t>
      </w:r>
      <w:r>
        <w:rPr>
          <w:sz w:val="24"/>
        </w:rPr>
        <w:t>Transparencia</w:t>
      </w:r>
      <w:r>
        <w:rPr>
          <w:spacing w:val="1"/>
          <w:sz w:val="24"/>
        </w:rPr>
        <w:t xml:space="preserve"> </w:t>
      </w:r>
      <w:r>
        <w:rPr>
          <w:sz w:val="24"/>
        </w:rPr>
        <w:t>y</w:t>
      </w:r>
      <w:r>
        <w:rPr>
          <w:spacing w:val="1"/>
          <w:sz w:val="24"/>
        </w:rPr>
        <w:t xml:space="preserve"> </w:t>
      </w:r>
      <w:r>
        <w:rPr>
          <w:sz w:val="24"/>
        </w:rPr>
        <w:t>Acceso</w:t>
      </w:r>
      <w:r>
        <w:rPr>
          <w:spacing w:val="1"/>
          <w:sz w:val="24"/>
        </w:rPr>
        <w:t xml:space="preserve"> </w:t>
      </w:r>
      <w:r>
        <w:rPr>
          <w:sz w:val="24"/>
        </w:rPr>
        <w:t>a</w:t>
      </w:r>
      <w:r>
        <w:rPr>
          <w:spacing w:val="1"/>
          <w:sz w:val="24"/>
        </w:rPr>
        <w:t xml:space="preserve"> </w:t>
      </w:r>
      <w:r>
        <w:rPr>
          <w:sz w:val="24"/>
        </w:rPr>
        <w:t>la</w:t>
      </w:r>
      <w:r>
        <w:rPr>
          <w:spacing w:val="1"/>
          <w:sz w:val="24"/>
        </w:rPr>
        <w:t xml:space="preserve"> </w:t>
      </w:r>
      <w:r>
        <w:rPr>
          <w:sz w:val="24"/>
        </w:rPr>
        <w:t>Información</w:t>
      </w:r>
      <w:r>
        <w:rPr>
          <w:spacing w:val="1"/>
          <w:sz w:val="24"/>
        </w:rPr>
        <w:t xml:space="preserve"> </w:t>
      </w:r>
      <w:r>
        <w:rPr>
          <w:sz w:val="24"/>
        </w:rPr>
        <w:t>Pública,</w:t>
      </w:r>
      <w:r>
        <w:rPr>
          <w:spacing w:val="1"/>
          <w:sz w:val="24"/>
        </w:rPr>
        <w:t xml:space="preserve"> </w:t>
      </w:r>
      <w:r>
        <w:rPr>
          <w:sz w:val="24"/>
        </w:rPr>
        <w:t>precisa</w:t>
      </w:r>
      <w:r>
        <w:rPr>
          <w:spacing w:val="1"/>
          <w:sz w:val="24"/>
        </w:rPr>
        <w:t xml:space="preserve"> </w:t>
      </w:r>
      <w:r>
        <w:rPr>
          <w:b/>
          <w:sz w:val="24"/>
        </w:rPr>
        <w:t>que</w:t>
      </w:r>
      <w:r>
        <w:rPr>
          <w:b/>
          <w:spacing w:val="1"/>
          <w:sz w:val="24"/>
        </w:rPr>
        <w:t xml:space="preserve"> </w:t>
      </w:r>
      <w:r>
        <w:rPr>
          <w:b/>
          <w:sz w:val="24"/>
        </w:rPr>
        <w:t>el</w:t>
      </w:r>
      <w:r>
        <w:rPr>
          <w:b/>
          <w:spacing w:val="1"/>
          <w:sz w:val="24"/>
        </w:rPr>
        <w:t xml:space="preserve"> </w:t>
      </w:r>
      <w:r>
        <w:rPr>
          <w:b/>
          <w:sz w:val="24"/>
        </w:rPr>
        <w:t>ejercicio</w:t>
      </w:r>
      <w:r>
        <w:rPr>
          <w:b/>
          <w:spacing w:val="1"/>
          <w:sz w:val="24"/>
        </w:rPr>
        <w:t xml:space="preserve"> </w:t>
      </w:r>
      <w:r>
        <w:rPr>
          <w:b/>
          <w:sz w:val="24"/>
        </w:rPr>
        <w:t>de</w:t>
      </w:r>
      <w:r>
        <w:rPr>
          <w:b/>
          <w:spacing w:val="1"/>
          <w:sz w:val="24"/>
        </w:rPr>
        <w:t xml:space="preserve"> </w:t>
      </w:r>
      <w:r>
        <w:rPr>
          <w:b/>
          <w:sz w:val="24"/>
        </w:rPr>
        <w:t>acceso</w:t>
      </w:r>
      <w:r>
        <w:rPr>
          <w:b/>
          <w:spacing w:val="1"/>
          <w:sz w:val="24"/>
        </w:rPr>
        <w:t xml:space="preserve"> </w:t>
      </w:r>
      <w:r>
        <w:rPr>
          <w:b/>
          <w:sz w:val="24"/>
        </w:rPr>
        <w:t>a</w:t>
      </w:r>
      <w:r>
        <w:rPr>
          <w:b/>
          <w:spacing w:val="1"/>
          <w:sz w:val="24"/>
        </w:rPr>
        <w:t xml:space="preserve"> </w:t>
      </w:r>
      <w:r>
        <w:rPr>
          <w:b/>
          <w:sz w:val="24"/>
        </w:rPr>
        <w:t>la</w:t>
      </w:r>
      <w:r>
        <w:rPr>
          <w:b/>
          <w:spacing w:val="1"/>
          <w:sz w:val="24"/>
        </w:rPr>
        <w:t xml:space="preserve"> </w:t>
      </w:r>
      <w:r>
        <w:rPr>
          <w:b/>
          <w:sz w:val="24"/>
        </w:rPr>
        <w:t>información</w:t>
      </w:r>
      <w:r>
        <w:rPr>
          <w:b/>
          <w:spacing w:val="1"/>
          <w:sz w:val="24"/>
        </w:rPr>
        <w:t xml:space="preserve"> </w:t>
      </w:r>
      <w:r>
        <w:rPr>
          <w:b/>
          <w:sz w:val="24"/>
        </w:rPr>
        <w:t>será</w:t>
      </w:r>
      <w:r w:rsidR="00F16D7B">
        <w:rPr>
          <w:b/>
          <w:sz w:val="24"/>
        </w:rPr>
        <w:t xml:space="preserve"> </w:t>
      </w:r>
      <w:r>
        <w:rPr>
          <w:b/>
          <w:spacing w:val="-57"/>
          <w:sz w:val="24"/>
        </w:rPr>
        <w:t xml:space="preserve"> </w:t>
      </w:r>
      <w:r>
        <w:rPr>
          <w:b/>
          <w:sz w:val="24"/>
        </w:rPr>
        <w:t>gratuito y solamente podrá requerirse un cobro, dependiendo la modalidad y</w:t>
      </w:r>
      <w:r>
        <w:rPr>
          <w:b/>
          <w:spacing w:val="1"/>
          <w:sz w:val="24"/>
        </w:rPr>
        <w:t xml:space="preserve"> </w:t>
      </w:r>
      <w:r>
        <w:rPr>
          <w:b/>
          <w:sz w:val="24"/>
        </w:rPr>
        <w:t xml:space="preserve">entrega de la misma. </w:t>
      </w:r>
      <w:r>
        <w:rPr>
          <w:sz w:val="24"/>
        </w:rPr>
        <w:t>De manera coincidente lo precisa el artículo 17 de la Ley de</w:t>
      </w:r>
      <w:r>
        <w:rPr>
          <w:spacing w:val="1"/>
          <w:sz w:val="24"/>
        </w:rPr>
        <w:t xml:space="preserve"> </w:t>
      </w:r>
      <w:r>
        <w:rPr>
          <w:sz w:val="24"/>
        </w:rPr>
        <w:t>Transparencia</w:t>
      </w:r>
      <w:r>
        <w:rPr>
          <w:spacing w:val="-10"/>
          <w:sz w:val="24"/>
        </w:rPr>
        <w:t xml:space="preserve"> </w:t>
      </w:r>
      <w:r>
        <w:rPr>
          <w:sz w:val="24"/>
        </w:rPr>
        <w:t>y</w:t>
      </w:r>
      <w:r>
        <w:rPr>
          <w:spacing w:val="-9"/>
          <w:sz w:val="24"/>
        </w:rPr>
        <w:t xml:space="preserve"> </w:t>
      </w:r>
      <w:r>
        <w:rPr>
          <w:sz w:val="24"/>
        </w:rPr>
        <w:t>Acceso</w:t>
      </w:r>
      <w:r>
        <w:rPr>
          <w:spacing w:val="-9"/>
          <w:sz w:val="24"/>
        </w:rPr>
        <w:t xml:space="preserve"> </w:t>
      </w:r>
      <w:r>
        <w:rPr>
          <w:sz w:val="24"/>
        </w:rPr>
        <w:t>a</w:t>
      </w:r>
      <w:r>
        <w:rPr>
          <w:spacing w:val="-10"/>
          <w:sz w:val="24"/>
        </w:rPr>
        <w:t xml:space="preserve"> </w:t>
      </w:r>
      <w:r>
        <w:rPr>
          <w:sz w:val="24"/>
        </w:rPr>
        <w:t>la</w:t>
      </w:r>
      <w:r>
        <w:rPr>
          <w:spacing w:val="-10"/>
          <w:sz w:val="24"/>
        </w:rPr>
        <w:t xml:space="preserve"> </w:t>
      </w:r>
      <w:r>
        <w:rPr>
          <w:sz w:val="24"/>
        </w:rPr>
        <w:t>Información</w:t>
      </w:r>
      <w:r>
        <w:rPr>
          <w:spacing w:val="-10"/>
          <w:sz w:val="24"/>
        </w:rPr>
        <w:t xml:space="preserve"> </w:t>
      </w:r>
      <w:r>
        <w:rPr>
          <w:sz w:val="24"/>
        </w:rPr>
        <w:t>Pública</w:t>
      </w:r>
      <w:r>
        <w:rPr>
          <w:spacing w:val="-8"/>
          <w:sz w:val="24"/>
        </w:rPr>
        <w:t xml:space="preserve"> </w:t>
      </w:r>
      <w:r>
        <w:rPr>
          <w:sz w:val="24"/>
        </w:rPr>
        <w:t>del</w:t>
      </w:r>
      <w:r>
        <w:rPr>
          <w:spacing w:val="-7"/>
          <w:sz w:val="24"/>
        </w:rPr>
        <w:t xml:space="preserve"> </w:t>
      </w:r>
      <w:r>
        <w:rPr>
          <w:sz w:val="24"/>
        </w:rPr>
        <w:t>Estado</w:t>
      </w:r>
      <w:r>
        <w:rPr>
          <w:spacing w:val="-10"/>
          <w:sz w:val="24"/>
        </w:rPr>
        <w:t xml:space="preserve"> </w:t>
      </w:r>
      <w:r>
        <w:rPr>
          <w:sz w:val="24"/>
        </w:rPr>
        <w:t>y</w:t>
      </w:r>
      <w:r>
        <w:rPr>
          <w:spacing w:val="-9"/>
          <w:sz w:val="24"/>
        </w:rPr>
        <w:t xml:space="preserve"> </w:t>
      </w:r>
      <w:r>
        <w:rPr>
          <w:sz w:val="24"/>
        </w:rPr>
        <w:t>Municipios,</w:t>
      </w:r>
      <w:r>
        <w:rPr>
          <w:spacing w:val="-9"/>
          <w:sz w:val="24"/>
        </w:rPr>
        <w:t xml:space="preserve"> </w:t>
      </w:r>
      <w:r>
        <w:rPr>
          <w:sz w:val="24"/>
        </w:rPr>
        <w:t>al</w:t>
      </w:r>
      <w:r>
        <w:rPr>
          <w:spacing w:val="-9"/>
          <w:sz w:val="24"/>
        </w:rPr>
        <w:t xml:space="preserve"> </w:t>
      </w:r>
      <w:r>
        <w:rPr>
          <w:sz w:val="24"/>
        </w:rPr>
        <w:t>señalar</w:t>
      </w:r>
      <w:r>
        <w:rPr>
          <w:spacing w:val="-57"/>
          <w:sz w:val="24"/>
        </w:rPr>
        <w:t xml:space="preserve"> </w:t>
      </w:r>
      <w:r>
        <w:rPr>
          <w:sz w:val="24"/>
        </w:rPr>
        <w:t>que</w:t>
      </w:r>
      <w:r>
        <w:rPr>
          <w:spacing w:val="-2"/>
          <w:sz w:val="24"/>
        </w:rPr>
        <w:t xml:space="preserve"> </w:t>
      </w:r>
      <w:r>
        <w:rPr>
          <w:sz w:val="24"/>
        </w:rPr>
        <w:t>únicamente se cubrirán</w:t>
      </w:r>
      <w:r>
        <w:rPr>
          <w:spacing w:val="-1"/>
          <w:sz w:val="24"/>
        </w:rPr>
        <w:t xml:space="preserve"> </w:t>
      </w:r>
      <w:r>
        <w:rPr>
          <w:sz w:val="24"/>
        </w:rPr>
        <w:t>los</w:t>
      </w:r>
      <w:r>
        <w:rPr>
          <w:spacing w:val="-1"/>
          <w:sz w:val="24"/>
        </w:rPr>
        <w:t xml:space="preserve"> </w:t>
      </w:r>
      <w:r>
        <w:rPr>
          <w:sz w:val="24"/>
        </w:rPr>
        <w:t>gastos</w:t>
      </w:r>
      <w:r>
        <w:rPr>
          <w:spacing w:val="-1"/>
          <w:sz w:val="24"/>
        </w:rPr>
        <w:t xml:space="preserve"> </w:t>
      </w:r>
      <w:r>
        <w:rPr>
          <w:sz w:val="24"/>
        </w:rPr>
        <w:t>de</w:t>
      </w:r>
      <w:r>
        <w:rPr>
          <w:spacing w:val="-1"/>
          <w:sz w:val="24"/>
        </w:rPr>
        <w:t xml:space="preserve"> </w:t>
      </w:r>
      <w:r>
        <w:rPr>
          <w:sz w:val="24"/>
        </w:rPr>
        <w:t>reproducción.</w:t>
      </w:r>
    </w:p>
    <w:p w:rsidR="0041486C" w:rsidRDefault="0041486C" w:rsidP="0041486C">
      <w:pPr>
        <w:spacing w:line="360" w:lineRule="auto"/>
        <w:ind w:right="49"/>
        <w:jc w:val="both"/>
        <w:rPr>
          <w:sz w:val="24"/>
        </w:rPr>
      </w:pPr>
    </w:p>
    <w:p w:rsidR="00636B80" w:rsidRDefault="00636B80" w:rsidP="0041486C">
      <w:pPr>
        <w:pStyle w:val="Textoindependiente"/>
        <w:spacing w:before="163" w:line="360" w:lineRule="auto"/>
        <w:ind w:right="49"/>
        <w:jc w:val="both"/>
        <w:rPr>
          <w:rFonts w:asciiTheme="minorHAnsi" w:eastAsiaTheme="minorHAnsi" w:hAnsiTheme="minorHAnsi" w:cstheme="minorBidi"/>
          <w:szCs w:val="22"/>
          <w:lang w:val="es-MX"/>
        </w:rPr>
      </w:pPr>
      <w:r>
        <w:rPr>
          <w:rFonts w:asciiTheme="minorHAnsi" w:eastAsiaTheme="minorHAnsi" w:hAnsiTheme="minorHAnsi" w:cstheme="minorBidi"/>
          <w:szCs w:val="22"/>
          <w:lang w:val="es-MX"/>
        </w:rPr>
        <w:t>Por otra parte</w:t>
      </w:r>
      <w:r w:rsidR="00B775D8" w:rsidRPr="0041486C">
        <w:rPr>
          <w:rFonts w:asciiTheme="minorHAnsi" w:eastAsiaTheme="minorHAnsi" w:hAnsiTheme="minorHAnsi" w:cstheme="minorBidi"/>
          <w:szCs w:val="22"/>
          <w:lang w:val="es-MX"/>
        </w:rPr>
        <w:t>, el artículo 9°, fracción III, de la Ley en cita, prevé que el Principio de Gratuidad consiste en que el acceso a la información pública no generará costo alguno para los solicitantes y sólo podrá requerirse el correspondiente a la modalidad de reproducción y entrega solicitada; lo anterior debe interpretarse que el sentido de la norma es eliminar cualquier barrera u obstáculo que imposibilite el</w:t>
      </w:r>
      <w:r w:rsidR="0041486C">
        <w:rPr>
          <w:rFonts w:asciiTheme="minorHAnsi" w:eastAsiaTheme="minorHAnsi" w:hAnsiTheme="minorHAnsi" w:cstheme="minorBidi"/>
          <w:szCs w:val="22"/>
          <w:lang w:val="es-MX"/>
        </w:rPr>
        <w:t xml:space="preserve"> </w:t>
      </w:r>
      <w:r w:rsidR="00B775D8" w:rsidRPr="0041486C">
        <w:rPr>
          <w:rFonts w:asciiTheme="minorHAnsi" w:eastAsiaTheme="minorHAnsi" w:hAnsiTheme="minorHAnsi" w:cstheme="minorBidi"/>
          <w:szCs w:val="22"/>
          <w:lang w:val="es-MX"/>
        </w:rPr>
        <w:t>derecho de acceso a la información o que este se garantice de manera discriminada; esto es, sólo para aquellos que tengan los medios económicos para cubrir el costo de la reproducción de información, lo que materializaría el impedimento de acceso a la información</w:t>
      </w:r>
      <w:r>
        <w:rPr>
          <w:rFonts w:asciiTheme="minorHAnsi" w:eastAsiaTheme="minorHAnsi" w:hAnsiTheme="minorHAnsi" w:cstheme="minorBidi"/>
          <w:szCs w:val="22"/>
          <w:lang w:val="es-MX"/>
        </w:rPr>
        <w:t>.</w:t>
      </w:r>
    </w:p>
    <w:p w:rsidR="00636B80" w:rsidRDefault="00636B80" w:rsidP="0041486C">
      <w:pPr>
        <w:pStyle w:val="Textoindependiente"/>
        <w:spacing w:before="163" w:line="360" w:lineRule="auto"/>
        <w:ind w:right="49"/>
        <w:jc w:val="both"/>
        <w:rPr>
          <w:rFonts w:asciiTheme="minorHAnsi" w:eastAsiaTheme="minorHAnsi" w:hAnsiTheme="minorHAnsi" w:cstheme="minorBidi"/>
          <w:szCs w:val="22"/>
          <w:lang w:val="es-MX"/>
        </w:rPr>
      </w:pPr>
    </w:p>
    <w:p w:rsidR="00B775D8" w:rsidRPr="0041486C" w:rsidRDefault="00B775D8" w:rsidP="0041486C">
      <w:pPr>
        <w:pStyle w:val="Textoindependiente"/>
        <w:spacing w:before="163" w:line="360" w:lineRule="auto"/>
        <w:ind w:right="49"/>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 xml:space="preserve"> En ese orden de ideas, el artículo 174 de la Ley de la materia, establece que en los casos de existir costos para obtener la información, deberán cubrirse de manera previa y nunca deberán ser superiores a la suma de los costos de los materiales utilizados, envió y certificación, en su caso. Conforme a la normatividad señalada, se advierte que el derecho de acceso a la información, debe realizarse bajo el principio de gratuidad y que sólo procederá el cobro, cuando implique la utilización de materiales para reproducción, envió y certificación, tal como podría ser una copia simple o certificada, pues en dichas modalidades se requiere de materia prima (papel y tinta), así como diversos utensilios para realizar la certificación de la información, lo cual, indudablemente implica un costo adicional.</w:t>
      </w:r>
    </w:p>
    <w:p w:rsidR="00B775D8" w:rsidRPr="0041486C" w:rsidRDefault="00B775D8" w:rsidP="00B775D8">
      <w:pPr>
        <w:pStyle w:val="Textoindependiente"/>
        <w:rPr>
          <w:rFonts w:asciiTheme="minorHAnsi" w:eastAsiaTheme="minorHAnsi" w:hAnsiTheme="minorHAnsi" w:cstheme="minorBidi"/>
          <w:szCs w:val="22"/>
          <w:lang w:val="es-MX"/>
        </w:rPr>
      </w:pPr>
    </w:p>
    <w:p w:rsidR="00B775D8" w:rsidRPr="0041486C" w:rsidRDefault="00B775D8" w:rsidP="0041486C">
      <w:pPr>
        <w:pStyle w:val="Textoindependiente"/>
        <w:spacing w:before="162" w:line="360" w:lineRule="auto"/>
        <w:ind w:right="49"/>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Diversos tratadistas se han referido al principio de gratuidad en función de que el derecho de acceso a la información es un derecho fundamental.</w:t>
      </w:r>
    </w:p>
    <w:p w:rsidR="00B775D8" w:rsidRPr="0041486C" w:rsidRDefault="00B775D8" w:rsidP="0041486C">
      <w:pPr>
        <w:pStyle w:val="Textoindependiente"/>
        <w:spacing w:before="9"/>
        <w:ind w:right="49"/>
        <w:rPr>
          <w:rFonts w:asciiTheme="minorHAnsi" w:eastAsiaTheme="minorHAnsi" w:hAnsiTheme="minorHAnsi" w:cstheme="minorBidi"/>
          <w:szCs w:val="22"/>
          <w:lang w:val="es-MX"/>
        </w:rPr>
      </w:pPr>
    </w:p>
    <w:p w:rsidR="00B775D8" w:rsidRPr="0041486C" w:rsidRDefault="00B775D8" w:rsidP="0041486C">
      <w:pPr>
        <w:pStyle w:val="Textoindependiente"/>
        <w:spacing w:line="360" w:lineRule="auto"/>
        <w:ind w:right="49"/>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Para Miguel Carbonell el cobro de alguna cantidad de dinero al solicitante se debe hacer solamente en el caso de que la reproducción de la información solicitada así lo amerite. Dicho costo de reproducción deberá ajustarse a lo que cueste precisamente dicha reproducción, sin que pueda exceder del costo de los materiales en los que</w:t>
      </w:r>
      <w:r w:rsidR="0041486C">
        <w:rPr>
          <w:rFonts w:asciiTheme="minorHAnsi" w:eastAsiaTheme="minorHAnsi" w:hAnsiTheme="minorHAnsi" w:cstheme="minorBidi"/>
          <w:szCs w:val="22"/>
          <w:lang w:val="es-MX"/>
        </w:rPr>
        <w:t xml:space="preserve"> </w:t>
      </w:r>
      <w:r w:rsidRPr="0041486C">
        <w:rPr>
          <w:rFonts w:asciiTheme="minorHAnsi" w:eastAsiaTheme="minorHAnsi" w:hAnsiTheme="minorHAnsi" w:cstheme="minorBidi"/>
          <w:szCs w:val="22"/>
          <w:lang w:val="es-MX"/>
        </w:rPr>
        <w:t>asiente la información. En el caso de las copias certificadas, habría que entender que la certificación no podría generar costos adicionales, ya que entonces se podría inhibir indebidamente el ejercicio amplio y completo del derecho de acceso a la información.</w:t>
      </w:r>
      <w:r w:rsidR="0041486C">
        <w:rPr>
          <w:rStyle w:val="Refdenotaalpie"/>
          <w:rFonts w:asciiTheme="minorHAnsi" w:eastAsiaTheme="minorHAnsi" w:hAnsiTheme="minorHAnsi" w:cstheme="minorBidi"/>
          <w:szCs w:val="22"/>
          <w:lang w:val="es-MX"/>
        </w:rPr>
        <w:footnoteReference w:id="1"/>
      </w:r>
    </w:p>
    <w:p w:rsidR="00B775D8" w:rsidRPr="0041486C" w:rsidRDefault="00B775D8" w:rsidP="00B775D8">
      <w:pPr>
        <w:pStyle w:val="Textoindependiente"/>
        <w:rPr>
          <w:rFonts w:asciiTheme="minorHAnsi" w:eastAsiaTheme="minorHAnsi" w:hAnsiTheme="minorHAnsi" w:cstheme="minorBidi"/>
          <w:szCs w:val="22"/>
          <w:lang w:val="es-MX"/>
        </w:rPr>
      </w:pPr>
    </w:p>
    <w:p w:rsidR="00B775D8" w:rsidRPr="0041486C" w:rsidRDefault="00B775D8" w:rsidP="0041486C">
      <w:pPr>
        <w:pStyle w:val="Textoindependiente"/>
        <w:spacing w:before="163" w:line="360" w:lineRule="auto"/>
        <w:ind w:right="49"/>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De esa suerte, los costos que establezcan las leyes de ingresos por concepto de cualquier formato para acceder a la información pública deben ser asequibles y homogéneos, de manera que no se obstaculice ese derecho constitucional.</w:t>
      </w:r>
    </w:p>
    <w:p w:rsidR="00B775D8" w:rsidRPr="0041486C" w:rsidRDefault="00B775D8" w:rsidP="0041486C">
      <w:pPr>
        <w:pStyle w:val="Textoindependiente"/>
        <w:spacing w:before="12"/>
        <w:ind w:right="49"/>
        <w:rPr>
          <w:rFonts w:asciiTheme="minorHAnsi" w:eastAsiaTheme="minorHAnsi" w:hAnsiTheme="minorHAnsi" w:cstheme="minorBidi"/>
          <w:szCs w:val="22"/>
          <w:lang w:val="es-MX"/>
        </w:rPr>
      </w:pPr>
    </w:p>
    <w:p w:rsidR="00B775D8" w:rsidRPr="0041486C" w:rsidRDefault="00B775D8" w:rsidP="0041486C">
      <w:pPr>
        <w:pStyle w:val="Textoindependiente"/>
        <w:spacing w:line="360" w:lineRule="auto"/>
        <w:ind w:right="49"/>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En tanto que si sólo es debido cobrar el costo de reproducción, se entiende que el fin de éste no debe ser recaudatorio, sino el de sólo recuperar la erogación extra que tuvo que realizar el Estado a efecto de otorgar la información solicitada.</w:t>
      </w:r>
    </w:p>
    <w:p w:rsidR="00B775D8" w:rsidRPr="0041486C" w:rsidRDefault="00B775D8" w:rsidP="0041486C">
      <w:pPr>
        <w:spacing w:after="0" w:line="360" w:lineRule="auto"/>
        <w:ind w:right="49"/>
        <w:jc w:val="both"/>
        <w:rPr>
          <w:sz w:val="24"/>
        </w:rPr>
      </w:pPr>
    </w:p>
    <w:p w:rsidR="00F90B70" w:rsidRDefault="00B775D8" w:rsidP="00F90B70">
      <w:pPr>
        <w:pStyle w:val="Textoindependiente"/>
        <w:spacing w:before="164" w:line="360" w:lineRule="auto"/>
        <w:ind w:right="49"/>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Los fines recaudatorios son una limitante de la garantía constitucional del derecho de acceso a la información y contravienen su naturaleza general.</w:t>
      </w:r>
    </w:p>
    <w:p w:rsidR="002102E4" w:rsidRDefault="00F90B70" w:rsidP="00D12136">
      <w:pPr>
        <w:pStyle w:val="Textoindependiente"/>
        <w:spacing w:before="164" w:line="360" w:lineRule="auto"/>
        <w:ind w:right="49"/>
        <w:jc w:val="both"/>
        <w:rPr>
          <w:rFonts w:asciiTheme="minorHAnsi" w:eastAsiaTheme="minorHAnsi" w:hAnsiTheme="minorHAnsi" w:cstheme="minorBidi"/>
          <w:szCs w:val="22"/>
          <w:lang w:val="es-MX"/>
        </w:rPr>
      </w:pPr>
      <w:r>
        <w:rPr>
          <w:rFonts w:asciiTheme="minorHAnsi" w:eastAsiaTheme="minorHAnsi" w:hAnsiTheme="minorHAnsi" w:cstheme="minorBidi"/>
          <w:szCs w:val="22"/>
          <w:lang w:val="es-MX"/>
        </w:rPr>
        <w:t xml:space="preserve">En el presente </w:t>
      </w:r>
      <w:r w:rsidR="002102E4">
        <w:rPr>
          <w:rFonts w:asciiTheme="minorHAnsi" w:eastAsiaTheme="minorHAnsi" w:hAnsiTheme="minorHAnsi" w:cstheme="minorBidi"/>
          <w:szCs w:val="22"/>
          <w:lang w:val="es-MX"/>
        </w:rPr>
        <w:t>asunto,</w:t>
      </w:r>
      <w:r>
        <w:rPr>
          <w:rFonts w:asciiTheme="minorHAnsi" w:eastAsiaTheme="minorHAnsi" w:hAnsiTheme="minorHAnsi" w:cstheme="minorBidi"/>
          <w:szCs w:val="22"/>
          <w:lang w:val="es-MX"/>
        </w:rPr>
        <w:t xml:space="preserve"> </w:t>
      </w:r>
      <w:r w:rsidR="00D12136">
        <w:rPr>
          <w:rFonts w:asciiTheme="minorHAnsi" w:eastAsiaTheme="minorHAnsi" w:hAnsiTheme="minorHAnsi" w:cstheme="minorBidi"/>
          <w:szCs w:val="22"/>
          <w:lang w:val="es-MX"/>
        </w:rPr>
        <w:t>e</w:t>
      </w:r>
      <w:r w:rsidR="002102E4" w:rsidRPr="002102E4">
        <w:rPr>
          <w:rFonts w:asciiTheme="minorHAnsi" w:eastAsiaTheme="minorHAnsi" w:hAnsiTheme="minorHAnsi" w:cstheme="minorBidi"/>
          <w:szCs w:val="22"/>
          <w:lang w:val="es-MX"/>
        </w:rPr>
        <w:t xml:space="preserve">l Sujeto Obligado atendió </w:t>
      </w:r>
      <w:r w:rsidR="00D12136">
        <w:rPr>
          <w:rFonts w:asciiTheme="minorHAnsi" w:eastAsiaTheme="minorHAnsi" w:hAnsiTheme="minorHAnsi" w:cstheme="minorBidi"/>
          <w:szCs w:val="22"/>
          <w:lang w:val="es-MX"/>
        </w:rPr>
        <w:t>parcialmente</w:t>
      </w:r>
      <w:r w:rsidR="002102E4" w:rsidRPr="002102E4">
        <w:rPr>
          <w:rFonts w:asciiTheme="minorHAnsi" w:eastAsiaTheme="minorHAnsi" w:hAnsiTheme="minorHAnsi" w:cstheme="minorBidi"/>
          <w:szCs w:val="22"/>
          <w:lang w:val="es-MX"/>
        </w:rPr>
        <w:t xml:space="preserve"> la solicitud </w:t>
      </w:r>
    </w:p>
    <w:p w:rsidR="00D12136" w:rsidRDefault="00D12136" w:rsidP="00D12136">
      <w:pPr>
        <w:pStyle w:val="Textoindependiente"/>
        <w:spacing w:before="164" w:line="360" w:lineRule="auto"/>
        <w:ind w:right="49"/>
        <w:jc w:val="both"/>
        <w:rPr>
          <w:bCs/>
          <w:szCs w:val="22"/>
        </w:rPr>
      </w:pPr>
    </w:p>
    <w:p w:rsidR="00D12136" w:rsidRDefault="00314CC5" w:rsidP="00D12136">
      <w:pPr>
        <w:spacing w:line="360" w:lineRule="auto"/>
        <w:jc w:val="both"/>
        <w:rPr>
          <w:rFonts w:ascii="Palatino Linotype" w:eastAsia="Calibri" w:hAnsi="Palatino Linotype"/>
          <w:lang w:val="es-ES_tradnl"/>
        </w:rPr>
      </w:pPr>
      <w:r w:rsidRPr="00314CC5">
        <w:rPr>
          <w:sz w:val="24"/>
        </w:rPr>
        <w:t xml:space="preserve">El Particular se inconformó en el sentido de que </w:t>
      </w:r>
      <w:r w:rsidR="00D12136" w:rsidRPr="00D12136">
        <w:rPr>
          <w:rFonts w:ascii="Palatino Linotype" w:hAnsi="Palatino Linotype"/>
          <w:i/>
          <w:lang w:val="es-ES_tradnl"/>
        </w:rPr>
        <w:t>“…</w:t>
      </w:r>
      <w:r w:rsidR="00D12136" w:rsidRPr="00D12136">
        <w:rPr>
          <w:rFonts w:ascii="Palatino Linotype" w:hAnsi="Palatino Linotype"/>
          <w:bCs/>
          <w:i/>
        </w:rPr>
        <w:t>la respuesta por parte del sujeto obligado, NO CUMPLE con los principios EN MATERIA DE TRANSPARENCIA, ya que la misma, es incompleta, no se encuentra debidamente fundada y motivada…”</w:t>
      </w:r>
      <w:r w:rsidR="00D12136">
        <w:rPr>
          <w:rFonts w:ascii="Palatino Linotype" w:hAnsi="Palatino Linotype"/>
          <w:bCs/>
          <w:i/>
        </w:rPr>
        <w:t>,</w:t>
      </w:r>
      <w:r w:rsidR="00D12136">
        <w:rPr>
          <w:rFonts w:ascii="Palatino Linotype" w:hAnsi="Palatino Linotype"/>
          <w:i/>
          <w:lang w:val="es-ES_tradnl"/>
        </w:rPr>
        <w:t xml:space="preserve"> </w:t>
      </w:r>
      <w:r w:rsidR="00D12136">
        <w:rPr>
          <w:rFonts w:ascii="Palatino Linotype" w:eastAsia="Calibri" w:hAnsi="Palatino Linotype"/>
          <w:i/>
          <w:lang w:val="es-ES_tradnl"/>
        </w:rPr>
        <w:t>“…</w:t>
      </w:r>
      <w:r w:rsidR="00D12136">
        <w:rPr>
          <w:rFonts w:ascii="Palatino Linotype" w:eastAsia="Calibri" w:hAnsi="Palatino Linotype"/>
          <w:i/>
        </w:rPr>
        <w:t>resulta obvio que por delegación, se encuentra obligada a realizar el requerimiento de pago de los locatarios de los mercados públicos de Chimalhuacán, y la pregunta, aun y cuando fue turnada al Departamento de Mercados de dicho municipio, debe de ser contestada en todo caso, por la Tesorería…”</w:t>
      </w:r>
    </w:p>
    <w:p w:rsidR="00314CC5" w:rsidRPr="00314CC5" w:rsidRDefault="00314CC5" w:rsidP="00314CC5">
      <w:pPr>
        <w:spacing w:after="0" w:line="360" w:lineRule="auto"/>
        <w:jc w:val="both"/>
        <w:rPr>
          <w:sz w:val="24"/>
        </w:rPr>
      </w:pPr>
    </w:p>
    <w:p w:rsidR="00B775D8" w:rsidRPr="00F16D7B" w:rsidRDefault="002102E4" w:rsidP="00314CC5">
      <w:pPr>
        <w:spacing w:line="360" w:lineRule="auto"/>
        <w:jc w:val="both"/>
        <w:rPr>
          <w:sz w:val="24"/>
        </w:rPr>
      </w:pPr>
      <w:r>
        <w:rPr>
          <w:sz w:val="24"/>
        </w:rPr>
        <w:t xml:space="preserve">Por tanto, </w:t>
      </w:r>
      <w:r w:rsidR="00B775D8" w:rsidRPr="00F16D7B">
        <w:rPr>
          <w:sz w:val="24"/>
        </w:rPr>
        <w:t>en el presente caso es evidente que el pago que se pretendiera aplicar para la expedición de la información requerida por RECURRENTE, no resulta aplicable toda vez que el legislador ha tenido el tino de establecer en la ley una medida de que puede contribuir a la reparación integral de la persona afectada y consiste en una dimensión colectiva de responsabilidad, complementaria de la antes descrita, y</w:t>
      </w:r>
      <w:r w:rsidR="0041486C" w:rsidRPr="00F16D7B">
        <w:rPr>
          <w:sz w:val="24"/>
        </w:rPr>
        <w:t xml:space="preserve"> </w:t>
      </w:r>
      <w:r w:rsidR="00B775D8" w:rsidRPr="00F16D7B">
        <w:rPr>
          <w:sz w:val="24"/>
        </w:rPr>
        <w:t>que consiste en que el Sujeto Obligado entregue la información sin costo alguno para el solicitante cuando el Instituto determine que por negligencia no se hubiere atendido alguna solicitud en los términos de la ley.</w:t>
      </w:r>
    </w:p>
    <w:p w:rsidR="00314CC5" w:rsidRPr="00F90B70" w:rsidRDefault="00314CC5" w:rsidP="00314CC5">
      <w:pPr>
        <w:spacing w:after="0" w:line="360" w:lineRule="auto"/>
        <w:jc w:val="both"/>
        <w:rPr>
          <w:sz w:val="24"/>
        </w:rPr>
      </w:pPr>
      <w:r w:rsidRPr="00F90B70">
        <w:rPr>
          <w:sz w:val="24"/>
        </w:rPr>
        <w:t xml:space="preserve">Se advierte que el Particular requirió información certificada a través de SAIMEX, en ese sentido, resulta necesario traer a colación el artículo 155, fracción V, de la Ley de Transparencia y Acceso a la Información Pública del Estado de México y Municipios, que precisa que para presentar una solicitud, el particular podrá señalar la modalidad en la que prefiere se otorgue el acceso a la información, la cual podrá ser verbal, siempre y cuando sea para fines de orientación, a través de consulta directa, mediante la expedición de copias simples o certificadas o la reproducción en cualquier otro medio, incluidos los electrónicos. </w:t>
      </w:r>
    </w:p>
    <w:p w:rsidR="00314CC5" w:rsidRPr="00F90B70" w:rsidRDefault="00314CC5" w:rsidP="00314CC5">
      <w:pPr>
        <w:spacing w:after="0" w:line="360" w:lineRule="auto"/>
        <w:jc w:val="both"/>
        <w:rPr>
          <w:sz w:val="24"/>
        </w:rPr>
      </w:pPr>
    </w:p>
    <w:p w:rsidR="00314CC5" w:rsidRPr="00F90B70" w:rsidRDefault="00314CC5" w:rsidP="00314CC5">
      <w:pPr>
        <w:spacing w:after="0" w:line="360" w:lineRule="auto"/>
        <w:jc w:val="both"/>
        <w:rPr>
          <w:sz w:val="24"/>
        </w:rPr>
      </w:pPr>
      <w:r w:rsidRPr="00F90B70">
        <w:rPr>
          <w:sz w:val="24"/>
        </w:rPr>
        <w:t>Por su parte, el artículo 158 de la Ley en comento dispone que se facilitará su copia simple o certificada, así como su reproducción por cualquier medio disponible en las instalaciones del sujeto obligado.</w:t>
      </w:r>
    </w:p>
    <w:p w:rsidR="00314CC5" w:rsidRPr="00F90B70" w:rsidRDefault="00314CC5" w:rsidP="00314CC5">
      <w:pPr>
        <w:spacing w:after="0" w:line="360" w:lineRule="auto"/>
        <w:jc w:val="both"/>
        <w:rPr>
          <w:sz w:val="24"/>
        </w:rPr>
      </w:pPr>
    </w:p>
    <w:p w:rsidR="006C3542" w:rsidRPr="002102E4" w:rsidRDefault="00314CC5" w:rsidP="006C3542">
      <w:pPr>
        <w:pStyle w:val="Prrafodelista"/>
        <w:spacing w:line="360" w:lineRule="auto"/>
        <w:ind w:left="0"/>
        <w:jc w:val="both"/>
        <w:rPr>
          <w:rFonts w:asciiTheme="minorHAnsi" w:eastAsiaTheme="minorHAnsi" w:hAnsiTheme="minorHAnsi" w:cstheme="minorBidi"/>
          <w:szCs w:val="22"/>
          <w:lang w:val="es-MX" w:eastAsia="en-US"/>
        </w:rPr>
      </w:pPr>
      <w:r w:rsidRPr="002102E4">
        <w:rPr>
          <w:rFonts w:asciiTheme="minorHAnsi" w:eastAsiaTheme="minorHAnsi" w:hAnsiTheme="minorHAnsi" w:cstheme="minorBidi"/>
          <w:szCs w:val="22"/>
          <w:lang w:val="es-MX" w:eastAsia="en-US"/>
        </w:rPr>
        <w:t>Así la certificación, tiene la finalidad de comprobar la existencia de los documentos que se entregaron por medio del derecho de acceso a la información, en los archivos del Sujeto Obligado y, por tanto, se deben aportar elementos que otorguen certeza de que estos documentos fueron expedidos por autoridad competente, por ello, los sellos o los elementos que contemple el Sujeto Obligado para la certificación, con la precisión de que la propia ley de transparencia en su artículo 158, párrafo segundo, contempla la entrega de las copia</w:t>
      </w:r>
      <w:r w:rsidR="006C3542" w:rsidRPr="002102E4">
        <w:rPr>
          <w:rFonts w:asciiTheme="minorHAnsi" w:eastAsiaTheme="minorHAnsi" w:hAnsiTheme="minorHAnsi" w:cstheme="minorBidi"/>
          <w:szCs w:val="22"/>
          <w:lang w:val="es-MX" w:eastAsia="en-US"/>
        </w:rPr>
        <w:t>s certificadas de manera física, sin embargo;</w:t>
      </w:r>
      <w:r w:rsidRPr="002102E4">
        <w:rPr>
          <w:rFonts w:asciiTheme="minorHAnsi" w:eastAsiaTheme="minorHAnsi" w:hAnsiTheme="minorHAnsi" w:cstheme="minorBidi"/>
          <w:szCs w:val="22"/>
          <w:lang w:val="es-MX" w:eastAsia="en-US"/>
        </w:rPr>
        <w:t xml:space="preserve"> </w:t>
      </w:r>
      <w:r w:rsidR="006C3542" w:rsidRPr="002102E4">
        <w:rPr>
          <w:rFonts w:asciiTheme="minorHAnsi" w:eastAsiaTheme="minorHAnsi" w:hAnsiTheme="minorHAnsi" w:cstheme="minorBidi"/>
          <w:szCs w:val="22"/>
          <w:lang w:val="es-MX" w:eastAsia="en-US"/>
        </w:rPr>
        <w:t xml:space="preserve">el Particular se inconformó en el sentido de que se le negó la información y de que la misma no le fue entregada debidamente certificada, tal como fue planteado de manera inicial. </w:t>
      </w:r>
    </w:p>
    <w:p w:rsidR="006C3542" w:rsidRDefault="006C3542" w:rsidP="006C3542">
      <w:pPr>
        <w:pStyle w:val="Prrafodelista"/>
        <w:spacing w:line="360" w:lineRule="auto"/>
        <w:ind w:left="0"/>
        <w:jc w:val="both"/>
        <w:rPr>
          <w:rFonts w:ascii="Palatino Linotype" w:eastAsia="Palatino Linotype" w:hAnsi="Palatino Linotype" w:cs="Palatino Linotype"/>
          <w:bCs/>
          <w:szCs w:val="22"/>
        </w:rPr>
      </w:pPr>
    </w:p>
    <w:p w:rsidR="00B775D8" w:rsidRPr="0041486C" w:rsidRDefault="00B775D8" w:rsidP="00F16D7B">
      <w:pPr>
        <w:pStyle w:val="Textoindependiente"/>
        <w:spacing w:before="163" w:line="360" w:lineRule="auto"/>
        <w:ind w:right="247"/>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Por lo que toda vez que se trata de una “máxima autoridad” de la que se espera el más alto estándar en la promoción y respeto de los derechos humanos y que el hoy recurrente, de manera clara, precisa, contundente e indubitable requirió información pública a la que pretende acceder en su modalidad de copia certificada ya que se aprecia que existe una actitud negligente</w:t>
      </w:r>
      <w:r w:rsidR="0041486C" w:rsidRPr="00636B80">
        <w:rPr>
          <w:sz w:val="16"/>
          <w:szCs w:val="16"/>
        </w:rPr>
        <w:footnoteReference w:id="2"/>
      </w:r>
      <w:r w:rsidRPr="00636B80">
        <w:rPr>
          <w:rFonts w:asciiTheme="minorHAnsi" w:eastAsiaTheme="minorHAnsi" w:hAnsiTheme="minorHAnsi" w:cstheme="minorBidi"/>
          <w:sz w:val="16"/>
          <w:szCs w:val="16"/>
          <w:lang w:val="es-MX"/>
        </w:rPr>
        <w:t xml:space="preserve"> </w:t>
      </w:r>
      <w:r w:rsidRPr="0041486C">
        <w:rPr>
          <w:rFonts w:asciiTheme="minorHAnsi" w:eastAsiaTheme="minorHAnsi" w:hAnsiTheme="minorHAnsi" w:cstheme="minorBidi"/>
          <w:szCs w:val="22"/>
          <w:lang w:val="es-MX"/>
        </w:rPr>
        <w:t xml:space="preserve">que provocó que la solicitud no fuera atendida en los términos de la ley, </w:t>
      </w:r>
      <w:r w:rsidR="00927D8F">
        <w:rPr>
          <w:rFonts w:asciiTheme="minorHAnsi" w:eastAsiaTheme="minorHAnsi" w:hAnsiTheme="minorHAnsi" w:cstheme="minorBidi"/>
          <w:szCs w:val="22"/>
          <w:lang w:val="es-MX"/>
        </w:rPr>
        <w:t xml:space="preserve">ya que </w:t>
      </w:r>
      <w:r w:rsidR="00927D8F" w:rsidRPr="00F16D7B">
        <w:rPr>
          <w:rFonts w:asciiTheme="minorHAnsi" w:eastAsiaTheme="minorHAnsi" w:hAnsiTheme="minorHAnsi" w:cstheme="minorBidi"/>
          <w:szCs w:val="22"/>
          <w:lang w:val="es-MX"/>
        </w:rPr>
        <w:t>no se realizó el turno a las áreas competentes que cuenten con la información o deban tenerla de acuerdo a sus facultades, competencias y funciones</w:t>
      </w:r>
      <w:r w:rsidR="00927D8F" w:rsidRPr="0041486C">
        <w:rPr>
          <w:rFonts w:asciiTheme="minorHAnsi" w:eastAsiaTheme="minorHAnsi" w:hAnsiTheme="minorHAnsi" w:cstheme="minorBidi"/>
          <w:szCs w:val="22"/>
          <w:lang w:val="es-MX"/>
        </w:rPr>
        <w:t xml:space="preserve"> </w:t>
      </w:r>
      <w:r w:rsidRPr="0041486C">
        <w:rPr>
          <w:rFonts w:asciiTheme="minorHAnsi" w:eastAsiaTheme="minorHAnsi" w:hAnsiTheme="minorHAnsi" w:cstheme="minorBidi"/>
          <w:szCs w:val="22"/>
          <w:lang w:val="es-MX"/>
        </w:rPr>
        <w:t>por lo que procedería el acceso a las copias certificadas sin que medie el pago de los derechos correspondientes.</w:t>
      </w:r>
    </w:p>
    <w:p w:rsidR="00B775D8" w:rsidRPr="0041486C" w:rsidRDefault="00B775D8" w:rsidP="00F16D7B">
      <w:pPr>
        <w:pStyle w:val="Textoindependiente"/>
        <w:rPr>
          <w:rFonts w:asciiTheme="minorHAnsi" w:eastAsiaTheme="minorHAnsi" w:hAnsiTheme="minorHAnsi" w:cstheme="minorBidi"/>
          <w:szCs w:val="22"/>
          <w:lang w:val="es-MX"/>
        </w:rPr>
      </w:pPr>
    </w:p>
    <w:p w:rsidR="00B775D8" w:rsidRPr="0041486C" w:rsidRDefault="00B775D8" w:rsidP="00F16D7B">
      <w:pPr>
        <w:pStyle w:val="Textoindependiente"/>
        <w:spacing w:line="360" w:lineRule="auto"/>
        <w:ind w:right="246"/>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En ese mismo sentido, al perder el Sujeto Obligado la posibilidad momentánea de acceder a los derechos por la expedición de las copias certificadas, puede ser un incentivo adicional para que, en el futuro, las solicitudes de acceso a la información sean atendidas bajo el más alto estándar que promueva la plena protección del derecho en cuestión.</w:t>
      </w:r>
    </w:p>
    <w:p w:rsidR="00B775D8" w:rsidRPr="0041486C" w:rsidRDefault="00B775D8" w:rsidP="00F16D7B">
      <w:pPr>
        <w:pStyle w:val="Textoindependiente"/>
        <w:rPr>
          <w:rFonts w:asciiTheme="minorHAnsi" w:eastAsiaTheme="minorHAnsi" w:hAnsiTheme="minorHAnsi" w:cstheme="minorBidi"/>
          <w:szCs w:val="22"/>
          <w:lang w:val="es-MX"/>
        </w:rPr>
      </w:pPr>
    </w:p>
    <w:p w:rsidR="00927D8F" w:rsidRPr="00927D8F" w:rsidRDefault="00B775D8" w:rsidP="00F16D7B">
      <w:pPr>
        <w:pStyle w:val="Textoindependiente"/>
        <w:spacing w:before="24" w:line="360" w:lineRule="auto"/>
        <w:ind w:right="195"/>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 xml:space="preserve">Así la cosas, -se insiste- que la respuesta del sujeto Obligado, violó el derecho de acceso a la información pública del RECURRENTE, al no proporcionarle las copias </w:t>
      </w:r>
      <w:r w:rsidR="00927D8F" w:rsidRPr="00927D8F">
        <w:rPr>
          <w:rFonts w:asciiTheme="minorHAnsi" w:eastAsiaTheme="minorHAnsi" w:hAnsiTheme="minorHAnsi" w:cstheme="minorBidi"/>
          <w:szCs w:val="22"/>
          <w:lang w:val="es-MX"/>
        </w:rPr>
        <w:t>certificadas con costo de la información que requería, previo el pago de los derechos correspondientes, es procedente ordenarle la entrega de la información en la modalidad inicialmente requerida pero sin que medie el pago de los derechos toda vez que se acredita una actuación negligente de la autoridad por lo resulta aplicable el artículo 234 de la Ley de Transparencia y Acceso a la Información Pública del Estado de México y Municipios.</w:t>
      </w:r>
    </w:p>
    <w:p w:rsidR="00B775D8" w:rsidRPr="0041486C" w:rsidRDefault="00B775D8" w:rsidP="00927D8F">
      <w:pPr>
        <w:pStyle w:val="Textoindependiente"/>
        <w:spacing w:before="24" w:line="360" w:lineRule="auto"/>
        <w:ind w:left="102" w:right="254"/>
        <w:jc w:val="both"/>
        <w:rPr>
          <w:rFonts w:asciiTheme="minorHAnsi" w:eastAsiaTheme="minorHAnsi" w:hAnsiTheme="minorHAnsi" w:cstheme="minorBidi"/>
          <w:szCs w:val="22"/>
          <w:lang w:val="es-MX"/>
        </w:rPr>
      </w:pPr>
    </w:p>
    <w:p w:rsidR="00B775D8" w:rsidRPr="0041486C" w:rsidRDefault="00B775D8" w:rsidP="00B775D8">
      <w:pPr>
        <w:pStyle w:val="Textoindependiente"/>
        <w:spacing w:before="164" w:line="360" w:lineRule="auto"/>
        <w:ind w:left="102" w:right="197"/>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No se omite manifestar que el ordenar la entrega de la información sin costo por reproducción en el caso de las solicitudes en copias certificadas no irroga afectación alguna al erario público, toda vez que el procedimiento de acceso a la información pública, es gratuito de conformidad a la ley; por lo que no debe tener propósitos recaudatorios, toda vez que la gratuidad de la información es uno de los principios rectores de la transparencia y el derecho a la información.</w:t>
      </w:r>
    </w:p>
    <w:p w:rsidR="00B775D8" w:rsidRPr="0041486C" w:rsidRDefault="00B775D8" w:rsidP="00B775D8">
      <w:pPr>
        <w:pStyle w:val="Textoindependiente"/>
        <w:spacing w:before="12"/>
        <w:rPr>
          <w:rFonts w:asciiTheme="minorHAnsi" w:eastAsiaTheme="minorHAnsi" w:hAnsiTheme="minorHAnsi" w:cstheme="minorBidi"/>
          <w:szCs w:val="22"/>
          <w:lang w:val="es-MX"/>
        </w:rPr>
      </w:pPr>
    </w:p>
    <w:p w:rsidR="00B775D8" w:rsidRPr="0041486C" w:rsidRDefault="00B775D8" w:rsidP="00B775D8">
      <w:pPr>
        <w:pStyle w:val="Textoindependiente"/>
        <w:spacing w:line="360" w:lineRule="auto"/>
        <w:ind w:left="102" w:right="202"/>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Los fines recaudatorios son una limitante de la garantía constitucional del derecho de acceso a la información y contravienen su naturaleza general, ya que inhiben indebidamente el ejercicio amplio y completo del derecho de acceso a la información.</w:t>
      </w:r>
    </w:p>
    <w:p w:rsidR="00B775D8" w:rsidRPr="0041486C" w:rsidRDefault="00B775D8" w:rsidP="00B775D8">
      <w:pPr>
        <w:pStyle w:val="Textoindependiente"/>
        <w:rPr>
          <w:rFonts w:asciiTheme="minorHAnsi" w:eastAsiaTheme="minorHAnsi" w:hAnsiTheme="minorHAnsi" w:cstheme="minorBidi"/>
          <w:szCs w:val="22"/>
          <w:lang w:val="es-MX"/>
        </w:rPr>
      </w:pPr>
    </w:p>
    <w:p w:rsidR="00B775D8" w:rsidRPr="0041486C" w:rsidRDefault="00B775D8" w:rsidP="0041486C">
      <w:pPr>
        <w:pStyle w:val="Textoindependiente"/>
        <w:spacing w:before="163" w:line="360" w:lineRule="auto"/>
        <w:ind w:left="102" w:right="195"/>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En materia de costos según refiere el Código Financiero del Estado de México, en el artículo 148, se establecen los derechos por la expedición de documentos solicitados en el ejercicio del derecho a la información pública, no estableciéndose un máximo de hojas para determinar el no cobro, lo cual no abona al ejercicio del Control de</w:t>
      </w:r>
      <w:r w:rsidR="0041486C">
        <w:rPr>
          <w:rFonts w:asciiTheme="minorHAnsi" w:eastAsiaTheme="minorHAnsi" w:hAnsiTheme="minorHAnsi" w:cstheme="minorBidi"/>
          <w:szCs w:val="22"/>
          <w:lang w:val="es-MX"/>
        </w:rPr>
        <w:t xml:space="preserve"> </w:t>
      </w:r>
      <w:r w:rsidRPr="0041486C">
        <w:rPr>
          <w:rFonts w:asciiTheme="minorHAnsi" w:eastAsiaTheme="minorHAnsi" w:hAnsiTheme="minorHAnsi" w:cstheme="minorBidi"/>
          <w:szCs w:val="22"/>
          <w:lang w:val="es-MX"/>
        </w:rPr>
        <w:t>Convencionalidad; mismo que obliga a todas las autoridades, a determinar sobre aquello que más beneficie a la persona, garantizando en todo momento, sus derechos.</w:t>
      </w:r>
    </w:p>
    <w:p w:rsidR="00B775D8" w:rsidRPr="0041486C" w:rsidRDefault="00B775D8" w:rsidP="00B775D8">
      <w:pPr>
        <w:pStyle w:val="Textoindependiente"/>
        <w:rPr>
          <w:rFonts w:asciiTheme="minorHAnsi" w:eastAsiaTheme="minorHAnsi" w:hAnsiTheme="minorHAnsi" w:cstheme="minorBidi"/>
          <w:szCs w:val="22"/>
          <w:lang w:val="es-MX"/>
        </w:rPr>
      </w:pPr>
    </w:p>
    <w:p w:rsidR="00B775D8" w:rsidRPr="0041486C" w:rsidRDefault="00F90B70" w:rsidP="0041486C">
      <w:pPr>
        <w:pStyle w:val="Textoindependiente"/>
        <w:spacing w:before="163" w:line="360" w:lineRule="auto"/>
        <w:ind w:left="102" w:right="196"/>
        <w:jc w:val="both"/>
        <w:rPr>
          <w:rFonts w:asciiTheme="minorHAnsi" w:eastAsiaTheme="minorHAnsi" w:hAnsiTheme="minorHAnsi" w:cstheme="minorBidi"/>
          <w:szCs w:val="22"/>
          <w:lang w:val="es-MX"/>
        </w:rPr>
      </w:pPr>
      <w:r>
        <w:rPr>
          <w:rFonts w:asciiTheme="minorHAnsi" w:eastAsiaTheme="minorHAnsi" w:hAnsiTheme="minorHAnsi" w:cstheme="minorBidi"/>
          <w:szCs w:val="22"/>
          <w:lang w:val="es-MX"/>
        </w:rPr>
        <w:t>L</w:t>
      </w:r>
      <w:r w:rsidR="00B775D8" w:rsidRPr="0041486C">
        <w:rPr>
          <w:rFonts w:asciiTheme="minorHAnsi" w:eastAsiaTheme="minorHAnsi" w:hAnsiTheme="minorHAnsi" w:cstheme="minorBidi"/>
          <w:szCs w:val="22"/>
          <w:lang w:val="es-MX"/>
        </w:rPr>
        <w:t>a Relatoría Especial para la Libertad de Expresión de la Organización de Estados Americanos, en su Estudio Especial sobre el Derecho de Acceso a la Información, en materia de acceso a la información establece un punto esencial de este derecho que consiste en la no onerosidad del proceso de suministro de información. En realidad, este elemento es una garantía para el ejercicio de este derecho sobre los que se ensayaron distintos sistemas para asegurar que el costo de la solicitud y su suministro no sea excesivo y suponga un desincentivo para las personas. Reiterando más adelante en su Informe El Derecho de Acceso a la Información en el marco jurídico interamericano que las solicitudes de información al Estado, deben cumplir dentro de otras características la de ser “gratuita o de bajo</w:t>
      </w:r>
      <w:r w:rsidR="0041486C">
        <w:rPr>
          <w:rFonts w:asciiTheme="minorHAnsi" w:eastAsiaTheme="minorHAnsi" w:hAnsiTheme="minorHAnsi" w:cstheme="minorBidi"/>
          <w:szCs w:val="22"/>
          <w:lang w:val="es-MX"/>
        </w:rPr>
        <w:t xml:space="preserve"> </w:t>
      </w:r>
      <w:r w:rsidR="00B775D8" w:rsidRPr="0041486C">
        <w:rPr>
          <w:rFonts w:asciiTheme="minorHAnsi" w:eastAsiaTheme="minorHAnsi" w:hAnsiTheme="minorHAnsi" w:cstheme="minorBidi"/>
          <w:szCs w:val="22"/>
          <w:lang w:val="es-MX"/>
        </w:rPr>
        <w:t>costo, de tal manera que no desaliente las solicitudes de información.” Lo mismo se recalca en el Caso Barreto Leiva vs. Venezuela, Sentencia de 17 de noviembre de 2009.</w:t>
      </w:r>
    </w:p>
    <w:p w:rsidR="00B775D8" w:rsidRPr="0041486C" w:rsidRDefault="00B775D8" w:rsidP="00B775D8">
      <w:pPr>
        <w:pStyle w:val="Textoindependiente"/>
        <w:spacing w:before="24" w:line="360" w:lineRule="auto"/>
        <w:ind w:left="102"/>
        <w:rPr>
          <w:rFonts w:asciiTheme="minorHAnsi" w:eastAsiaTheme="minorHAnsi" w:hAnsiTheme="minorHAnsi" w:cstheme="minorBidi"/>
          <w:szCs w:val="22"/>
          <w:lang w:val="es-MX"/>
        </w:rPr>
      </w:pPr>
    </w:p>
    <w:p w:rsidR="00B775D8" w:rsidRPr="0041486C" w:rsidRDefault="00B775D8" w:rsidP="00B775D8">
      <w:pPr>
        <w:pStyle w:val="Textoindependiente"/>
        <w:spacing w:before="24" w:line="360" w:lineRule="auto"/>
        <w:ind w:left="102"/>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Lo anterior expone razones suficientes para la emisión y presentación del presente</w:t>
      </w:r>
      <w:r w:rsidR="0041486C">
        <w:rPr>
          <w:rFonts w:asciiTheme="minorHAnsi" w:eastAsiaTheme="minorHAnsi" w:hAnsiTheme="minorHAnsi" w:cstheme="minorBidi"/>
          <w:szCs w:val="22"/>
          <w:lang w:val="es-MX"/>
        </w:rPr>
        <w:t xml:space="preserve"> </w:t>
      </w:r>
      <w:r w:rsidRPr="0041486C">
        <w:rPr>
          <w:rFonts w:asciiTheme="minorHAnsi" w:eastAsiaTheme="minorHAnsi" w:hAnsiTheme="minorHAnsi" w:cstheme="minorBidi"/>
          <w:szCs w:val="22"/>
          <w:lang w:val="es-MX"/>
        </w:rPr>
        <w:t>Voto Particular.---------------------------------------------------------------------------------------------------------------------------------------------------------------------------------------------------------------------------------------------------------------------------------------------------------------------------</w:t>
      </w:r>
      <w:r w:rsidRPr="0041486C">
        <w:rPr>
          <w:rFonts w:asciiTheme="minorHAnsi" w:eastAsiaTheme="minorHAnsi" w:hAnsiTheme="minorHAnsi" w:cstheme="minorBidi"/>
          <w:szCs w:val="22"/>
          <w:lang w:val="es-MX"/>
        </w:rPr>
        <w:tab/>
      </w:r>
    </w:p>
    <w:p w:rsidR="00B775D8" w:rsidRPr="0041486C" w:rsidRDefault="00B775D8" w:rsidP="00B775D8">
      <w:pPr>
        <w:spacing w:after="0" w:line="360" w:lineRule="auto"/>
        <w:jc w:val="both"/>
        <w:rPr>
          <w:sz w:val="24"/>
        </w:rPr>
      </w:pPr>
    </w:p>
    <w:p w:rsidR="00B775D8" w:rsidRPr="0041486C" w:rsidRDefault="00B775D8" w:rsidP="00B775D8">
      <w:pPr>
        <w:spacing w:after="0" w:line="360" w:lineRule="auto"/>
        <w:jc w:val="both"/>
        <w:rPr>
          <w:sz w:val="24"/>
        </w:rPr>
      </w:pPr>
    </w:p>
    <w:p w:rsidR="00B775D8" w:rsidRPr="0041486C" w:rsidRDefault="00B775D8" w:rsidP="00B775D8">
      <w:pPr>
        <w:spacing w:after="0" w:line="360" w:lineRule="auto"/>
        <w:jc w:val="both"/>
        <w:rPr>
          <w:sz w:val="24"/>
        </w:rPr>
      </w:pPr>
    </w:p>
    <w:p w:rsidR="00B775D8" w:rsidRPr="0041486C" w:rsidRDefault="00B775D8" w:rsidP="00812CB2">
      <w:pPr>
        <w:spacing w:after="0" w:line="360" w:lineRule="auto"/>
        <w:jc w:val="both"/>
        <w:rPr>
          <w:sz w:val="24"/>
        </w:rPr>
      </w:pPr>
    </w:p>
    <w:p w:rsidR="00BD3823" w:rsidRPr="0041486C" w:rsidRDefault="00BD3823" w:rsidP="00812CB2">
      <w:pPr>
        <w:rPr>
          <w:sz w:val="24"/>
        </w:rPr>
      </w:pPr>
    </w:p>
    <w:p w:rsidR="00F12682" w:rsidRPr="0041486C" w:rsidRDefault="00F12682" w:rsidP="00812CB2">
      <w:pPr>
        <w:rPr>
          <w:sz w:val="24"/>
        </w:rPr>
      </w:pPr>
    </w:p>
    <w:p w:rsidR="00F12682" w:rsidRPr="0041486C" w:rsidRDefault="00F12682" w:rsidP="00812CB2">
      <w:pPr>
        <w:rPr>
          <w:sz w:val="24"/>
        </w:rPr>
      </w:pPr>
    </w:p>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sectPr w:rsidR="00F12682" w:rsidRPr="00C569A8" w:rsidSect="001F7B38">
      <w:headerReference w:type="even" r:id="rId8"/>
      <w:headerReference w:type="default" r:id="rId9"/>
      <w:footerReference w:type="default" r:id="rId10"/>
      <w:pgSz w:w="12240" w:h="15840"/>
      <w:pgMar w:top="926" w:right="1418" w:bottom="1418" w:left="1701"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31D" w:rsidRDefault="0064431D" w:rsidP="00907451">
      <w:pPr>
        <w:spacing w:after="0" w:line="240" w:lineRule="auto"/>
      </w:pPr>
      <w:r>
        <w:separator/>
      </w:r>
    </w:p>
  </w:endnote>
  <w:endnote w:type="continuationSeparator" w:id="0">
    <w:p w:rsidR="0064431D" w:rsidRDefault="0064431D"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6C" w:rsidRPr="00986599" w:rsidRDefault="0041486C"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4431D">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4431D">
      <w:rPr>
        <w:rFonts w:ascii="Arial" w:hAnsi="Arial" w:cs="Arial"/>
        <w:b/>
        <w:bCs/>
        <w:noProof/>
        <w:sz w:val="20"/>
        <w:szCs w:val="20"/>
      </w:rPr>
      <w:t>1</w:t>
    </w:r>
    <w:r w:rsidRPr="00986599">
      <w:rPr>
        <w:rFonts w:ascii="Arial" w:hAnsi="Arial" w:cs="Arial"/>
        <w:b/>
        <w:bCs/>
        <w:sz w:val="20"/>
        <w:szCs w:val="20"/>
      </w:rPr>
      <w:fldChar w:fldCharType="end"/>
    </w:r>
  </w:p>
  <w:p w:rsidR="0041486C" w:rsidRDefault="0041486C" w:rsidP="007F0307">
    <w:pPr>
      <w:pStyle w:val="Piedepgina"/>
      <w:jc w:val="right"/>
    </w:pPr>
  </w:p>
  <w:p w:rsidR="0041486C" w:rsidRDefault="0041486C"/>
  <w:p w:rsidR="0041486C" w:rsidRDefault="004148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31D" w:rsidRDefault="0064431D" w:rsidP="00907451">
      <w:pPr>
        <w:spacing w:after="0" w:line="240" w:lineRule="auto"/>
      </w:pPr>
      <w:r>
        <w:separator/>
      </w:r>
    </w:p>
  </w:footnote>
  <w:footnote w:type="continuationSeparator" w:id="0">
    <w:p w:rsidR="0064431D" w:rsidRDefault="0064431D" w:rsidP="00907451">
      <w:pPr>
        <w:spacing w:after="0" w:line="240" w:lineRule="auto"/>
      </w:pPr>
      <w:r>
        <w:continuationSeparator/>
      </w:r>
    </w:p>
  </w:footnote>
  <w:footnote w:id="1">
    <w:p w:rsidR="0041486C" w:rsidRPr="0041486C" w:rsidRDefault="0041486C" w:rsidP="0041486C">
      <w:pPr>
        <w:spacing w:after="0" w:line="240" w:lineRule="auto"/>
        <w:jc w:val="both"/>
        <w:rPr>
          <w:sz w:val="20"/>
          <w:szCs w:val="20"/>
        </w:rPr>
      </w:pPr>
      <w:r>
        <w:rPr>
          <w:rStyle w:val="Refdenotaalpie"/>
        </w:rPr>
        <w:footnoteRef/>
      </w:r>
      <w:r>
        <w:t xml:space="preserve"> </w:t>
      </w:r>
      <w:r w:rsidRPr="0041486C">
        <w:rPr>
          <w:sz w:val="20"/>
          <w:szCs w:val="20"/>
        </w:rPr>
        <w:t>Carbonell, Miguel y Bustillos, Roqueñi, (Coordinadores), Hacia una democracia de contenidos: La reforma constitucional en materia de transparencia, Universidad Nacional Autónoma de México, Instituto Federal de Acceso a la Información e Instituto de Acceso a la Información Pública del Distrito Federal, México, 2008, Páginas 11 y 12</w:t>
      </w:r>
    </w:p>
    <w:p w:rsidR="0041486C" w:rsidRDefault="0041486C">
      <w:pPr>
        <w:pStyle w:val="Textonotapie"/>
      </w:pPr>
    </w:p>
  </w:footnote>
  <w:footnote w:id="2">
    <w:p w:rsidR="0041486C" w:rsidRDefault="0041486C" w:rsidP="0041486C">
      <w:pPr>
        <w:pStyle w:val="Textonotapie"/>
        <w:jc w:val="both"/>
      </w:pPr>
      <w:r>
        <w:rPr>
          <w:rStyle w:val="Refdenotaalpie"/>
        </w:rPr>
        <w:footnoteRef/>
      </w:r>
      <w:r>
        <w:t xml:space="preserve"> </w:t>
      </w:r>
      <w:r w:rsidRPr="0041486C">
        <w:t>Entendiendo por negligente la más simple y llana definición contenida en el Diccionario de la Lengua Española: “Negligente. Del lat. neglĭgens, -entis, part. act. de negligĕre 'descuidar'. 1. adj. descuidado. U. t. c. s. 2. adj. Falto de aplicación. U. t. c. s.” consultado el 22 de marzo de 2022 en https://dle.rae.es/negligente.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6C" w:rsidRDefault="0041486C">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1486C" w:rsidRDefault="0041486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41486C" w:rsidRDefault="0041486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41486C" w:rsidRDefault="0041486C"/>
  <w:p w:rsidR="0041486C" w:rsidRDefault="004148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521"/>
    </w:tblGrid>
    <w:tr w:rsidR="0041486C" w:rsidRPr="003E102C" w:rsidTr="00256959">
      <w:trPr>
        <w:trHeight w:val="1832"/>
      </w:trPr>
      <w:tc>
        <w:tcPr>
          <w:tcW w:w="2835" w:type="dxa"/>
          <w:vAlign w:val="bottom"/>
        </w:tcPr>
        <w:p w:rsidR="0041486C" w:rsidRDefault="0041486C" w:rsidP="00282741">
          <w:pPr>
            <w:pStyle w:val="Encabezado"/>
            <w:tabs>
              <w:tab w:val="center" w:pos="2614"/>
            </w:tabs>
            <w:ind w:left="-255"/>
          </w:pPr>
          <w:r>
            <w:rPr>
              <w:noProof/>
              <w:sz w:val="10"/>
              <w:szCs w:val="10"/>
              <w:lang w:val="es-MX" w:eastAsia="es-MX"/>
            </w:rPr>
            <w:drawing>
              <wp:inline distT="0" distB="0" distL="0" distR="0" wp14:anchorId="189231AB" wp14:editId="3B883F05">
                <wp:extent cx="1873633" cy="1126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41486C" w:rsidRDefault="0041486C" w:rsidP="00282741">
          <w:pPr>
            <w:pStyle w:val="Encabezado"/>
            <w:tabs>
              <w:tab w:val="center" w:pos="2614"/>
            </w:tabs>
          </w:pPr>
        </w:p>
      </w:tc>
      <w:tc>
        <w:tcPr>
          <w:tcW w:w="6521" w:type="dxa"/>
          <w:vAlign w:val="center"/>
        </w:tcPr>
        <w:p w:rsidR="0041486C" w:rsidRPr="003E102C" w:rsidRDefault="0041486C" w:rsidP="00282741">
          <w:pPr>
            <w:pStyle w:val="Encabezado"/>
            <w:ind w:left="-108" w:right="-250"/>
            <w:jc w:val="both"/>
            <w:rPr>
              <w:rFonts w:ascii="Palatino Linotype" w:hAnsi="Palatino Linotype" w:cs="Tahoma"/>
              <w:b/>
            </w:rPr>
          </w:pPr>
          <w:r>
            <w:rPr>
              <w:rFonts w:ascii="Palatino Linotype" w:hAnsi="Palatino Linotype" w:cs="Tahoma"/>
              <w:b/>
            </w:rPr>
            <w:t xml:space="preserve">Voto </w:t>
          </w:r>
          <w:r w:rsidRPr="003E102C">
            <w:rPr>
              <w:rFonts w:ascii="Palatino Linotype" w:hAnsi="Palatino Linotype" w:cs="Tahoma"/>
              <w:b/>
            </w:rPr>
            <w:t>Particular</w:t>
          </w:r>
        </w:p>
        <w:p w:rsidR="00314CC5" w:rsidRDefault="0041486C" w:rsidP="004A7409">
          <w:pPr>
            <w:pStyle w:val="Encabezado"/>
            <w:ind w:left="-108" w:right="-249"/>
            <w:jc w:val="both"/>
            <w:rPr>
              <w:rFonts w:eastAsia="Calibri" w:cs="Tahoma"/>
              <w:b/>
              <w:color w:val="0D0D0D"/>
            </w:rPr>
          </w:pPr>
          <w:r w:rsidRPr="003E102C">
            <w:rPr>
              <w:rFonts w:ascii="Palatino Linotype" w:hAnsi="Palatino Linotype" w:cs="Tahoma"/>
              <w:b/>
            </w:rPr>
            <w:t xml:space="preserve">Recurso de Revisión: </w:t>
          </w:r>
          <w:r w:rsidR="004A7409" w:rsidRPr="004A7409">
            <w:rPr>
              <w:rFonts w:ascii="Palatino Linotype" w:hAnsi="Palatino Linotype" w:cs="Arial"/>
              <w:bCs/>
              <w:lang w:eastAsia="es-MX"/>
            </w:rPr>
            <w:t>015030/INFOEM/IP/RR/2022</w:t>
          </w:r>
        </w:p>
        <w:p w:rsidR="004A7409" w:rsidRPr="004A7409" w:rsidRDefault="0041486C" w:rsidP="004A7409">
          <w:pPr>
            <w:pStyle w:val="Encabezado"/>
            <w:ind w:left="-108" w:right="-249"/>
            <w:jc w:val="both"/>
            <w:rPr>
              <w:rFonts w:ascii="Palatino Linotype" w:hAnsi="Palatino Linotype" w:cs="Arial"/>
              <w:bCs/>
            </w:rPr>
          </w:pPr>
          <w:r>
            <w:rPr>
              <w:rFonts w:ascii="Palatino Linotype" w:hAnsi="Palatino Linotype" w:cs="Tahoma"/>
              <w:b/>
            </w:rPr>
            <w:t>Sujeto Obligado:</w:t>
          </w:r>
          <w:r>
            <w:rPr>
              <w:rFonts w:ascii="Palatino Linotype" w:eastAsia="Palatino Linotype" w:hAnsi="Palatino Linotype" w:cs="Palatino Linotype"/>
              <w:b/>
            </w:rPr>
            <w:t xml:space="preserve"> </w:t>
          </w:r>
          <w:r w:rsidR="004A7409" w:rsidRPr="004A7409">
            <w:rPr>
              <w:rFonts w:ascii="Palatino Linotype" w:hAnsi="Palatino Linotype" w:cs="Arial"/>
              <w:bCs/>
            </w:rPr>
            <w:t>Ayuntamiento de Chimalhuacán</w:t>
          </w:r>
        </w:p>
        <w:p w:rsidR="0041486C" w:rsidRPr="00EA5189" w:rsidRDefault="0041486C" w:rsidP="004A7409">
          <w:pPr>
            <w:pStyle w:val="Encabezado"/>
            <w:ind w:left="-108" w:right="-249"/>
            <w:jc w:val="both"/>
            <w:rPr>
              <w:rFonts w:ascii="Palatino Linotype" w:hAnsi="Palatino Linotype" w:cs="Tahoma"/>
              <w:b/>
            </w:rPr>
          </w:pPr>
          <w:r>
            <w:rPr>
              <w:rFonts w:ascii="Palatino Linotype" w:hAnsi="Palatino Linotype" w:cs="Tahoma"/>
              <w:b/>
            </w:rPr>
            <w:t>Comisionad</w:t>
          </w:r>
          <w:r w:rsidR="00314CC5">
            <w:rPr>
              <w:rFonts w:ascii="Palatino Linotype" w:hAnsi="Palatino Linotype" w:cs="Tahoma"/>
              <w:b/>
            </w:rPr>
            <w:t>o</w:t>
          </w:r>
          <w:r>
            <w:rPr>
              <w:rFonts w:ascii="Palatino Linotype" w:hAnsi="Palatino Linotype" w:cs="Tahoma"/>
              <w:b/>
            </w:rPr>
            <w:t xml:space="preserve"> Ponente: </w:t>
          </w:r>
          <w:r w:rsidR="004A7409">
            <w:rPr>
              <w:rFonts w:ascii="Palatino Linotype" w:eastAsia="Palatino Linotype" w:hAnsi="Palatino Linotype" w:cs="Palatino Linotype"/>
            </w:rPr>
            <w:t>José Martínez Vilchis</w:t>
          </w:r>
        </w:p>
      </w:tc>
    </w:tr>
  </w:tbl>
  <w:p w:rsidR="0041486C" w:rsidRDefault="0041486C" w:rsidP="001F7B38">
    <w:pPr>
      <w:pStyle w:val="Encabezado"/>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19FC210D"/>
    <w:multiLevelType w:val="hybridMultilevel"/>
    <w:tmpl w:val="F23A41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78A1CB9"/>
    <w:multiLevelType w:val="hybridMultilevel"/>
    <w:tmpl w:val="5230930E"/>
    <w:lvl w:ilvl="0" w:tplc="F62EF31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87B4A98"/>
    <w:multiLevelType w:val="hybridMultilevel"/>
    <w:tmpl w:val="386002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5DA96493"/>
    <w:multiLevelType w:val="hybridMultilevel"/>
    <w:tmpl w:val="8DBA9636"/>
    <w:lvl w:ilvl="0" w:tplc="08C840F4">
      <w:start w:val="1"/>
      <w:numFmt w:val="decimal"/>
      <w:lvlText w:val="%1."/>
      <w:lvlJc w:val="left"/>
      <w:pPr>
        <w:ind w:left="720" w:hanging="360"/>
      </w:pPr>
      <w:rPr>
        <w:rFonts w:ascii="Palatino Linotype" w:eastAsia="Palatino Linotype" w:hAnsi="Palatino Linotype" w:cs="Palatino Linotype"/>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11">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6"/>
  </w:num>
  <w:num w:numId="2">
    <w:abstractNumId w:val="10"/>
  </w:num>
  <w:num w:numId="3">
    <w:abstractNumId w:val="9"/>
  </w:num>
  <w:num w:numId="4">
    <w:abstractNumId w:val="13"/>
  </w:num>
  <w:num w:numId="5">
    <w:abstractNumId w:val="0"/>
  </w:num>
  <w:num w:numId="6">
    <w:abstractNumId w:val="3"/>
  </w:num>
  <w:num w:numId="7">
    <w:abstractNumId w:val="5"/>
  </w:num>
  <w:num w:numId="8">
    <w:abstractNumId w:val="12"/>
  </w:num>
  <w:num w:numId="9">
    <w:abstractNumId w:val="11"/>
  </w:num>
  <w:num w:numId="10">
    <w:abstractNumId w:val="2"/>
  </w:num>
  <w:num w:numId="11">
    <w:abstractNumId w:val="1"/>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14FF"/>
    <w:rsid w:val="00003415"/>
    <w:rsid w:val="00003CE8"/>
    <w:rsid w:val="00012664"/>
    <w:rsid w:val="000128A8"/>
    <w:rsid w:val="00012E0B"/>
    <w:rsid w:val="00037BC1"/>
    <w:rsid w:val="000408A4"/>
    <w:rsid w:val="00042A3C"/>
    <w:rsid w:val="00043C5D"/>
    <w:rsid w:val="00051C17"/>
    <w:rsid w:val="00054A97"/>
    <w:rsid w:val="00057319"/>
    <w:rsid w:val="000607BA"/>
    <w:rsid w:val="000615FF"/>
    <w:rsid w:val="00065EED"/>
    <w:rsid w:val="00067737"/>
    <w:rsid w:val="00071236"/>
    <w:rsid w:val="000776CE"/>
    <w:rsid w:val="000779DE"/>
    <w:rsid w:val="0008362F"/>
    <w:rsid w:val="00085B55"/>
    <w:rsid w:val="0009644F"/>
    <w:rsid w:val="000A199A"/>
    <w:rsid w:val="000A1CD3"/>
    <w:rsid w:val="000A496D"/>
    <w:rsid w:val="000D5992"/>
    <w:rsid w:val="000E1145"/>
    <w:rsid w:val="000E3ABF"/>
    <w:rsid w:val="000E4C81"/>
    <w:rsid w:val="000E588D"/>
    <w:rsid w:val="000E65A7"/>
    <w:rsid w:val="000E68E0"/>
    <w:rsid w:val="000F5EB6"/>
    <w:rsid w:val="001013D1"/>
    <w:rsid w:val="00112814"/>
    <w:rsid w:val="00112D13"/>
    <w:rsid w:val="001235DC"/>
    <w:rsid w:val="001363F6"/>
    <w:rsid w:val="0014193E"/>
    <w:rsid w:val="001455F9"/>
    <w:rsid w:val="00145D59"/>
    <w:rsid w:val="00153A3F"/>
    <w:rsid w:val="00154BEE"/>
    <w:rsid w:val="00155046"/>
    <w:rsid w:val="0015586F"/>
    <w:rsid w:val="00164C93"/>
    <w:rsid w:val="00164DA6"/>
    <w:rsid w:val="00165971"/>
    <w:rsid w:val="00170FF9"/>
    <w:rsid w:val="00172F76"/>
    <w:rsid w:val="001822F4"/>
    <w:rsid w:val="001833AB"/>
    <w:rsid w:val="001858A4"/>
    <w:rsid w:val="001A5C61"/>
    <w:rsid w:val="001A6A2D"/>
    <w:rsid w:val="001A7C78"/>
    <w:rsid w:val="001B1F85"/>
    <w:rsid w:val="001C4652"/>
    <w:rsid w:val="001C4C0D"/>
    <w:rsid w:val="001C6C98"/>
    <w:rsid w:val="001D5D9B"/>
    <w:rsid w:val="001D7256"/>
    <w:rsid w:val="001E169C"/>
    <w:rsid w:val="001E3B4A"/>
    <w:rsid w:val="001F02F2"/>
    <w:rsid w:val="001F7B38"/>
    <w:rsid w:val="002029D7"/>
    <w:rsid w:val="002073F9"/>
    <w:rsid w:val="002102E4"/>
    <w:rsid w:val="0021233A"/>
    <w:rsid w:val="00212E59"/>
    <w:rsid w:val="00215353"/>
    <w:rsid w:val="00222385"/>
    <w:rsid w:val="002243CB"/>
    <w:rsid w:val="00232C29"/>
    <w:rsid w:val="00235BA8"/>
    <w:rsid w:val="00250084"/>
    <w:rsid w:val="0025033B"/>
    <w:rsid w:val="00253645"/>
    <w:rsid w:val="00255951"/>
    <w:rsid w:val="00256959"/>
    <w:rsid w:val="002618A9"/>
    <w:rsid w:val="002814FD"/>
    <w:rsid w:val="00282741"/>
    <w:rsid w:val="002839ED"/>
    <w:rsid w:val="00286E04"/>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7481"/>
    <w:rsid w:val="002C2227"/>
    <w:rsid w:val="002C452B"/>
    <w:rsid w:val="002E57B3"/>
    <w:rsid w:val="00302DEC"/>
    <w:rsid w:val="00314CC5"/>
    <w:rsid w:val="00316B10"/>
    <w:rsid w:val="003277EB"/>
    <w:rsid w:val="00334867"/>
    <w:rsid w:val="00334A53"/>
    <w:rsid w:val="00337419"/>
    <w:rsid w:val="00342485"/>
    <w:rsid w:val="00345DBD"/>
    <w:rsid w:val="00347C52"/>
    <w:rsid w:val="00350A00"/>
    <w:rsid w:val="00355832"/>
    <w:rsid w:val="0035774D"/>
    <w:rsid w:val="0036408D"/>
    <w:rsid w:val="003707EB"/>
    <w:rsid w:val="00377A63"/>
    <w:rsid w:val="00386268"/>
    <w:rsid w:val="0038757F"/>
    <w:rsid w:val="00390D90"/>
    <w:rsid w:val="00394A51"/>
    <w:rsid w:val="003A11C1"/>
    <w:rsid w:val="003A2D8F"/>
    <w:rsid w:val="003A2FA3"/>
    <w:rsid w:val="003A62A7"/>
    <w:rsid w:val="003A795B"/>
    <w:rsid w:val="003A7B43"/>
    <w:rsid w:val="003B33CF"/>
    <w:rsid w:val="003B5CC9"/>
    <w:rsid w:val="003F2744"/>
    <w:rsid w:val="00406CA5"/>
    <w:rsid w:val="0041486C"/>
    <w:rsid w:val="00415D0E"/>
    <w:rsid w:val="0041755E"/>
    <w:rsid w:val="00420C88"/>
    <w:rsid w:val="00423EF9"/>
    <w:rsid w:val="00427A46"/>
    <w:rsid w:val="0043178E"/>
    <w:rsid w:val="004333A7"/>
    <w:rsid w:val="00433D38"/>
    <w:rsid w:val="004348C7"/>
    <w:rsid w:val="00434A13"/>
    <w:rsid w:val="004365F9"/>
    <w:rsid w:val="00437C12"/>
    <w:rsid w:val="004413CB"/>
    <w:rsid w:val="0044539C"/>
    <w:rsid w:val="00447044"/>
    <w:rsid w:val="0045298E"/>
    <w:rsid w:val="00455E38"/>
    <w:rsid w:val="00456467"/>
    <w:rsid w:val="00460287"/>
    <w:rsid w:val="004653B1"/>
    <w:rsid w:val="004702A0"/>
    <w:rsid w:val="004802D1"/>
    <w:rsid w:val="00482614"/>
    <w:rsid w:val="00485ADE"/>
    <w:rsid w:val="0048769D"/>
    <w:rsid w:val="0049111C"/>
    <w:rsid w:val="004967C2"/>
    <w:rsid w:val="004A7024"/>
    <w:rsid w:val="004A7409"/>
    <w:rsid w:val="004A749E"/>
    <w:rsid w:val="004B4084"/>
    <w:rsid w:val="004C07CA"/>
    <w:rsid w:val="004C39D6"/>
    <w:rsid w:val="004D5A8F"/>
    <w:rsid w:val="004E721D"/>
    <w:rsid w:val="004F3213"/>
    <w:rsid w:val="004F5134"/>
    <w:rsid w:val="00500CC7"/>
    <w:rsid w:val="005012F9"/>
    <w:rsid w:val="005017F3"/>
    <w:rsid w:val="00503956"/>
    <w:rsid w:val="00505F5A"/>
    <w:rsid w:val="00513572"/>
    <w:rsid w:val="00515B24"/>
    <w:rsid w:val="005208B7"/>
    <w:rsid w:val="00525E46"/>
    <w:rsid w:val="0052766A"/>
    <w:rsid w:val="00541636"/>
    <w:rsid w:val="00541970"/>
    <w:rsid w:val="00542F8A"/>
    <w:rsid w:val="0054431B"/>
    <w:rsid w:val="00544E68"/>
    <w:rsid w:val="005512E6"/>
    <w:rsid w:val="00551B01"/>
    <w:rsid w:val="005549ED"/>
    <w:rsid w:val="00554BF1"/>
    <w:rsid w:val="005702E5"/>
    <w:rsid w:val="00570D88"/>
    <w:rsid w:val="00574532"/>
    <w:rsid w:val="00575F81"/>
    <w:rsid w:val="005764B7"/>
    <w:rsid w:val="005777C1"/>
    <w:rsid w:val="00583657"/>
    <w:rsid w:val="0059378F"/>
    <w:rsid w:val="00597077"/>
    <w:rsid w:val="005A11AE"/>
    <w:rsid w:val="005A18DD"/>
    <w:rsid w:val="005A223C"/>
    <w:rsid w:val="005A5EBF"/>
    <w:rsid w:val="005B0B13"/>
    <w:rsid w:val="005C2E6D"/>
    <w:rsid w:val="005C74A9"/>
    <w:rsid w:val="005D066B"/>
    <w:rsid w:val="005D0E4E"/>
    <w:rsid w:val="005D190F"/>
    <w:rsid w:val="005E0BCA"/>
    <w:rsid w:val="005E608D"/>
    <w:rsid w:val="005E6134"/>
    <w:rsid w:val="005E7F58"/>
    <w:rsid w:val="005F4C0C"/>
    <w:rsid w:val="005F5C11"/>
    <w:rsid w:val="00601DA4"/>
    <w:rsid w:val="00602C7A"/>
    <w:rsid w:val="006214D7"/>
    <w:rsid w:val="00624EEE"/>
    <w:rsid w:val="00625413"/>
    <w:rsid w:val="00636B80"/>
    <w:rsid w:val="006424B6"/>
    <w:rsid w:val="00642FEF"/>
    <w:rsid w:val="0064431D"/>
    <w:rsid w:val="00664E38"/>
    <w:rsid w:val="0067083B"/>
    <w:rsid w:val="00675C15"/>
    <w:rsid w:val="006776AE"/>
    <w:rsid w:val="006803F6"/>
    <w:rsid w:val="006812F1"/>
    <w:rsid w:val="0068138D"/>
    <w:rsid w:val="0068453F"/>
    <w:rsid w:val="00687FF1"/>
    <w:rsid w:val="006942ED"/>
    <w:rsid w:val="006A46F0"/>
    <w:rsid w:val="006A6AF4"/>
    <w:rsid w:val="006B10B8"/>
    <w:rsid w:val="006B4511"/>
    <w:rsid w:val="006C02E2"/>
    <w:rsid w:val="006C048C"/>
    <w:rsid w:val="006C34A1"/>
    <w:rsid w:val="006C3542"/>
    <w:rsid w:val="006D6BAA"/>
    <w:rsid w:val="006E048C"/>
    <w:rsid w:val="006E64D7"/>
    <w:rsid w:val="006E7F49"/>
    <w:rsid w:val="006F1A1E"/>
    <w:rsid w:val="006F346D"/>
    <w:rsid w:val="00700E4D"/>
    <w:rsid w:val="007046AB"/>
    <w:rsid w:val="007053A8"/>
    <w:rsid w:val="007119EA"/>
    <w:rsid w:val="00713B16"/>
    <w:rsid w:val="00715F8B"/>
    <w:rsid w:val="0072288B"/>
    <w:rsid w:val="007252AA"/>
    <w:rsid w:val="00733946"/>
    <w:rsid w:val="00737BBE"/>
    <w:rsid w:val="00741B33"/>
    <w:rsid w:val="00743BDE"/>
    <w:rsid w:val="00747A1A"/>
    <w:rsid w:val="00750FE1"/>
    <w:rsid w:val="007514DF"/>
    <w:rsid w:val="0075591F"/>
    <w:rsid w:val="0075778C"/>
    <w:rsid w:val="0077072F"/>
    <w:rsid w:val="00787C47"/>
    <w:rsid w:val="0079066A"/>
    <w:rsid w:val="00790EBC"/>
    <w:rsid w:val="00791327"/>
    <w:rsid w:val="00792AC3"/>
    <w:rsid w:val="007942DE"/>
    <w:rsid w:val="007947D4"/>
    <w:rsid w:val="007959DD"/>
    <w:rsid w:val="00797AD9"/>
    <w:rsid w:val="007A0BD4"/>
    <w:rsid w:val="007A0DE4"/>
    <w:rsid w:val="007A0EDD"/>
    <w:rsid w:val="007A23EB"/>
    <w:rsid w:val="007B6EE5"/>
    <w:rsid w:val="007C0906"/>
    <w:rsid w:val="007C0F6E"/>
    <w:rsid w:val="007C56B2"/>
    <w:rsid w:val="007C6C71"/>
    <w:rsid w:val="007E4684"/>
    <w:rsid w:val="007E6322"/>
    <w:rsid w:val="007E79CA"/>
    <w:rsid w:val="007F0307"/>
    <w:rsid w:val="007F2434"/>
    <w:rsid w:val="00807896"/>
    <w:rsid w:val="00807B02"/>
    <w:rsid w:val="00812BA8"/>
    <w:rsid w:val="00812CB2"/>
    <w:rsid w:val="00817AA2"/>
    <w:rsid w:val="00824149"/>
    <w:rsid w:val="0082523E"/>
    <w:rsid w:val="00825FB4"/>
    <w:rsid w:val="0084099F"/>
    <w:rsid w:val="00855FCC"/>
    <w:rsid w:val="008612B2"/>
    <w:rsid w:val="0086476F"/>
    <w:rsid w:val="00871E3F"/>
    <w:rsid w:val="00874A70"/>
    <w:rsid w:val="0087565F"/>
    <w:rsid w:val="00883ABB"/>
    <w:rsid w:val="00887103"/>
    <w:rsid w:val="00892DF4"/>
    <w:rsid w:val="00895041"/>
    <w:rsid w:val="00897E24"/>
    <w:rsid w:val="008A4206"/>
    <w:rsid w:val="008B2413"/>
    <w:rsid w:val="008C6097"/>
    <w:rsid w:val="008C6673"/>
    <w:rsid w:val="008C72F2"/>
    <w:rsid w:val="008D108C"/>
    <w:rsid w:val="008E2933"/>
    <w:rsid w:val="008E3980"/>
    <w:rsid w:val="008E3E2C"/>
    <w:rsid w:val="008E41C5"/>
    <w:rsid w:val="008E5E16"/>
    <w:rsid w:val="008F1DDB"/>
    <w:rsid w:val="008F1E42"/>
    <w:rsid w:val="008F24F5"/>
    <w:rsid w:val="00902BEC"/>
    <w:rsid w:val="00907451"/>
    <w:rsid w:val="00921613"/>
    <w:rsid w:val="00922792"/>
    <w:rsid w:val="00927D8F"/>
    <w:rsid w:val="00935EDE"/>
    <w:rsid w:val="00943ECF"/>
    <w:rsid w:val="009530AD"/>
    <w:rsid w:val="009549EF"/>
    <w:rsid w:val="00956FEF"/>
    <w:rsid w:val="00960D90"/>
    <w:rsid w:val="009611D3"/>
    <w:rsid w:val="00962155"/>
    <w:rsid w:val="00966EC6"/>
    <w:rsid w:val="00971811"/>
    <w:rsid w:val="0097337C"/>
    <w:rsid w:val="009851E0"/>
    <w:rsid w:val="0098525D"/>
    <w:rsid w:val="0098633B"/>
    <w:rsid w:val="00991D2C"/>
    <w:rsid w:val="009974A8"/>
    <w:rsid w:val="009A1E66"/>
    <w:rsid w:val="009A3AFC"/>
    <w:rsid w:val="009A4C82"/>
    <w:rsid w:val="009A5DD7"/>
    <w:rsid w:val="009B0AA8"/>
    <w:rsid w:val="009B1441"/>
    <w:rsid w:val="009B77B1"/>
    <w:rsid w:val="009B7800"/>
    <w:rsid w:val="009C1A8B"/>
    <w:rsid w:val="009C4FFE"/>
    <w:rsid w:val="009C6D4B"/>
    <w:rsid w:val="009D3F5D"/>
    <w:rsid w:val="009D4A3C"/>
    <w:rsid w:val="009D631C"/>
    <w:rsid w:val="009F0439"/>
    <w:rsid w:val="009F1218"/>
    <w:rsid w:val="009F4EB8"/>
    <w:rsid w:val="009F66DE"/>
    <w:rsid w:val="00A01E1E"/>
    <w:rsid w:val="00A072DB"/>
    <w:rsid w:val="00A07925"/>
    <w:rsid w:val="00A1161D"/>
    <w:rsid w:val="00A11E04"/>
    <w:rsid w:val="00A16235"/>
    <w:rsid w:val="00A16E1D"/>
    <w:rsid w:val="00A21005"/>
    <w:rsid w:val="00A2316F"/>
    <w:rsid w:val="00A26E2B"/>
    <w:rsid w:val="00A3060F"/>
    <w:rsid w:val="00A35FCC"/>
    <w:rsid w:val="00A50EE2"/>
    <w:rsid w:val="00A55B9D"/>
    <w:rsid w:val="00A61CE9"/>
    <w:rsid w:val="00A63576"/>
    <w:rsid w:val="00A73443"/>
    <w:rsid w:val="00A74171"/>
    <w:rsid w:val="00A83C5C"/>
    <w:rsid w:val="00A83FF4"/>
    <w:rsid w:val="00A96272"/>
    <w:rsid w:val="00AA1E2A"/>
    <w:rsid w:val="00AA53B5"/>
    <w:rsid w:val="00AA5B7B"/>
    <w:rsid w:val="00AA5FEA"/>
    <w:rsid w:val="00AC0126"/>
    <w:rsid w:val="00AC5703"/>
    <w:rsid w:val="00AC769A"/>
    <w:rsid w:val="00AD0389"/>
    <w:rsid w:val="00AD0BC9"/>
    <w:rsid w:val="00AD1185"/>
    <w:rsid w:val="00AD2094"/>
    <w:rsid w:val="00AE2A77"/>
    <w:rsid w:val="00AE64AC"/>
    <w:rsid w:val="00AF2BB2"/>
    <w:rsid w:val="00B02DEB"/>
    <w:rsid w:val="00B061A2"/>
    <w:rsid w:val="00B1469E"/>
    <w:rsid w:val="00B15229"/>
    <w:rsid w:val="00B16A59"/>
    <w:rsid w:val="00B2149E"/>
    <w:rsid w:val="00B26002"/>
    <w:rsid w:val="00B32BBD"/>
    <w:rsid w:val="00B32D33"/>
    <w:rsid w:val="00B365EB"/>
    <w:rsid w:val="00B42B2C"/>
    <w:rsid w:val="00B42E5B"/>
    <w:rsid w:val="00B45846"/>
    <w:rsid w:val="00B46543"/>
    <w:rsid w:val="00B51880"/>
    <w:rsid w:val="00B5384A"/>
    <w:rsid w:val="00B547F4"/>
    <w:rsid w:val="00B60059"/>
    <w:rsid w:val="00B62F6E"/>
    <w:rsid w:val="00B63363"/>
    <w:rsid w:val="00B64C32"/>
    <w:rsid w:val="00B71BFC"/>
    <w:rsid w:val="00B74B7A"/>
    <w:rsid w:val="00B74B82"/>
    <w:rsid w:val="00B74BEB"/>
    <w:rsid w:val="00B75F92"/>
    <w:rsid w:val="00B775D8"/>
    <w:rsid w:val="00B80C9C"/>
    <w:rsid w:val="00B87AB3"/>
    <w:rsid w:val="00B929CF"/>
    <w:rsid w:val="00B95ED4"/>
    <w:rsid w:val="00B97069"/>
    <w:rsid w:val="00B976C5"/>
    <w:rsid w:val="00BA6922"/>
    <w:rsid w:val="00BA7B0D"/>
    <w:rsid w:val="00BB1B83"/>
    <w:rsid w:val="00BB488A"/>
    <w:rsid w:val="00BB7D8E"/>
    <w:rsid w:val="00BC661B"/>
    <w:rsid w:val="00BD3823"/>
    <w:rsid w:val="00BD520A"/>
    <w:rsid w:val="00BD5E0B"/>
    <w:rsid w:val="00BD7B4B"/>
    <w:rsid w:val="00BE1582"/>
    <w:rsid w:val="00BE4436"/>
    <w:rsid w:val="00BE6B5D"/>
    <w:rsid w:val="00BF0B33"/>
    <w:rsid w:val="00BF7288"/>
    <w:rsid w:val="00C01565"/>
    <w:rsid w:val="00C0344C"/>
    <w:rsid w:val="00C11623"/>
    <w:rsid w:val="00C14F42"/>
    <w:rsid w:val="00C25C57"/>
    <w:rsid w:val="00C26DAC"/>
    <w:rsid w:val="00C40418"/>
    <w:rsid w:val="00C44E15"/>
    <w:rsid w:val="00C465A1"/>
    <w:rsid w:val="00C46764"/>
    <w:rsid w:val="00C5358D"/>
    <w:rsid w:val="00C53ECF"/>
    <w:rsid w:val="00C569A8"/>
    <w:rsid w:val="00C64D70"/>
    <w:rsid w:val="00C65338"/>
    <w:rsid w:val="00C807AF"/>
    <w:rsid w:val="00C810D7"/>
    <w:rsid w:val="00C84509"/>
    <w:rsid w:val="00C84C72"/>
    <w:rsid w:val="00C86256"/>
    <w:rsid w:val="00C8733B"/>
    <w:rsid w:val="00CA7E34"/>
    <w:rsid w:val="00CB1CEB"/>
    <w:rsid w:val="00CB3AEB"/>
    <w:rsid w:val="00CB795D"/>
    <w:rsid w:val="00CC1FFA"/>
    <w:rsid w:val="00CC34B2"/>
    <w:rsid w:val="00CC5CDC"/>
    <w:rsid w:val="00CC73E1"/>
    <w:rsid w:val="00CD27D3"/>
    <w:rsid w:val="00CD457B"/>
    <w:rsid w:val="00CE45F1"/>
    <w:rsid w:val="00CF1446"/>
    <w:rsid w:val="00CF29D2"/>
    <w:rsid w:val="00D016D3"/>
    <w:rsid w:val="00D01AF4"/>
    <w:rsid w:val="00D04C63"/>
    <w:rsid w:val="00D06F94"/>
    <w:rsid w:val="00D079EF"/>
    <w:rsid w:val="00D12136"/>
    <w:rsid w:val="00D1272D"/>
    <w:rsid w:val="00D145B9"/>
    <w:rsid w:val="00D235EF"/>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17A6"/>
    <w:rsid w:val="00D85629"/>
    <w:rsid w:val="00D861D8"/>
    <w:rsid w:val="00D94CDB"/>
    <w:rsid w:val="00D957D0"/>
    <w:rsid w:val="00DA3926"/>
    <w:rsid w:val="00DA7E3F"/>
    <w:rsid w:val="00DB416E"/>
    <w:rsid w:val="00DB70E3"/>
    <w:rsid w:val="00DC4E1C"/>
    <w:rsid w:val="00DC752B"/>
    <w:rsid w:val="00DE7BE8"/>
    <w:rsid w:val="00DF1252"/>
    <w:rsid w:val="00DF1368"/>
    <w:rsid w:val="00DF5213"/>
    <w:rsid w:val="00E01C7C"/>
    <w:rsid w:val="00E06EE1"/>
    <w:rsid w:val="00E10A7E"/>
    <w:rsid w:val="00E15470"/>
    <w:rsid w:val="00E1738F"/>
    <w:rsid w:val="00E20299"/>
    <w:rsid w:val="00E220C2"/>
    <w:rsid w:val="00E30FFD"/>
    <w:rsid w:val="00E31742"/>
    <w:rsid w:val="00E355E0"/>
    <w:rsid w:val="00E35D2D"/>
    <w:rsid w:val="00E406C5"/>
    <w:rsid w:val="00E427C6"/>
    <w:rsid w:val="00E4662D"/>
    <w:rsid w:val="00E5402A"/>
    <w:rsid w:val="00E55A56"/>
    <w:rsid w:val="00E6590E"/>
    <w:rsid w:val="00E71E7D"/>
    <w:rsid w:val="00E75921"/>
    <w:rsid w:val="00E77FBE"/>
    <w:rsid w:val="00E87B44"/>
    <w:rsid w:val="00E91AAF"/>
    <w:rsid w:val="00E920D4"/>
    <w:rsid w:val="00E92600"/>
    <w:rsid w:val="00E928B3"/>
    <w:rsid w:val="00E94169"/>
    <w:rsid w:val="00E95E01"/>
    <w:rsid w:val="00EA0E32"/>
    <w:rsid w:val="00EA36AF"/>
    <w:rsid w:val="00EB1119"/>
    <w:rsid w:val="00EB3B46"/>
    <w:rsid w:val="00EB470A"/>
    <w:rsid w:val="00EB51C9"/>
    <w:rsid w:val="00EC572B"/>
    <w:rsid w:val="00ED2333"/>
    <w:rsid w:val="00EE5D56"/>
    <w:rsid w:val="00EF146A"/>
    <w:rsid w:val="00EF2DBE"/>
    <w:rsid w:val="00EF3E2E"/>
    <w:rsid w:val="00F01676"/>
    <w:rsid w:val="00F12046"/>
    <w:rsid w:val="00F12682"/>
    <w:rsid w:val="00F13DA6"/>
    <w:rsid w:val="00F16D7B"/>
    <w:rsid w:val="00F20E02"/>
    <w:rsid w:val="00F335B7"/>
    <w:rsid w:val="00F3690F"/>
    <w:rsid w:val="00F43FDE"/>
    <w:rsid w:val="00F466F2"/>
    <w:rsid w:val="00F46B79"/>
    <w:rsid w:val="00F50A38"/>
    <w:rsid w:val="00F54751"/>
    <w:rsid w:val="00F62FE1"/>
    <w:rsid w:val="00F65507"/>
    <w:rsid w:val="00F76B05"/>
    <w:rsid w:val="00F90B70"/>
    <w:rsid w:val="00F97255"/>
    <w:rsid w:val="00F974AA"/>
    <w:rsid w:val="00FA32E0"/>
    <w:rsid w:val="00FB130A"/>
    <w:rsid w:val="00FC4E42"/>
    <w:rsid w:val="00FC4F24"/>
    <w:rsid w:val="00FD322D"/>
    <w:rsid w:val="00FD3336"/>
    <w:rsid w:val="00FD3A3F"/>
    <w:rsid w:val="00FD6386"/>
    <w:rsid w:val="00FD7A44"/>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B775D8"/>
    <w:pPr>
      <w:widowControl w:val="0"/>
      <w:autoSpaceDE w:val="0"/>
      <w:autoSpaceDN w:val="0"/>
      <w:spacing w:after="0" w:line="240" w:lineRule="auto"/>
    </w:pPr>
    <w:rPr>
      <w:rFonts w:ascii="Palatino Linotype" w:eastAsia="Palatino Linotype" w:hAnsi="Palatino Linotype" w:cs="Palatino Linotype"/>
      <w:sz w:val="24"/>
      <w:szCs w:val="24"/>
      <w:lang w:val="es-ES"/>
    </w:rPr>
  </w:style>
  <w:style w:type="character" w:customStyle="1" w:styleId="TextoindependienteCar">
    <w:name w:val="Texto independiente Car"/>
    <w:basedOn w:val="Fuentedeprrafopredeter"/>
    <w:link w:val="Textoindependiente"/>
    <w:uiPriority w:val="1"/>
    <w:rsid w:val="00B775D8"/>
    <w:rPr>
      <w:rFonts w:ascii="Palatino Linotype" w:eastAsia="Palatino Linotype" w:hAnsi="Palatino Linotype" w:cs="Palatino Linotype"/>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6632">
      <w:bodyDiv w:val="1"/>
      <w:marLeft w:val="0"/>
      <w:marRight w:val="0"/>
      <w:marTop w:val="0"/>
      <w:marBottom w:val="0"/>
      <w:divBdr>
        <w:top w:val="none" w:sz="0" w:space="0" w:color="auto"/>
        <w:left w:val="none" w:sz="0" w:space="0" w:color="auto"/>
        <w:bottom w:val="none" w:sz="0" w:space="0" w:color="auto"/>
        <w:right w:val="none" w:sz="0" w:space="0" w:color="auto"/>
      </w:divBdr>
    </w:div>
    <w:div w:id="149905976">
      <w:bodyDiv w:val="1"/>
      <w:marLeft w:val="0"/>
      <w:marRight w:val="0"/>
      <w:marTop w:val="0"/>
      <w:marBottom w:val="0"/>
      <w:divBdr>
        <w:top w:val="none" w:sz="0" w:space="0" w:color="auto"/>
        <w:left w:val="none" w:sz="0" w:space="0" w:color="auto"/>
        <w:bottom w:val="none" w:sz="0" w:space="0" w:color="auto"/>
        <w:right w:val="none" w:sz="0" w:space="0" w:color="auto"/>
      </w:divBdr>
    </w:div>
    <w:div w:id="204831887">
      <w:bodyDiv w:val="1"/>
      <w:marLeft w:val="0"/>
      <w:marRight w:val="0"/>
      <w:marTop w:val="0"/>
      <w:marBottom w:val="0"/>
      <w:divBdr>
        <w:top w:val="none" w:sz="0" w:space="0" w:color="auto"/>
        <w:left w:val="none" w:sz="0" w:space="0" w:color="auto"/>
        <w:bottom w:val="none" w:sz="0" w:space="0" w:color="auto"/>
        <w:right w:val="none" w:sz="0" w:space="0" w:color="auto"/>
      </w:divBdr>
    </w:div>
    <w:div w:id="253712390">
      <w:bodyDiv w:val="1"/>
      <w:marLeft w:val="0"/>
      <w:marRight w:val="0"/>
      <w:marTop w:val="0"/>
      <w:marBottom w:val="0"/>
      <w:divBdr>
        <w:top w:val="none" w:sz="0" w:space="0" w:color="auto"/>
        <w:left w:val="none" w:sz="0" w:space="0" w:color="auto"/>
        <w:bottom w:val="none" w:sz="0" w:space="0" w:color="auto"/>
        <w:right w:val="none" w:sz="0" w:space="0" w:color="auto"/>
      </w:divBdr>
    </w:div>
    <w:div w:id="345134263">
      <w:bodyDiv w:val="1"/>
      <w:marLeft w:val="0"/>
      <w:marRight w:val="0"/>
      <w:marTop w:val="0"/>
      <w:marBottom w:val="0"/>
      <w:divBdr>
        <w:top w:val="none" w:sz="0" w:space="0" w:color="auto"/>
        <w:left w:val="none" w:sz="0" w:space="0" w:color="auto"/>
        <w:bottom w:val="none" w:sz="0" w:space="0" w:color="auto"/>
        <w:right w:val="none" w:sz="0" w:space="0" w:color="auto"/>
      </w:divBdr>
    </w:div>
    <w:div w:id="354964941">
      <w:bodyDiv w:val="1"/>
      <w:marLeft w:val="0"/>
      <w:marRight w:val="0"/>
      <w:marTop w:val="0"/>
      <w:marBottom w:val="0"/>
      <w:divBdr>
        <w:top w:val="none" w:sz="0" w:space="0" w:color="auto"/>
        <w:left w:val="none" w:sz="0" w:space="0" w:color="auto"/>
        <w:bottom w:val="none" w:sz="0" w:space="0" w:color="auto"/>
        <w:right w:val="none" w:sz="0" w:space="0" w:color="auto"/>
      </w:divBdr>
    </w:div>
    <w:div w:id="358168692">
      <w:bodyDiv w:val="1"/>
      <w:marLeft w:val="0"/>
      <w:marRight w:val="0"/>
      <w:marTop w:val="0"/>
      <w:marBottom w:val="0"/>
      <w:divBdr>
        <w:top w:val="none" w:sz="0" w:space="0" w:color="auto"/>
        <w:left w:val="none" w:sz="0" w:space="0" w:color="auto"/>
        <w:bottom w:val="none" w:sz="0" w:space="0" w:color="auto"/>
        <w:right w:val="none" w:sz="0" w:space="0" w:color="auto"/>
      </w:divBdr>
    </w:div>
    <w:div w:id="448667539">
      <w:bodyDiv w:val="1"/>
      <w:marLeft w:val="0"/>
      <w:marRight w:val="0"/>
      <w:marTop w:val="0"/>
      <w:marBottom w:val="0"/>
      <w:divBdr>
        <w:top w:val="none" w:sz="0" w:space="0" w:color="auto"/>
        <w:left w:val="none" w:sz="0" w:space="0" w:color="auto"/>
        <w:bottom w:val="none" w:sz="0" w:space="0" w:color="auto"/>
        <w:right w:val="none" w:sz="0" w:space="0" w:color="auto"/>
      </w:divBdr>
    </w:div>
    <w:div w:id="455563773">
      <w:bodyDiv w:val="1"/>
      <w:marLeft w:val="0"/>
      <w:marRight w:val="0"/>
      <w:marTop w:val="0"/>
      <w:marBottom w:val="0"/>
      <w:divBdr>
        <w:top w:val="none" w:sz="0" w:space="0" w:color="auto"/>
        <w:left w:val="none" w:sz="0" w:space="0" w:color="auto"/>
        <w:bottom w:val="none" w:sz="0" w:space="0" w:color="auto"/>
        <w:right w:val="none" w:sz="0" w:space="0" w:color="auto"/>
      </w:divBdr>
    </w:div>
    <w:div w:id="467549231">
      <w:bodyDiv w:val="1"/>
      <w:marLeft w:val="0"/>
      <w:marRight w:val="0"/>
      <w:marTop w:val="0"/>
      <w:marBottom w:val="0"/>
      <w:divBdr>
        <w:top w:val="none" w:sz="0" w:space="0" w:color="auto"/>
        <w:left w:val="none" w:sz="0" w:space="0" w:color="auto"/>
        <w:bottom w:val="none" w:sz="0" w:space="0" w:color="auto"/>
        <w:right w:val="none" w:sz="0" w:space="0" w:color="auto"/>
      </w:divBdr>
    </w:div>
    <w:div w:id="570579523">
      <w:bodyDiv w:val="1"/>
      <w:marLeft w:val="0"/>
      <w:marRight w:val="0"/>
      <w:marTop w:val="0"/>
      <w:marBottom w:val="0"/>
      <w:divBdr>
        <w:top w:val="none" w:sz="0" w:space="0" w:color="auto"/>
        <w:left w:val="none" w:sz="0" w:space="0" w:color="auto"/>
        <w:bottom w:val="none" w:sz="0" w:space="0" w:color="auto"/>
        <w:right w:val="none" w:sz="0" w:space="0" w:color="auto"/>
      </w:divBdr>
    </w:div>
    <w:div w:id="584075732">
      <w:bodyDiv w:val="1"/>
      <w:marLeft w:val="0"/>
      <w:marRight w:val="0"/>
      <w:marTop w:val="0"/>
      <w:marBottom w:val="0"/>
      <w:divBdr>
        <w:top w:val="none" w:sz="0" w:space="0" w:color="auto"/>
        <w:left w:val="none" w:sz="0" w:space="0" w:color="auto"/>
        <w:bottom w:val="none" w:sz="0" w:space="0" w:color="auto"/>
        <w:right w:val="none" w:sz="0" w:space="0" w:color="auto"/>
      </w:divBdr>
    </w:div>
    <w:div w:id="697388780">
      <w:bodyDiv w:val="1"/>
      <w:marLeft w:val="0"/>
      <w:marRight w:val="0"/>
      <w:marTop w:val="0"/>
      <w:marBottom w:val="0"/>
      <w:divBdr>
        <w:top w:val="none" w:sz="0" w:space="0" w:color="auto"/>
        <w:left w:val="none" w:sz="0" w:space="0" w:color="auto"/>
        <w:bottom w:val="none" w:sz="0" w:space="0" w:color="auto"/>
        <w:right w:val="none" w:sz="0" w:space="0" w:color="auto"/>
      </w:divBdr>
    </w:div>
    <w:div w:id="700402597">
      <w:bodyDiv w:val="1"/>
      <w:marLeft w:val="0"/>
      <w:marRight w:val="0"/>
      <w:marTop w:val="0"/>
      <w:marBottom w:val="0"/>
      <w:divBdr>
        <w:top w:val="none" w:sz="0" w:space="0" w:color="auto"/>
        <w:left w:val="none" w:sz="0" w:space="0" w:color="auto"/>
        <w:bottom w:val="none" w:sz="0" w:space="0" w:color="auto"/>
        <w:right w:val="none" w:sz="0" w:space="0" w:color="auto"/>
      </w:divBdr>
    </w:div>
    <w:div w:id="717244272">
      <w:bodyDiv w:val="1"/>
      <w:marLeft w:val="0"/>
      <w:marRight w:val="0"/>
      <w:marTop w:val="0"/>
      <w:marBottom w:val="0"/>
      <w:divBdr>
        <w:top w:val="none" w:sz="0" w:space="0" w:color="auto"/>
        <w:left w:val="none" w:sz="0" w:space="0" w:color="auto"/>
        <w:bottom w:val="none" w:sz="0" w:space="0" w:color="auto"/>
        <w:right w:val="none" w:sz="0" w:space="0" w:color="auto"/>
      </w:divBdr>
    </w:div>
    <w:div w:id="782118442">
      <w:bodyDiv w:val="1"/>
      <w:marLeft w:val="0"/>
      <w:marRight w:val="0"/>
      <w:marTop w:val="0"/>
      <w:marBottom w:val="0"/>
      <w:divBdr>
        <w:top w:val="none" w:sz="0" w:space="0" w:color="auto"/>
        <w:left w:val="none" w:sz="0" w:space="0" w:color="auto"/>
        <w:bottom w:val="none" w:sz="0" w:space="0" w:color="auto"/>
        <w:right w:val="none" w:sz="0" w:space="0" w:color="auto"/>
      </w:divBdr>
    </w:div>
    <w:div w:id="782531011">
      <w:bodyDiv w:val="1"/>
      <w:marLeft w:val="0"/>
      <w:marRight w:val="0"/>
      <w:marTop w:val="0"/>
      <w:marBottom w:val="0"/>
      <w:divBdr>
        <w:top w:val="none" w:sz="0" w:space="0" w:color="auto"/>
        <w:left w:val="none" w:sz="0" w:space="0" w:color="auto"/>
        <w:bottom w:val="none" w:sz="0" w:space="0" w:color="auto"/>
        <w:right w:val="none" w:sz="0" w:space="0" w:color="auto"/>
      </w:divBdr>
    </w:div>
    <w:div w:id="785198492">
      <w:bodyDiv w:val="1"/>
      <w:marLeft w:val="0"/>
      <w:marRight w:val="0"/>
      <w:marTop w:val="0"/>
      <w:marBottom w:val="0"/>
      <w:divBdr>
        <w:top w:val="none" w:sz="0" w:space="0" w:color="auto"/>
        <w:left w:val="none" w:sz="0" w:space="0" w:color="auto"/>
        <w:bottom w:val="none" w:sz="0" w:space="0" w:color="auto"/>
        <w:right w:val="none" w:sz="0" w:space="0" w:color="auto"/>
      </w:divBdr>
    </w:div>
    <w:div w:id="899678840">
      <w:bodyDiv w:val="1"/>
      <w:marLeft w:val="0"/>
      <w:marRight w:val="0"/>
      <w:marTop w:val="0"/>
      <w:marBottom w:val="0"/>
      <w:divBdr>
        <w:top w:val="none" w:sz="0" w:space="0" w:color="auto"/>
        <w:left w:val="none" w:sz="0" w:space="0" w:color="auto"/>
        <w:bottom w:val="none" w:sz="0" w:space="0" w:color="auto"/>
        <w:right w:val="none" w:sz="0" w:space="0" w:color="auto"/>
      </w:divBdr>
    </w:div>
    <w:div w:id="915092594">
      <w:bodyDiv w:val="1"/>
      <w:marLeft w:val="0"/>
      <w:marRight w:val="0"/>
      <w:marTop w:val="0"/>
      <w:marBottom w:val="0"/>
      <w:divBdr>
        <w:top w:val="none" w:sz="0" w:space="0" w:color="auto"/>
        <w:left w:val="none" w:sz="0" w:space="0" w:color="auto"/>
        <w:bottom w:val="none" w:sz="0" w:space="0" w:color="auto"/>
        <w:right w:val="none" w:sz="0" w:space="0" w:color="auto"/>
      </w:divBdr>
    </w:div>
    <w:div w:id="1001005227">
      <w:bodyDiv w:val="1"/>
      <w:marLeft w:val="0"/>
      <w:marRight w:val="0"/>
      <w:marTop w:val="0"/>
      <w:marBottom w:val="0"/>
      <w:divBdr>
        <w:top w:val="none" w:sz="0" w:space="0" w:color="auto"/>
        <w:left w:val="none" w:sz="0" w:space="0" w:color="auto"/>
        <w:bottom w:val="none" w:sz="0" w:space="0" w:color="auto"/>
        <w:right w:val="none" w:sz="0" w:space="0" w:color="auto"/>
      </w:divBdr>
    </w:div>
    <w:div w:id="1081023092">
      <w:bodyDiv w:val="1"/>
      <w:marLeft w:val="0"/>
      <w:marRight w:val="0"/>
      <w:marTop w:val="0"/>
      <w:marBottom w:val="0"/>
      <w:divBdr>
        <w:top w:val="none" w:sz="0" w:space="0" w:color="auto"/>
        <w:left w:val="none" w:sz="0" w:space="0" w:color="auto"/>
        <w:bottom w:val="none" w:sz="0" w:space="0" w:color="auto"/>
        <w:right w:val="none" w:sz="0" w:space="0" w:color="auto"/>
      </w:divBdr>
    </w:div>
    <w:div w:id="1084036885">
      <w:bodyDiv w:val="1"/>
      <w:marLeft w:val="0"/>
      <w:marRight w:val="0"/>
      <w:marTop w:val="0"/>
      <w:marBottom w:val="0"/>
      <w:divBdr>
        <w:top w:val="none" w:sz="0" w:space="0" w:color="auto"/>
        <w:left w:val="none" w:sz="0" w:space="0" w:color="auto"/>
        <w:bottom w:val="none" w:sz="0" w:space="0" w:color="auto"/>
        <w:right w:val="none" w:sz="0" w:space="0" w:color="auto"/>
      </w:divBdr>
    </w:div>
    <w:div w:id="1120689070">
      <w:bodyDiv w:val="1"/>
      <w:marLeft w:val="0"/>
      <w:marRight w:val="0"/>
      <w:marTop w:val="0"/>
      <w:marBottom w:val="0"/>
      <w:divBdr>
        <w:top w:val="none" w:sz="0" w:space="0" w:color="auto"/>
        <w:left w:val="none" w:sz="0" w:space="0" w:color="auto"/>
        <w:bottom w:val="none" w:sz="0" w:space="0" w:color="auto"/>
        <w:right w:val="none" w:sz="0" w:space="0" w:color="auto"/>
      </w:divBdr>
    </w:div>
    <w:div w:id="1174609206">
      <w:bodyDiv w:val="1"/>
      <w:marLeft w:val="0"/>
      <w:marRight w:val="0"/>
      <w:marTop w:val="0"/>
      <w:marBottom w:val="0"/>
      <w:divBdr>
        <w:top w:val="none" w:sz="0" w:space="0" w:color="auto"/>
        <w:left w:val="none" w:sz="0" w:space="0" w:color="auto"/>
        <w:bottom w:val="none" w:sz="0" w:space="0" w:color="auto"/>
        <w:right w:val="none" w:sz="0" w:space="0" w:color="auto"/>
      </w:divBdr>
    </w:div>
    <w:div w:id="1201282620">
      <w:bodyDiv w:val="1"/>
      <w:marLeft w:val="0"/>
      <w:marRight w:val="0"/>
      <w:marTop w:val="0"/>
      <w:marBottom w:val="0"/>
      <w:divBdr>
        <w:top w:val="none" w:sz="0" w:space="0" w:color="auto"/>
        <w:left w:val="none" w:sz="0" w:space="0" w:color="auto"/>
        <w:bottom w:val="none" w:sz="0" w:space="0" w:color="auto"/>
        <w:right w:val="none" w:sz="0" w:space="0" w:color="auto"/>
      </w:divBdr>
    </w:div>
    <w:div w:id="1216239908">
      <w:bodyDiv w:val="1"/>
      <w:marLeft w:val="0"/>
      <w:marRight w:val="0"/>
      <w:marTop w:val="0"/>
      <w:marBottom w:val="0"/>
      <w:divBdr>
        <w:top w:val="none" w:sz="0" w:space="0" w:color="auto"/>
        <w:left w:val="none" w:sz="0" w:space="0" w:color="auto"/>
        <w:bottom w:val="none" w:sz="0" w:space="0" w:color="auto"/>
        <w:right w:val="none" w:sz="0" w:space="0" w:color="auto"/>
      </w:divBdr>
    </w:div>
    <w:div w:id="1245531372">
      <w:bodyDiv w:val="1"/>
      <w:marLeft w:val="0"/>
      <w:marRight w:val="0"/>
      <w:marTop w:val="0"/>
      <w:marBottom w:val="0"/>
      <w:divBdr>
        <w:top w:val="none" w:sz="0" w:space="0" w:color="auto"/>
        <w:left w:val="none" w:sz="0" w:space="0" w:color="auto"/>
        <w:bottom w:val="none" w:sz="0" w:space="0" w:color="auto"/>
        <w:right w:val="none" w:sz="0" w:space="0" w:color="auto"/>
      </w:divBdr>
    </w:div>
    <w:div w:id="1323971546">
      <w:bodyDiv w:val="1"/>
      <w:marLeft w:val="0"/>
      <w:marRight w:val="0"/>
      <w:marTop w:val="0"/>
      <w:marBottom w:val="0"/>
      <w:divBdr>
        <w:top w:val="none" w:sz="0" w:space="0" w:color="auto"/>
        <w:left w:val="none" w:sz="0" w:space="0" w:color="auto"/>
        <w:bottom w:val="none" w:sz="0" w:space="0" w:color="auto"/>
        <w:right w:val="none" w:sz="0" w:space="0" w:color="auto"/>
      </w:divBdr>
    </w:div>
    <w:div w:id="1373068970">
      <w:bodyDiv w:val="1"/>
      <w:marLeft w:val="0"/>
      <w:marRight w:val="0"/>
      <w:marTop w:val="0"/>
      <w:marBottom w:val="0"/>
      <w:divBdr>
        <w:top w:val="none" w:sz="0" w:space="0" w:color="auto"/>
        <w:left w:val="none" w:sz="0" w:space="0" w:color="auto"/>
        <w:bottom w:val="none" w:sz="0" w:space="0" w:color="auto"/>
        <w:right w:val="none" w:sz="0" w:space="0" w:color="auto"/>
      </w:divBdr>
    </w:div>
    <w:div w:id="1384863276">
      <w:bodyDiv w:val="1"/>
      <w:marLeft w:val="0"/>
      <w:marRight w:val="0"/>
      <w:marTop w:val="0"/>
      <w:marBottom w:val="0"/>
      <w:divBdr>
        <w:top w:val="none" w:sz="0" w:space="0" w:color="auto"/>
        <w:left w:val="none" w:sz="0" w:space="0" w:color="auto"/>
        <w:bottom w:val="none" w:sz="0" w:space="0" w:color="auto"/>
        <w:right w:val="none" w:sz="0" w:space="0" w:color="auto"/>
      </w:divBdr>
    </w:div>
    <w:div w:id="1477140216">
      <w:bodyDiv w:val="1"/>
      <w:marLeft w:val="0"/>
      <w:marRight w:val="0"/>
      <w:marTop w:val="0"/>
      <w:marBottom w:val="0"/>
      <w:divBdr>
        <w:top w:val="none" w:sz="0" w:space="0" w:color="auto"/>
        <w:left w:val="none" w:sz="0" w:space="0" w:color="auto"/>
        <w:bottom w:val="none" w:sz="0" w:space="0" w:color="auto"/>
        <w:right w:val="none" w:sz="0" w:space="0" w:color="auto"/>
      </w:divBdr>
    </w:div>
    <w:div w:id="1507790123">
      <w:bodyDiv w:val="1"/>
      <w:marLeft w:val="0"/>
      <w:marRight w:val="0"/>
      <w:marTop w:val="0"/>
      <w:marBottom w:val="0"/>
      <w:divBdr>
        <w:top w:val="none" w:sz="0" w:space="0" w:color="auto"/>
        <w:left w:val="none" w:sz="0" w:space="0" w:color="auto"/>
        <w:bottom w:val="none" w:sz="0" w:space="0" w:color="auto"/>
        <w:right w:val="none" w:sz="0" w:space="0" w:color="auto"/>
      </w:divBdr>
    </w:div>
    <w:div w:id="1529634383">
      <w:bodyDiv w:val="1"/>
      <w:marLeft w:val="0"/>
      <w:marRight w:val="0"/>
      <w:marTop w:val="0"/>
      <w:marBottom w:val="0"/>
      <w:divBdr>
        <w:top w:val="none" w:sz="0" w:space="0" w:color="auto"/>
        <w:left w:val="none" w:sz="0" w:space="0" w:color="auto"/>
        <w:bottom w:val="none" w:sz="0" w:space="0" w:color="auto"/>
        <w:right w:val="none" w:sz="0" w:space="0" w:color="auto"/>
      </w:divBdr>
    </w:div>
    <w:div w:id="1659765872">
      <w:bodyDiv w:val="1"/>
      <w:marLeft w:val="0"/>
      <w:marRight w:val="0"/>
      <w:marTop w:val="0"/>
      <w:marBottom w:val="0"/>
      <w:divBdr>
        <w:top w:val="none" w:sz="0" w:space="0" w:color="auto"/>
        <w:left w:val="none" w:sz="0" w:space="0" w:color="auto"/>
        <w:bottom w:val="none" w:sz="0" w:space="0" w:color="auto"/>
        <w:right w:val="none" w:sz="0" w:space="0" w:color="auto"/>
      </w:divBdr>
    </w:div>
    <w:div w:id="1735591030">
      <w:bodyDiv w:val="1"/>
      <w:marLeft w:val="0"/>
      <w:marRight w:val="0"/>
      <w:marTop w:val="0"/>
      <w:marBottom w:val="0"/>
      <w:divBdr>
        <w:top w:val="none" w:sz="0" w:space="0" w:color="auto"/>
        <w:left w:val="none" w:sz="0" w:space="0" w:color="auto"/>
        <w:bottom w:val="none" w:sz="0" w:space="0" w:color="auto"/>
        <w:right w:val="none" w:sz="0" w:space="0" w:color="auto"/>
      </w:divBdr>
    </w:div>
    <w:div w:id="1783651287">
      <w:bodyDiv w:val="1"/>
      <w:marLeft w:val="0"/>
      <w:marRight w:val="0"/>
      <w:marTop w:val="0"/>
      <w:marBottom w:val="0"/>
      <w:divBdr>
        <w:top w:val="none" w:sz="0" w:space="0" w:color="auto"/>
        <w:left w:val="none" w:sz="0" w:space="0" w:color="auto"/>
        <w:bottom w:val="none" w:sz="0" w:space="0" w:color="auto"/>
        <w:right w:val="none" w:sz="0" w:space="0" w:color="auto"/>
      </w:divBdr>
    </w:div>
    <w:div w:id="1907379420">
      <w:bodyDiv w:val="1"/>
      <w:marLeft w:val="0"/>
      <w:marRight w:val="0"/>
      <w:marTop w:val="0"/>
      <w:marBottom w:val="0"/>
      <w:divBdr>
        <w:top w:val="none" w:sz="0" w:space="0" w:color="auto"/>
        <w:left w:val="none" w:sz="0" w:space="0" w:color="auto"/>
        <w:bottom w:val="none" w:sz="0" w:space="0" w:color="auto"/>
        <w:right w:val="none" w:sz="0" w:space="0" w:color="auto"/>
      </w:divBdr>
    </w:div>
    <w:div w:id="1910534504">
      <w:bodyDiv w:val="1"/>
      <w:marLeft w:val="0"/>
      <w:marRight w:val="0"/>
      <w:marTop w:val="0"/>
      <w:marBottom w:val="0"/>
      <w:divBdr>
        <w:top w:val="none" w:sz="0" w:space="0" w:color="auto"/>
        <w:left w:val="none" w:sz="0" w:space="0" w:color="auto"/>
        <w:bottom w:val="none" w:sz="0" w:space="0" w:color="auto"/>
        <w:right w:val="none" w:sz="0" w:space="0" w:color="auto"/>
      </w:divBdr>
    </w:div>
    <w:div w:id="2011828359">
      <w:bodyDiv w:val="1"/>
      <w:marLeft w:val="0"/>
      <w:marRight w:val="0"/>
      <w:marTop w:val="0"/>
      <w:marBottom w:val="0"/>
      <w:divBdr>
        <w:top w:val="none" w:sz="0" w:space="0" w:color="auto"/>
        <w:left w:val="none" w:sz="0" w:space="0" w:color="auto"/>
        <w:bottom w:val="none" w:sz="0" w:space="0" w:color="auto"/>
        <w:right w:val="none" w:sz="0" w:space="0" w:color="auto"/>
      </w:divBdr>
    </w:div>
    <w:div w:id="207882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3AFB7A2-47A4-4EFE-8B0A-2E4E7AEA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12</Pages>
  <Words>2826</Words>
  <Characters>15546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cp:lastPrinted>2023-02-07T22:05:00Z</cp:lastPrinted>
  <dcterms:created xsi:type="dcterms:W3CDTF">2023-02-10T17:43:00Z</dcterms:created>
  <dcterms:modified xsi:type="dcterms:W3CDTF">2023-12-20T18:54:00Z</dcterms:modified>
</cp:coreProperties>
</file>