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F3C7C" w14:textId="7551E813" w:rsidR="00CD05E8" w:rsidRDefault="00CD05E8" w:rsidP="00CD05E8">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D76F0" w:rsidRPr="000D76F0">
        <w:rPr>
          <w:rFonts w:ascii="Palatino Linotype" w:hAnsi="Palatino Linotype"/>
          <w:b/>
        </w:rPr>
        <w:t>02385/INFOEM/IP/RR/2023</w:t>
      </w:r>
      <w:r w:rsidRPr="006A7606">
        <w:rPr>
          <w:rFonts w:ascii="Palatino Linotype" w:hAnsi="Palatino Linotype" w:cs="Tahoma"/>
          <w:b/>
        </w:rPr>
        <w:t xml:space="preserve">, PROMOVIDO EN CONTRA </w:t>
      </w:r>
      <w:r w:rsidR="00BE74DA" w:rsidRPr="006A7606">
        <w:rPr>
          <w:rFonts w:ascii="Palatino Linotype" w:hAnsi="Palatino Linotype" w:cs="Tahoma"/>
          <w:b/>
        </w:rPr>
        <w:t>DE</w:t>
      </w:r>
      <w:r w:rsidR="00BE74DA">
        <w:rPr>
          <w:rFonts w:ascii="Palatino Linotype" w:hAnsi="Palatino Linotype" w:cs="Tahoma"/>
          <w:b/>
        </w:rPr>
        <w:t xml:space="preserve">L </w:t>
      </w:r>
      <w:r w:rsidR="000D76F0" w:rsidRPr="000D76F0">
        <w:rPr>
          <w:rFonts w:ascii="Palatino Linotype" w:hAnsi="Palatino Linotype" w:cs="Tahoma"/>
          <w:b/>
        </w:rPr>
        <w:t>AYUNTAMIENTO DE TLALMANALCO</w:t>
      </w:r>
      <w:r w:rsidR="00A35B8C">
        <w:rPr>
          <w:rFonts w:ascii="Palatino Linotype" w:hAnsi="Palatino Linotype" w:cs="Tahoma"/>
          <w:b/>
        </w:rPr>
        <w:t>.</w:t>
      </w:r>
    </w:p>
    <w:p w14:paraId="3AD5650B" w14:textId="77777777" w:rsidR="00A35B8C" w:rsidRPr="006A7606" w:rsidRDefault="00A35B8C" w:rsidP="00CD05E8">
      <w:pPr>
        <w:pStyle w:val="Encabezado"/>
        <w:spacing w:line="360" w:lineRule="auto"/>
        <w:ind w:right="49"/>
        <w:jc w:val="both"/>
        <w:rPr>
          <w:rFonts w:ascii="Palatino Linotype" w:hAnsi="Palatino Linotype" w:cs="Tahoma"/>
        </w:rPr>
      </w:pPr>
    </w:p>
    <w:p w14:paraId="45104D05" w14:textId="78991208" w:rsidR="00CD05E8" w:rsidRPr="00885189" w:rsidRDefault="00CD05E8" w:rsidP="00CD05E8">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0D76F0" w:rsidRPr="000D76F0">
        <w:rPr>
          <w:rFonts w:ascii="Palatino Linotype" w:hAnsi="Palatino Linotype"/>
          <w:b/>
        </w:rPr>
        <w:t>02385/INFOEM/IP/RR/2023</w:t>
      </w:r>
      <w:r w:rsidR="005B04A3">
        <w:rPr>
          <w:rFonts w:ascii="Palatino Linotype" w:hAnsi="Palatino Linotype"/>
          <w:b/>
        </w:rPr>
        <w:t>,</w:t>
      </w:r>
      <w:r w:rsidR="005B04A3" w:rsidRPr="005B04A3">
        <w:rPr>
          <w:rFonts w:ascii="Palatino Linotype" w:hAnsi="Palatino Linotype"/>
          <w:bCs/>
        </w:rPr>
        <w:t xml:space="preserve"> emitida por el Pleno del Instituto de Transparencia, Acceso a la Información Pública y Protección de Datos Personales del Estado de México y Municipios.</w:t>
      </w:r>
    </w:p>
    <w:p w14:paraId="26659CDD" w14:textId="77777777" w:rsidR="009E0861" w:rsidRPr="005A391A" w:rsidRDefault="009E0861" w:rsidP="000122F9">
      <w:pPr>
        <w:spacing w:after="0" w:line="360" w:lineRule="auto"/>
        <w:jc w:val="both"/>
        <w:rPr>
          <w:rFonts w:ascii="Palatino Linotype" w:hAnsi="Palatino Linotype" w:cs="Tahoma"/>
        </w:rPr>
      </w:pPr>
    </w:p>
    <w:p w14:paraId="5AA1C385" w14:textId="6C6A402E" w:rsidR="007B5A7D" w:rsidRDefault="0008380F" w:rsidP="000122F9">
      <w:pPr>
        <w:spacing w:after="0" w:line="360" w:lineRule="auto"/>
        <w:jc w:val="both"/>
        <w:rPr>
          <w:rFonts w:ascii="Palatino Linotype" w:hAnsi="Palatino Linotype"/>
          <w:lang w:eastAsia="es-ES_tradnl"/>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5B04A3">
        <w:rPr>
          <w:rFonts w:ascii="Palatino Linotype" w:hAnsi="Palatino Linotype" w:cs="Tahoma"/>
        </w:rPr>
        <w:t>modificar</w:t>
      </w:r>
      <w:r w:rsidR="00E73B47">
        <w:rPr>
          <w:rFonts w:ascii="Palatino Linotype" w:hAnsi="Palatino Linotype" w:cs="Tahoma"/>
        </w:rPr>
        <w:t xml:space="preserve"> </w:t>
      </w:r>
      <w:r w:rsidR="005B04A3">
        <w:rPr>
          <w:rFonts w:ascii="Palatino Linotype" w:hAnsi="Palatino Linotype" w:cs="Tahoma"/>
        </w:rPr>
        <w:t>la respuesta del Sujeto Obligado</w:t>
      </w:r>
      <w:r w:rsidR="00E73B47">
        <w:rPr>
          <w:rFonts w:ascii="Palatino Linotype" w:hAnsi="Palatino Linotype" w:cs="Tahoma"/>
        </w:rPr>
        <w:t xml:space="preserve"> </w:t>
      </w:r>
      <w:r w:rsidR="00BE74DA" w:rsidRPr="00BE74DA">
        <w:rPr>
          <w:rFonts w:ascii="Palatino Linotype" w:hAnsi="Palatino Linotype" w:cs="Tahoma"/>
        </w:rPr>
        <w:t>y ordenar la entrega</w:t>
      </w:r>
      <w:r w:rsidR="005B04A3">
        <w:rPr>
          <w:rFonts w:ascii="Palatino Linotype" w:hAnsi="Palatino Linotype" w:cs="Tahoma"/>
        </w:rPr>
        <w:t xml:space="preserve"> de la ficha curricular y de las cédulas profesionales de los </w:t>
      </w:r>
      <w:r w:rsidR="005B04A3" w:rsidRPr="005B04A3">
        <w:rPr>
          <w:rFonts w:ascii="Palatino Linotype" w:hAnsi="Palatino Linotype" w:cs="Tahoma"/>
        </w:rPr>
        <w:t>Titulares de Área de las unidades administrativas que integran el Sistema del Desarrollo Integral de la Familia de Tlalmanalco</w:t>
      </w:r>
      <w:r w:rsidR="005B04A3">
        <w:rPr>
          <w:rFonts w:ascii="Palatino Linotype" w:hAnsi="Palatino Linotype" w:cs="Tahoma"/>
        </w:rPr>
        <w:t xml:space="preserve">, en versión pública, en </w:t>
      </w:r>
      <w:r w:rsidR="00E15313">
        <w:rPr>
          <w:rFonts w:ascii="Palatino Linotype" w:hAnsi="Palatino Linotype" w:cs="Tahoma"/>
        </w:rPr>
        <w:t xml:space="preserve">donde se ordenó la clasificación de </w:t>
      </w:r>
      <w:r w:rsidR="00BE74DA" w:rsidRPr="00BE74DA">
        <w:rPr>
          <w:rFonts w:ascii="Palatino Linotype" w:hAnsi="Palatino Linotype" w:cs="Tahoma"/>
        </w:rPr>
        <w:t>la firma</w:t>
      </w:r>
      <w:r w:rsidR="00E15313">
        <w:rPr>
          <w:rFonts w:ascii="Palatino Linotype" w:hAnsi="Palatino Linotype" w:cs="Tahoma"/>
        </w:rPr>
        <w:t xml:space="preserve"> autógrafa, al </w:t>
      </w:r>
      <w:r w:rsidR="00BE74DA" w:rsidRPr="00BE74DA">
        <w:rPr>
          <w:rFonts w:ascii="Palatino Linotype" w:hAnsi="Palatino Linotype" w:cs="Tahoma"/>
        </w:rPr>
        <w:t>considerarse información confidencial, en términos del artículo 143, fracción I, de la Ley de Transparencia y Acceso a la Información Pública del Estado de México y Municipios</w:t>
      </w:r>
      <w:r w:rsidR="005B04A3">
        <w:rPr>
          <w:rFonts w:ascii="Palatino Linotype" w:hAnsi="Palatino Linotype" w:cs="Tahoma"/>
        </w:rPr>
        <w:t xml:space="preserve"> así como dar vista a la Dirección General de Datos Personales, cuando se invocaron actos consentidos en la resolución, por lo que ya no se entró al estudio de los documentos entregados por el Sujeto Obligado.</w:t>
      </w:r>
    </w:p>
    <w:p w14:paraId="667C5503" w14:textId="77777777" w:rsidR="007B5A7D" w:rsidRDefault="007B5A7D" w:rsidP="000122F9">
      <w:pPr>
        <w:spacing w:after="0" w:line="360" w:lineRule="auto"/>
        <w:jc w:val="both"/>
        <w:rPr>
          <w:rFonts w:ascii="Palatino Linotype" w:hAnsi="Palatino Linotype"/>
          <w:lang w:eastAsia="es-ES_tradnl"/>
        </w:rPr>
      </w:pPr>
    </w:p>
    <w:p w14:paraId="757686C7" w14:textId="4448F5AD" w:rsidR="004406D8" w:rsidRDefault="005B04A3" w:rsidP="004406D8">
      <w:pPr>
        <w:spacing w:after="0" w:line="360" w:lineRule="auto"/>
        <w:jc w:val="both"/>
        <w:rPr>
          <w:rFonts w:ascii="Palatino Linotype" w:hAnsi="Palatino Linotype" w:cs="Arial"/>
        </w:rPr>
      </w:pPr>
      <w:r>
        <w:rPr>
          <w:rFonts w:ascii="Palatino Linotype" w:hAnsi="Palatino Linotype" w:cs="Arial"/>
        </w:rPr>
        <w:lastRenderedPageBreak/>
        <w:t>S</w:t>
      </w:r>
      <w:r w:rsidR="004406D8" w:rsidRPr="001D75DE">
        <w:rPr>
          <w:rFonts w:ascii="Palatino Linotype" w:hAnsi="Palatino Linotype" w:cs="Arial"/>
        </w:rPr>
        <w:t xml:space="preserve">i bien </w:t>
      </w:r>
      <w:r w:rsidR="004406D8">
        <w:rPr>
          <w:rFonts w:ascii="Palatino Linotype" w:hAnsi="Palatino Linotype" w:cs="Arial"/>
        </w:rPr>
        <w:t>coincido,</w:t>
      </w:r>
      <w:r w:rsidR="004406D8" w:rsidRPr="001D75DE">
        <w:rPr>
          <w:rFonts w:ascii="Palatino Linotype" w:hAnsi="Palatino Linotype" w:cs="Arial"/>
        </w:rPr>
        <w:t xml:space="preserve"> en términos generales con la </w:t>
      </w:r>
      <w:r w:rsidR="004406D8">
        <w:rPr>
          <w:rFonts w:ascii="Palatino Linotype" w:hAnsi="Palatino Linotype" w:cs="Arial"/>
        </w:rPr>
        <w:t>R</w:t>
      </w:r>
      <w:r w:rsidR="004406D8" w:rsidRPr="001D75DE">
        <w:rPr>
          <w:rFonts w:ascii="Palatino Linotype" w:hAnsi="Palatino Linotype" w:cs="Arial"/>
        </w:rPr>
        <w:t>esolución, estim</w:t>
      </w:r>
      <w:r w:rsidR="004406D8">
        <w:rPr>
          <w:rFonts w:ascii="Palatino Linotype" w:hAnsi="Palatino Linotype" w:cs="Arial"/>
        </w:rPr>
        <w:t>o</w:t>
      </w:r>
      <w:r w:rsidR="004406D8" w:rsidRPr="001D75DE">
        <w:rPr>
          <w:rFonts w:ascii="Palatino Linotype" w:hAnsi="Palatino Linotype" w:cs="Arial"/>
        </w:rPr>
        <w:t xml:space="preserve"> necesario precisar que no </w:t>
      </w:r>
      <w:r w:rsidR="004406D8">
        <w:rPr>
          <w:rFonts w:ascii="Palatino Linotype" w:hAnsi="Palatino Linotype" w:cs="Arial"/>
        </w:rPr>
        <w:t>comparto el criterio de</w:t>
      </w:r>
      <w:r w:rsidR="004406D8" w:rsidRPr="001D75DE">
        <w:rPr>
          <w:rFonts w:ascii="Palatino Linotype" w:hAnsi="Palatino Linotype" w:cs="Arial"/>
        </w:rPr>
        <w:t xml:space="preserve"> clasifica</w:t>
      </w:r>
      <w:r w:rsidR="004406D8">
        <w:rPr>
          <w:rFonts w:ascii="Palatino Linotype" w:hAnsi="Palatino Linotype" w:cs="Arial"/>
        </w:rPr>
        <w:t>r</w:t>
      </w:r>
      <w:r w:rsidR="004406D8" w:rsidRPr="001D75DE">
        <w:rPr>
          <w:rFonts w:ascii="Palatino Linotype" w:hAnsi="Palatino Linotype" w:cs="Arial"/>
        </w:rPr>
        <w:t xml:space="preserve"> como información confidencial </w:t>
      </w:r>
      <w:r w:rsidR="004406D8">
        <w:rPr>
          <w:rFonts w:ascii="Palatino Linotype" w:hAnsi="Palatino Linotype" w:cs="Arial"/>
        </w:rPr>
        <w:t>la firma</w:t>
      </w:r>
      <w:r w:rsidR="00757CCC">
        <w:rPr>
          <w:rFonts w:ascii="Palatino Linotype" w:hAnsi="Palatino Linotype" w:cs="Arial"/>
        </w:rPr>
        <w:t xml:space="preserve"> </w:t>
      </w:r>
      <w:r w:rsidR="004406D8">
        <w:rPr>
          <w:rFonts w:ascii="Palatino Linotype" w:hAnsi="Palatino Linotype" w:cs="Arial"/>
        </w:rPr>
        <w:t xml:space="preserve">que obra </w:t>
      </w:r>
      <w:r w:rsidR="004406D8" w:rsidRPr="001D75DE">
        <w:rPr>
          <w:rFonts w:ascii="Palatino Linotype" w:hAnsi="Palatino Linotype" w:cs="Arial"/>
        </w:rPr>
        <w:t xml:space="preserve">en </w:t>
      </w:r>
      <w:r w:rsidR="004406D8">
        <w:rPr>
          <w:rFonts w:ascii="Palatino Linotype" w:hAnsi="Palatino Linotype" w:cs="Arial"/>
        </w:rPr>
        <w:t>los</w:t>
      </w:r>
      <w:r w:rsidR="004406D8" w:rsidRPr="001D75DE">
        <w:rPr>
          <w:rFonts w:ascii="Palatino Linotype" w:hAnsi="Palatino Linotype" w:cs="Arial"/>
        </w:rPr>
        <w:t xml:space="preserve"> documentos </w:t>
      </w:r>
      <w:r w:rsidR="004406D8">
        <w:rPr>
          <w:rFonts w:ascii="Palatino Linotype" w:hAnsi="Palatino Linotype" w:cs="Arial"/>
        </w:rPr>
        <w:t xml:space="preserve">que dan cuenta </w:t>
      </w:r>
      <w:r w:rsidR="004406D8" w:rsidRPr="001D75DE">
        <w:rPr>
          <w:rFonts w:ascii="Palatino Linotype" w:hAnsi="Palatino Linotype" w:cs="Arial"/>
        </w:rPr>
        <w:t>de</w:t>
      </w:r>
      <w:r w:rsidR="004406D8">
        <w:rPr>
          <w:rFonts w:ascii="Palatino Linotype" w:hAnsi="Palatino Linotype" w:cs="Arial"/>
        </w:rPr>
        <w:t xml:space="preserve"> la</w:t>
      </w:r>
      <w:r w:rsidR="004406D8" w:rsidRPr="001D75DE">
        <w:rPr>
          <w:rFonts w:ascii="Palatino Linotype" w:hAnsi="Palatino Linotype" w:cs="Arial"/>
        </w:rPr>
        <w:t xml:space="preserve"> preparación académica </w:t>
      </w:r>
      <w:r w:rsidR="004406D8">
        <w:rPr>
          <w:rFonts w:ascii="Palatino Linotype" w:hAnsi="Palatino Linotype" w:cs="Arial"/>
        </w:rPr>
        <w:t>de servidores públicos</w:t>
      </w:r>
      <w:r w:rsidR="003E7476">
        <w:rPr>
          <w:rFonts w:ascii="Palatino Linotype" w:hAnsi="Palatino Linotype" w:cs="Arial"/>
        </w:rPr>
        <w:t xml:space="preserve">; </w:t>
      </w:r>
      <w:r w:rsidR="004406D8">
        <w:rPr>
          <w:rFonts w:ascii="Palatino Linotype" w:hAnsi="Palatino Linotype" w:cs="Arial"/>
        </w:rPr>
        <w:t>en virtud de lo siguiente:</w:t>
      </w:r>
    </w:p>
    <w:p w14:paraId="220B5E88" w14:textId="77777777" w:rsidR="00757CCC" w:rsidRDefault="00757CCC" w:rsidP="004406D8">
      <w:pPr>
        <w:spacing w:after="0" w:line="360" w:lineRule="auto"/>
        <w:jc w:val="both"/>
        <w:rPr>
          <w:rFonts w:ascii="Palatino Linotype" w:hAnsi="Palatino Linotype" w:cs="Arial"/>
        </w:rPr>
      </w:pPr>
    </w:p>
    <w:p w14:paraId="12447D3E" w14:textId="242BF0F7" w:rsidR="00AD2835" w:rsidRDefault="00913701" w:rsidP="00060E35">
      <w:pPr>
        <w:spacing w:after="0" w:line="360" w:lineRule="auto"/>
        <w:jc w:val="both"/>
        <w:rPr>
          <w:rFonts w:ascii="Palatino Linotype" w:hAnsi="Palatino Linotype" w:cs="Arial"/>
        </w:rPr>
      </w:pPr>
      <w:r>
        <w:rPr>
          <w:rFonts w:ascii="Palatino Linotype" w:hAnsi="Palatino Linotype" w:cs="Arial"/>
        </w:rPr>
        <w:t>El</w:t>
      </w:r>
      <w:r w:rsidR="00AD2835">
        <w:rPr>
          <w:rFonts w:ascii="Palatino Linotype" w:hAnsi="Palatino Linotype" w:cs="Arial"/>
        </w:rPr>
        <w:t xml:space="preserve"> Título, es definido a través de la Real Academia de la Lengua Española, en su quinta acepción como el </w:t>
      </w:r>
      <w:r w:rsidR="00AD2835" w:rsidRPr="00AD2835">
        <w:rPr>
          <w:rFonts w:ascii="Palatino Linotype" w:hAnsi="Palatino Linotype" w:cs="Arial"/>
          <w:i/>
          <w:iCs/>
        </w:rPr>
        <w:t>“Testimonio o instrumento dado para ejercer un empleo, dignidad o profesión”</w:t>
      </w:r>
      <w:r w:rsidR="00AD2835">
        <w:rPr>
          <w:rFonts w:ascii="Palatino Linotype" w:hAnsi="Palatino Linotype" w:cs="Arial"/>
          <w:i/>
          <w:iCs/>
        </w:rPr>
        <w:t xml:space="preserve">, </w:t>
      </w:r>
      <w:r w:rsidR="00AD2835" w:rsidRPr="00AD2835">
        <w:rPr>
          <w:rFonts w:ascii="Palatino Linotype" w:hAnsi="Palatino Linotype" w:cs="Arial"/>
        </w:rPr>
        <w:t xml:space="preserve">y encuentra su génesis </w:t>
      </w:r>
      <w:r w:rsidR="00AD2835">
        <w:rPr>
          <w:rFonts w:ascii="Palatino Linotype" w:hAnsi="Palatino Linotype" w:cs="Arial"/>
        </w:rPr>
        <w:t>jurídico, en el párrafo segundo, del artículo 5° de la Constitución Política de los Estados Unidos Mexicanos, como una limitación al libre ejercicio de profesional:</w:t>
      </w:r>
    </w:p>
    <w:p w14:paraId="4858FBBF" w14:textId="77777777" w:rsidR="00AD2835" w:rsidRDefault="00AD2835" w:rsidP="00060E35">
      <w:pPr>
        <w:spacing w:after="0" w:line="360" w:lineRule="auto"/>
        <w:jc w:val="both"/>
        <w:rPr>
          <w:rFonts w:ascii="Palatino Linotype" w:hAnsi="Palatino Linotype" w:cs="Arial"/>
        </w:rPr>
      </w:pPr>
    </w:p>
    <w:p w14:paraId="2234A010" w14:textId="57CBE31D" w:rsidR="00AD2835" w:rsidRDefault="00AD2835" w:rsidP="00AD2835">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14:paraId="5124D187" w14:textId="77777777" w:rsidR="00AD2835" w:rsidRPr="00AD2835" w:rsidRDefault="00AD2835" w:rsidP="00AD2835">
      <w:pPr>
        <w:spacing w:after="0" w:line="360" w:lineRule="auto"/>
        <w:ind w:left="567" w:right="616"/>
        <w:jc w:val="both"/>
        <w:rPr>
          <w:rFonts w:ascii="Palatino Linotype" w:hAnsi="Palatino Linotype" w:cs="Arial"/>
          <w:i/>
          <w:iCs/>
          <w:sz w:val="20"/>
          <w:szCs w:val="20"/>
        </w:rPr>
      </w:pPr>
    </w:p>
    <w:p w14:paraId="670EB64E" w14:textId="3442F70C" w:rsidR="00AD2835" w:rsidRDefault="00AD2835" w:rsidP="00AD2835">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008A73C7" w14:textId="77777777" w:rsidR="00AD2835" w:rsidRDefault="00AD2835" w:rsidP="00AD2835">
      <w:pPr>
        <w:spacing w:after="0" w:line="360" w:lineRule="auto"/>
        <w:ind w:left="567" w:right="616"/>
        <w:jc w:val="both"/>
        <w:rPr>
          <w:rFonts w:ascii="Palatino Linotype" w:hAnsi="Palatino Linotype" w:cs="Arial"/>
          <w:b/>
          <w:bCs/>
          <w:i/>
          <w:iCs/>
          <w:sz w:val="20"/>
          <w:szCs w:val="20"/>
        </w:rPr>
      </w:pPr>
    </w:p>
    <w:p w14:paraId="5DA37714" w14:textId="1ED58635" w:rsidR="00AD2835" w:rsidRPr="00AD2835" w:rsidRDefault="00AD2835" w:rsidP="00AD2835">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14:paraId="60CA5CCD" w14:textId="77777777" w:rsidR="00AD2835" w:rsidRDefault="00AD2835" w:rsidP="00060E35">
      <w:pPr>
        <w:spacing w:after="0" w:line="360" w:lineRule="auto"/>
        <w:jc w:val="both"/>
        <w:rPr>
          <w:rFonts w:ascii="Palatino Linotype" w:hAnsi="Palatino Linotype" w:cs="Arial"/>
        </w:rPr>
      </w:pPr>
    </w:p>
    <w:p w14:paraId="6C268BDB" w14:textId="1CCB7C7C" w:rsidR="00D83724" w:rsidRPr="00D83724" w:rsidRDefault="0015246D" w:rsidP="00D83724">
      <w:pPr>
        <w:spacing w:after="0" w:line="360" w:lineRule="auto"/>
        <w:jc w:val="both"/>
        <w:rPr>
          <w:rFonts w:ascii="Palatino Linotype" w:hAnsi="Palatino Linotype" w:cs="Arial"/>
        </w:rPr>
      </w:pPr>
      <w:r>
        <w:rPr>
          <w:rFonts w:ascii="Palatino Linotype" w:hAnsi="Palatino Linotype" w:cs="Arial"/>
        </w:rPr>
        <w:t xml:space="preserve">Así la Carta Magna, otorga facultades a las entidades federativas a determinar las profesiones que requieren de </w:t>
      </w:r>
      <w:r w:rsidR="00F80601">
        <w:rPr>
          <w:rFonts w:ascii="Palatino Linotype" w:hAnsi="Palatino Linotype" w:cs="Arial"/>
        </w:rPr>
        <w:t>título</w:t>
      </w:r>
      <w:r>
        <w:rPr>
          <w:rFonts w:ascii="Palatino Linotype" w:hAnsi="Palatino Linotype" w:cs="Arial"/>
        </w:rPr>
        <w:t xml:space="preserve"> universitario, para su ejercicio, para lo cual, entonces debemos remitirnos a la legislación local, que, en el Estado de México, </w:t>
      </w:r>
      <w:r w:rsidR="00D83724">
        <w:rPr>
          <w:rFonts w:ascii="Palatino Linotype" w:hAnsi="Palatino Linotype" w:cs="Arial"/>
        </w:rPr>
        <w:t xml:space="preserve">se naturaliza a través del </w:t>
      </w:r>
      <w:r w:rsidR="00D83724" w:rsidRPr="00D83724">
        <w:rPr>
          <w:rFonts w:ascii="Palatino Linotype" w:hAnsi="Palatino Linotype" w:cs="Arial"/>
        </w:rPr>
        <w:t xml:space="preserve">Reglamento de Inscripción de Títulos Profesionales, Diplomas de Especialidad y Grados Académicos del Estado de México, publicado en el Periódico Oficial “Gaceta del Gobierno” </w:t>
      </w:r>
      <w:r w:rsidR="00D83724" w:rsidRPr="00D83724">
        <w:rPr>
          <w:rFonts w:ascii="Palatino Linotype" w:hAnsi="Palatino Linotype" w:cs="Arial"/>
        </w:rPr>
        <w:lastRenderedPageBreak/>
        <w:t>el 25 de marzo de 2022</w:t>
      </w:r>
      <w:r w:rsidR="00D83724">
        <w:rPr>
          <w:rFonts w:ascii="Palatino Linotype" w:hAnsi="Palatino Linotype" w:cs="Arial"/>
        </w:rPr>
        <w:t>, que define l</w:t>
      </w:r>
      <w:r w:rsidR="00D83724" w:rsidRPr="00D83724">
        <w:rPr>
          <w:rFonts w:ascii="Palatino Linotype" w:hAnsi="Palatino Linotype" w:cs="Arial"/>
        </w:rPr>
        <w:t xml:space="preserve">a cédula profesional y el título universitario </w:t>
      </w:r>
      <w:r w:rsidR="00D83724">
        <w:rPr>
          <w:rFonts w:ascii="Palatino Linotype" w:hAnsi="Palatino Linotype" w:cs="Arial"/>
        </w:rPr>
        <w:t xml:space="preserve">en su </w:t>
      </w:r>
      <w:r w:rsidR="00D83724" w:rsidRPr="00D83724">
        <w:rPr>
          <w:rFonts w:ascii="Palatino Linotype" w:hAnsi="Palatino Linotype" w:cs="Arial"/>
        </w:rPr>
        <w:t>artículo 3°, fracciones I y IX, de la siguiente manera:</w:t>
      </w:r>
    </w:p>
    <w:p w14:paraId="1DD0460C" w14:textId="77777777" w:rsidR="00D83724" w:rsidRPr="00D83724" w:rsidRDefault="00D83724" w:rsidP="00D83724">
      <w:pPr>
        <w:spacing w:after="0" w:line="360" w:lineRule="auto"/>
        <w:jc w:val="both"/>
        <w:rPr>
          <w:rFonts w:ascii="Palatino Linotype" w:hAnsi="Palatino Linotype" w:cs="Arial"/>
        </w:rPr>
      </w:pPr>
    </w:p>
    <w:p w14:paraId="5A1C0D01"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3. Para efectos de este Reglamento, se entiende por:</w:t>
      </w:r>
    </w:p>
    <w:p w14:paraId="012BC69E"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14:paraId="076F5A6B"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w:t>
      </w:r>
    </w:p>
    <w:p w14:paraId="1399DE29" w14:textId="55EC6521" w:rsidR="0015246D" w:rsidRPr="0015246D"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FD91746" w14:textId="6991B960" w:rsidR="0015246D" w:rsidRDefault="0015246D" w:rsidP="0015246D">
      <w:pPr>
        <w:spacing w:after="0" w:line="360" w:lineRule="auto"/>
        <w:jc w:val="both"/>
        <w:rPr>
          <w:rFonts w:ascii="Palatino Linotype" w:hAnsi="Palatino Linotype" w:cs="Arial"/>
        </w:rPr>
      </w:pPr>
    </w:p>
    <w:p w14:paraId="1C428D0F" w14:textId="381ED1FF" w:rsidR="00D83724" w:rsidRDefault="00D83724" w:rsidP="0015246D">
      <w:pPr>
        <w:spacing w:after="0" w:line="360" w:lineRule="auto"/>
        <w:jc w:val="both"/>
        <w:rPr>
          <w:rFonts w:ascii="Palatino Linotype" w:hAnsi="Palatino Linotype" w:cs="Arial"/>
        </w:rPr>
      </w:pPr>
      <w:r>
        <w:rPr>
          <w:rFonts w:ascii="Palatino Linotype" w:hAnsi="Palatino Linotype" w:cs="Arial"/>
        </w:rPr>
        <w:t>A</w:t>
      </w:r>
      <w:r w:rsidR="00630D09">
        <w:rPr>
          <w:rFonts w:ascii="Palatino Linotype" w:hAnsi="Palatino Linotype" w:cs="Arial"/>
        </w:rPr>
        <w:t>demás, el propio Reglamento, en su artículo 16, contempla la obligación a las Instituciones Educativas, a inscribir los títulos profesionales para su validez.</w:t>
      </w:r>
    </w:p>
    <w:p w14:paraId="68330A0A" w14:textId="77777777" w:rsidR="00630D09" w:rsidRDefault="00630D09" w:rsidP="0015246D">
      <w:pPr>
        <w:spacing w:after="0" w:line="360" w:lineRule="auto"/>
        <w:jc w:val="both"/>
        <w:rPr>
          <w:rFonts w:ascii="Palatino Linotype" w:hAnsi="Palatino Linotype" w:cs="Arial"/>
        </w:rPr>
      </w:pPr>
    </w:p>
    <w:p w14:paraId="08335DC6" w14:textId="298BDEFB" w:rsidR="00630D09" w:rsidRPr="00630D09" w:rsidRDefault="00630D09" w:rsidP="00630D09">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14:paraId="253CB166" w14:textId="77777777" w:rsidR="00D83724" w:rsidRDefault="00D83724" w:rsidP="0015246D">
      <w:pPr>
        <w:spacing w:after="0" w:line="360" w:lineRule="auto"/>
        <w:jc w:val="both"/>
        <w:rPr>
          <w:rFonts w:ascii="Palatino Linotype" w:hAnsi="Palatino Linotype" w:cs="Arial"/>
        </w:rPr>
      </w:pPr>
    </w:p>
    <w:p w14:paraId="4403E0A2" w14:textId="792C3B8C" w:rsidR="000E3E2F" w:rsidRDefault="00630D09" w:rsidP="0015246D">
      <w:pPr>
        <w:spacing w:after="0" w:line="360" w:lineRule="auto"/>
        <w:jc w:val="both"/>
        <w:rPr>
          <w:rFonts w:ascii="Palatino Linotype" w:hAnsi="Palatino Linotype" w:cs="Arial"/>
        </w:rPr>
      </w:pPr>
      <w:r>
        <w:rPr>
          <w:rFonts w:ascii="Palatino Linotype" w:hAnsi="Palatino Linotype" w:cs="Arial"/>
        </w:rPr>
        <w:t>Así, los títulos no son válidos solo con su expedición, sino que es necesaria la inscripción de estos para su validez, por lo cual, la exhibición del documento, considero, debe ser de manera íntegra para que se valide su capacidad profesional</w:t>
      </w:r>
      <w:r w:rsidR="000E3E2F">
        <w:rPr>
          <w:rFonts w:ascii="Palatino Linotype" w:hAnsi="Palatino Linotype" w:cs="Arial"/>
        </w:rPr>
        <w:t>, esto incluye la firma del profesionista y su imagen fotográfica.</w:t>
      </w:r>
    </w:p>
    <w:p w14:paraId="51ECF9D1" w14:textId="77777777" w:rsidR="000E3E2F" w:rsidRDefault="000E3E2F" w:rsidP="0015246D">
      <w:pPr>
        <w:spacing w:after="0" w:line="360" w:lineRule="auto"/>
        <w:jc w:val="both"/>
        <w:rPr>
          <w:rFonts w:ascii="Palatino Linotype" w:hAnsi="Palatino Linotype" w:cs="Arial"/>
        </w:rPr>
      </w:pPr>
    </w:p>
    <w:p w14:paraId="18B29767" w14:textId="0C33EE01" w:rsidR="000E3E2F" w:rsidRDefault="000E3E2F" w:rsidP="0015246D">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347CB43" w14:textId="77777777" w:rsidR="000E3E2F" w:rsidRDefault="000E3E2F" w:rsidP="0015246D">
      <w:pPr>
        <w:spacing w:after="0" w:line="360" w:lineRule="auto"/>
        <w:jc w:val="both"/>
        <w:rPr>
          <w:rFonts w:ascii="Palatino Linotype" w:hAnsi="Palatino Linotype" w:cs="Arial"/>
        </w:rPr>
      </w:pPr>
    </w:p>
    <w:p w14:paraId="5E189FE0" w14:textId="000CC9B7" w:rsidR="00D83724" w:rsidRDefault="000E3E2F" w:rsidP="0015246D">
      <w:pPr>
        <w:spacing w:after="0" w:line="360" w:lineRule="auto"/>
        <w:jc w:val="both"/>
        <w:rPr>
          <w:rFonts w:ascii="Palatino Linotype" w:hAnsi="Palatino Linotype" w:cs="Arial"/>
        </w:rPr>
      </w:pPr>
      <w:r>
        <w:rPr>
          <w:rFonts w:ascii="Palatino Linotype" w:hAnsi="Palatino Linotype" w:cs="Arial"/>
        </w:rPr>
        <w:t>Ahora bien, a</w:t>
      </w:r>
      <w:r w:rsidR="00CE1893">
        <w:rPr>
          <w:rFonts w:ascii="Palatino Linotype" w:hAnsi="Palatino Linotype" w:cs="Arial"/>
        </w:rPr>
        <w:t xml:space="preserve"> través de un análisis sistemático de la Ley, debemos afirmar, </w:t>
      </w:r>
      <w:r w:rsidR="00D83724">
        <w:rPr>
          <w:rFonts w:ascii="Palatino Linotype" w:hAnsi="Palatino Linotype" w:cs="Arial"/>
        </w:rPr>
        <w:t xml:space="preserve">que los Profesionistas que ejerzan su profesión, deberán cumplir </w:t>
      </w:r>
      <w:r w:rsidR="00630D09">
        <w:rPr>
          <w:rFonts w:ascii="Palatino Linotype" w:hAnsi="Palatino Linotype" w:cs="Arial"/>
        </w:rPr>
        <w:t>con todos los requisitos que contemple la Ley, pues l</w:t>
      </w:r>
      <w:r w:rsidR="00CE1893">
        <w:rPr>
          <w:rFonts w:ascii="Palatino Linotype" w:hAnsi="Palatino Linotype" w:cs="Arial"/>
        </w:rPr>
        <w:t>o cierto es que incumplir con estos elementos</w:t>
      </w:r>
      <w:r w:rsidR="00D83724">
        <w:rPr>
          <w:rFonts w:ascii="Palatino Linotype" w:hAnsi="Palatino Linotype" w:cs="Arial"/>
        </w:rPr>
        <w:t>, cuando se ostenta la calidad de profesionista, constituye un delito al actualizarse el tipo penal, contemplado en el artículo 176, fracción II, del Código Penal del Estado de México, que contempla:</w:t>
      </w:r>
    </w:p>
    <w:p w14:paraId="112F4744" w14:textId="77777777" w:rsidR="00D83724" w:rsidRDefault="00D83724" w:rsidP="0015246D">
      <w:pPr>
        <w:spacing w:after="0" w:line="360" w:lineRule="auto"/>
        <w:jc w:val="both"/>
        <w:rPr>
          <w:rFonts w:ascii="Palatino Linotype" w:hAnsi="Palatino Linotype" w:cs="Arial"/>
        </w:rPr>
      </w:pPr>
    </w:p>
    <w:p w14:paraId="16311985"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14:paraId="74ACADCC" w14:textId="77F0F108"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 xml:space="preserve">USURPACION DE FUNCIONES </w:t>
      </w:r>
      <w:r w:rsidR="00F80601" w:rsidRPr="00D83724">
        <w:rPr>
          <w:rFonts w:ascii="Palatino Linotype" w:hAnsi="Palatino Linotype" w:cs="Arial"/>
          <w:i/>
          <w:iCs/>
          <w:sz w:val="20"/>
          <w:szCs w:val="20"/>
        </w:rPr>
        <w:t>PÚBLICAS</w:t>
      </w:r>
      <w:r w:rsidRPr="00D83724">
        <w:rPr>
          <w:rFonts w:ascii="Palatino Linotype" w:hAnsi="Palatino Linotype" w:cs="Arial"/>
          <w:i/>
          <w:iCs/>
          <w:sz w:val="20"/>
          <w:szCs w:val="20"/>
        </w:rPr>
        <w:t xml:space="preserve"> O DE PROFESIONES</w:t>
      </w:r>
    </w:p>
    <w:p w14:paraId="1F946AF0"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14:paraId="2DEC8CFA" w14:textId="2EA06146" w:rsidR="00D83724" w:rsidRPr="00D83724" w:rsidRDefault="00630D09" w:rsidP="00D83724">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14:paraId="17218693" w14:textId="6ED6D225" w:rsidR="00D83724" w:rsidRPr="00630D09" w:rsidRDefault="00D83724" w:rsidP="00D83724">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7674820D" w14:textId="00DF6A72" w:rsidR="00CE1893" w:rsidRDefault="00630D09" w:rsidP="00D83724">
      <w:pPr>
        <w:spacing w:after="0" w:line="360" w:lineRule="auto"/>
        <w:ind w:left="567" w:right="616"/>
        <w:jc w:val="both"/>
        <w:rPr>
          <w:rFonts w:ascii="Palatino Linotype" w:hAnsi="Palatino Linotype" w:cs="Arial"/>
        </w:rPr>
      </w:pPr>
      <w:r>
        <w:rPr>
          <w:rFonts w:ascii="Palatino Linotype" w:hAnsi="Palatino Linotype" w:cs="Arial"/>
        </w:rPr>
        <w:t>…</w:t>
      </w:r>
    </w:p>
    <w:p w14:paraId="6E058965" w14:textId="77777777" w:rsidR="0015246D" w:rsidRDefault="0015246D" w:rsidP="0015246D">
      <w:pPr>
        <w:spacing w:after="0" w:line="360" w:lineRule="auto"/>
        <w:jc w:val="both"/>
        <w:rPr>
          <w:rFonts w:ascii="Palatino Linotype" w:hAnsi="Palatino Linotype" w:cs="Arial"/>
        </w:rPr>
      </w:pPr>
    </w:p>
    <w:p w14:paraId="7A255576" w14:textId="59CF9D62" w:rsidR="00173CEC" w:rsidRPr="001D75DE" w:rsidRDefault="00630D09" w:rsidP="00630D09">
      <w:pPr>
        <w:spacing w:after="0" w:line="360" w:lineRule="auto"/>
        <w:jc w:val="both"/>
        <w:rPr>
          <w:rFonts w:ascii="Palatino Linotype" w:hAnsi="Palatino Linotype" w:cs="Arial"/>
        </w:rPr>
      </w:pPr>
      <w:r>
        <w:rPr>
          <w:rFonts w:ascii="Palatino Linotype" w:hAnsi="Palatino Linotype" w:cs="Arial"/>
        </w:rPr>
        <w:t>En este orden de ideas, si bien a criterio mayoritario del</w:t>
      </w:r>
      <w:r w:rsidR="0089753F">
        <w:rPr>
          <w:rFonts w:ascii="Palatino Linotype" w:hAnsi="Palatino Linotype" w:cs="Arial"/>
        </w:rPr>
        <w:t xml:space="preserve"> Pleno</w:t>
      </w:r>
      <w:r>
        <w:rPr>
          <w:rFonts w:ascii="Palatino Linotype" w:hAnsi="Palatino Linotype" w:cs="Arial"/>
        </w:rPr>
        <w:t xml:space="preserve"> de este Organismo Garante la resolución contempla</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w:t>
      </w:r>
      <w:r w:rsidR="000E3E2F">
        <w:rPr>
          <w:rFonts w:ascii="Palatino Linotype" w:hAnsi="Palatino Linotype" w:cs="Arial"/>
        </w:rPr>
        <w:t>de los servidores públicos por haberse ejecutado en el ámbito de su vida privada</w:t>
      </w:r>
      <w:r w:rsidR="009F44D4">
        <w:rPr>
          <w:rFonts w:ascii="Palatino Linotype" w:hAnsi="Palatino Linotype" w:cs="Arial"/>
        </w:rPr>
        <w:t>,</w:t>
      </w:r>
      <w:r w:rsidR="0080711D">
        <w:rPr>
          <w:rFonts w:ascii="Palatino Linotype" w:hAnsi="Palatino Linotype" w:cs="Arial"/>
        </w:rPr>
        <w:t xml:space="preserve"> </w:t>
      </w:r>
      <w:r>
        <w:rPr>
          <w:rFonts w:ascii="Palatino Linotype" w:hAnsi="Palatino Linotype" w:cs="Arial"/>
        </w:rPr>
        <w:t>debido a</w:t>
      </w:r>
      <w:r w:rsidR="004076CF">
        <w:rPr>
          <w:rFonts w:ascii="Palatino Linotype" w:hAnsi="Palatino Linotype" w:cs="Arial"/>
        </w:rPr>
        <w:t xml:space="preserve"> que</w:t>
      </w:r>
      <w:r>
        <w:rPr>
          <w:rFonts w:ascii="Palatino Linotype" w:hAnsi="Palatino Linotype" w:cs="Arial"/>
        </w:rPr>
        <w:t xml:space="preserve"> se considera que </w:t>
      </w:r>
      <w:r w:rsidR="00683032" w:rsidRPr="00442620">
        <w:rPr>
          <w:rFonts w:ascii="Palatino Linotype" w:hAnsi="Palatino Linotype" w:cs="Arial"/>
        </w:rPr>
        <w:t xml:space="preserve">no es necesario que el ciudadano acceda </w:t>
      </w:r>
      <w:r w:rsidR="00173CEC">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w:t>
      </w:r>
      <w:r w:rsidR="000E3E2F">
        <w:rPr>
          <w:rFonts w:ascii="Palatino Linotype" w:hAnsi="Palatino Linotype" w:cs="Arial"/>
        </w:rPr>
        <w:t>y que por ello, se actualiza</w:t>
      </w:r>
      <w:r w:rsidR="004076CF">
        <w:rPr>
          <w:rFonts w:ascii="Palatino Linotype" w:hAnsi="Palatino Linotype" w:cs="Arial"/>
        </w:rPr>
        <w:t xml:space="preserve"> la</w:t>
      </w:r>
      <w:r>
        <w:rPr>
          <w:rFonts w:ascii="Palatino Linotype" w:hAnsi="Palatino Linotype" w:cs="Arial"/>
        </w:rPr>
        <w:t xml:space="preserve"> c</w:t>
      </w:r>
      <w:r w:rsidR="009761EB">
        <w:rPr>
          <w:rFonts w:ascii="Palatino Linotype" w:hAnsi="Palatino Linotype" w:cs="Arial"/>
        </w:rPr>
        <w:t>onfidencialidad de con fundamento en la</w:t>
      </w:r>
      <w:r w:rsidR="004076CF">
        <w:rPr>
          <w:rFonts w:ascii="Palatino Linotype" w:hAnsi="Palatino Linotype" w:cs="Arial"/>
        </w:rPr>
        <w:t xml:space="preserve">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sidR="009761EB">
        <w:rPr>
          <w:rFonts w:ascii="Palatino Linotype" w:hAnsi="Palatino Linotype" w:cs="Arial"/>
        </w:rPr>
        <w:t xml:space="preserve">, </w:t>
      </w:r>
      <w:r w:rsidR="00173CEC">
        <w:rPr>
          <w:rFonts w:ascii="Palatino Linotype" w:hAnsi="Palatino Linotype" w:cs="Arial"/>
        </w:rPr>
        <w:t xml:space="preserve">considero </w:t>
      </w:r>
      <w:r w:rsidR="009761EB">
        <w:rPr>
          <w:rFonts w:ascii="Palatino Linotype" w:hAnsi="Palatino Linotype" w:cs="Arial"/>
        </w:rPr>
        <w:t xml:space="preserve">que es necesario dar publicidad a la firma del profesionista contenida en los documentos que acreditan la calidad profesional o bien </w:t>
      </w:r>
      <w:r w:rsidR="00173CEC">
        <w:rPr>
          <w:rFonts w:ascii="Palatino Linotype" w:hAnsi="Palatino Linotype" w:cs="Arial"/>
        </w:rPr>
        <w:t>un nivel de estudios o grado académico</w:t>
      </w:r>
      <w:r w:rsidR="00173CEC" w:rsidRPr="00313BDB">
        <w:rPr>
          <w:rFonts w:ascii="Palatino Linotype" w:hAnsi="Palatino Linotype" w:cs="Arial"/>
        </w:rPr>
        <w:t>,</w:t>
      </w:r>
      <w:r w:rsidR="009761EB">
        <w:rPr>
          <w:rFonts w:ascii="Palatino Linotype" w:hAnsi="Palatino Linotype" w:cs="Arial"/>
        </w:rPr>
        <w:t xml:space="preserve"> esto, en razón de que d</w:t>
      </w:r>
      <w:r w:rsidR="00173CEC" w:rsidRPr="00313BDB">
        <w:rPr>
          <w:rFonts w:ascii="Palatino Linotype" w:hAnsi="Palatino Linotype" w:cs="Arial"/>
        </w:rPr>
        <w:t xml:space="preserve">ebe situarse </w:t>
      </w:r>
      <w:r w:rsidR="00173CEC">
        <w:rPr>
          <w:rFonts w:ascii="Palatino Linotype" w:hAnsi="Palatino Linotype" w:cs="Arial"/>
        </w:rPr>
        <w:t>sobre</w:t>
      </w:r>
      <w:r w:rsidR="00173CEC" w:rsidRPr="001D75DE">
        <w:rPr>
          <w:rFonts w:ascii="Palatino Linotype" w:hAnsi="Palatino Linotype" w:cs="Arial"/>
        </w:rPr>
        <w:t xml:space="preserve"> la publicidad de los documentos solicitados </w:t>
      </w:r>
      <w:r w:rsidR="00173CEC"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sidR="00173CEC">
        <w:rPr>
          <w:rFonts w:ascii="Palatino Linotype" w:hAnsi="Palatino Linotype" w:cs="Arial"/>
          <w:b/>
        </w:rPr>
        <w:t xml:space="preserve"> de conocimientos</w:t>
      </w:r>
      <w:r w:rsidR="00173CEC" w:rsidRPr="001D75DE">
        <w:rPr>
          <w:rFonts w:ascii="Palatino Linotype" w:hAnsi="Palatino Linotype" w:cs="Arial"/>
        </w:rPr>
        <w:t xml:space="preserve"> y</w:t>
      </w:r>
      <w:r w:rsidR="00173CEC">
        <w:rPr>
          <w:rFonts w:ascii="Palatino Linotype" w:hAnsi="Palatino Linotype" w:cs="Arial"/>
        </w:rPr>
        <w:t>,</w:t>
      </w:r>
      <w:r w:rsidR="00173CEC" w:rsidRPr="001D75DE">
        <w:rPr>
          <w:rFonts w:ascii="Palatino Linotype" w:hAnsi="Palatino Linotype" w:cs="Arial"/>
        </w:rPr>
        <w:t xml:space="preserve"> que </w:t>
      </w:r>
      <w:r w:rsidR="00173CEC" w:rsidRPr="001D75DE">
        <w:rPr>
          <w:rFonts w:ascii="Palatino Linotype" w:hAnsi="Palatino Linotype" w:cs="Arial"/>
        </w:rPr>
        <w:lastRenderedPageBreak/>
        <w:t>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0839DEC9" w14:textId="6A1DB081" w:rsidR="009F218B" w:rsidRDefault="00973E3D" w:rsidP="009761E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como se plasmó en líneas previas, corresponde al servidor público que obtuvo un grado académico y </w:t>
      </w:r>
      <w:r w:rsidR="009761EB">
        <w:rPr>
          <w:rFonts w:ascii="Palatino Linotype" w:eastAsia="Calibri" w:hAnsi="Palatino Linotype" w:cs="Tahoma"/>
          <w:bCs/>
        </w:rPr>
        <w:t>ostenta la calidad profesional, acreditar fehacientemente dicha aptitud.</w:t>
      </w:r>
    </w:p>
    <w:p w14:paraId="01F4EF6C" w14:textId="77777777" w:rsidR="009761EB" w:rsidRDefault="009761EB" w:rsidP="009761EB">
      <w:pPr>
        <w:pStyle w:val="Prrafodelista"/>
        <w:spacing w:after="0" w:line="360" w:lineRule="auto"/>
        <w:ind w:left="0"/>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w:t>
      </w:r>
      <w:r w:rsidR="009F218B" w:rsidRPr="00264223">
        <w:rPr>
          <w:rFonts w:ascii="Palatino Linotype" w:eastAsia="Calibri" w:hAnsi="Palatino Linotype" w:cs="Tahoma"/>
          <w:b/>
          <w:bCs/>
        </w:rPr>
        <w:lastRenderedPageBreak/>
        <w:t>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xml:space="preserve">, se estima como preferente </w:t>
      </w:r>
      <w:r w:rsidRPr="00264223">
        <w:rPr>
          <w:rFonts w:ascii="Palatino Linotype" w:eastAsia="Calibri" w:hAnsi="Palatino Linotype" w:cs="Tahoma"/>
        </w:rPr>
        <w:lastRenderedPageBreak/>
        <w:t>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4A6A87F3"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w:t>
      </w:r>
      <w:r w:rsidR="00244316">
        <w:rPr>
          <w:rFonts w:ascii="Palatino Linotype" w:hAnsi="Palatino Linotype" w:cs="Arial"/>
        </w:rPr>
        <w:t>de la prueba</w:t>
      </w:r>
      <w:r w:rsidR="00F279E1">
        <w:rPr>
          <w:rFonts w:ascii="Palatino Linotype" w:hAnsi="Palatino Linotype" w:cs="Arial"/>
        </w:rPr>
        <w:t xml:space="preserve">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0CD5946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244316">
        <w:rPr>
          <w:rFonts w:ascii="Palatino Linotype" w:hAnsi="Palatino Linotype" w:cs="Arial"/>
          <w:bCs/>
          <w:lang w:val="es-MX"/>
        </w:rPr>
        <w:t xml:space="preserve"> de toda persona que afirma tener una calidad profesional y que ejercen estas funciones en un cargo público, con independencia de que sean o no mando medio o superior</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r w:rsidR="00244316">
        <w:rPr>
          <w:rFonts w:ascii="Palatino Linotype" w:hAnsi="Palatino Linotype" w:cs="Arial"/>
          <w:bCs/>
          <w:lang w:val="es-MX"/>
        </w:rPr>
        <w:t xml:space="preserve"> y acreditar identidad</w:t>
      </w:r>
      <w:r w:rsidR="00630864">
        <w:rPr>
          <w:rFonts w:ascii="Palatino Linotype" w:hAnsi="Palatino Linotype" w:cs="Arial"/>
          <w:bCs/>
          <w:lang w:val="es-MX"/>
        </w:rPr>
        <w:t>.</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39FF0421" w14:textId="2E833579" w:rsidR="00683032" w:rsidRPr="00A35B8C" w:rsidRDefault="00630864" w:rsidP="00A35B8C">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7388D972" w14:textId="77777777" w:rsidR="00630D09" w:rsidRDefault="00630D09" w:rsidP="00A035B0">
      <w:pPr>
        <w:pStyle w:val="Prrafodelista"/>
        <w:spacing w:after="0" w:line="360" w:lineRule="auto"/>
        <w:ind w:left="0"/>
        <w:jc w:val="both"/>
        <w:rPr>
          <w:rFonts w:ascii="Palatino Linotype" w:hAnsi="Palatino Linotype" w:cs="Arial"/>
        </w:rPr>
      </w:pPr>
    </w:p>
    <w:p w14:paraId="1F18D81B" w14:textId="13D1D298"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 xml:space="preserve">para el ejercicio de alguna profesión, para el caso de las cédulas o que han cursado satisfactoriamente los estudios necesarios para desarrollar alguna carrera </w:t>
      </w:r>
      <w:r w:rsidR="00DA7F17" w:rsidRPr="00DA7F17">
        <w:rPr>
          <w:rFonts w:ascii="Palatino Linotype" w:hAnsi="Palatino Linotype" w:cs="Arial"/>
        </w:rPr>
        <w:lastRenderedPageBreak/>
        <w:t>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78AA875B"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 xml:space="preserve">que la entrega completa de los documentos de identificación analizados, acredita que los servidores públicos cumplen con el perfil señalado en la ley o el idóneo de acuerdo al propio Sujeto Obligado y su marco normativo, si es que no existe un perfil de puesto </w:t>
      </w:r>
      <w:r w:rsidRPr="001D75DE">
        <w:rPr>
          <w:rFonts w:ascii="Palatino Linotype" w:hAnsi="Palatino Linotype" w:cs="Arial"/>
        </w:rPr>
        <w:lastRenderedPageBreak/>
        <w:t>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5696E8B4" w14:textId="0760C779" w:rsidR="008D3082"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45A48527" w14:textId="77777777" w:rsidR="00792C7C" w:rsidRPr="001D75DE" w:rsidRDefault="00792C7C" w:rsidP="008D3082">
      <w:pPr>
        <w:pStyle w:val="Prrafodelista"/>
        <w:spacing w:after="0" w:line="360" w:lineRule="auto"/>
        <w:ind w:left="0"/>
        <w:jc w:val="both"/>
        <w:rPr>
          <w:rFonts w:ascii="Palatino Linotype" w:hAnsi="Palatino Linotype" w:cs="Arial"/>
        </w:rPr>
      </w:pPr>
    </w:p>
    <w:p w14:paraId="1AAEF02D" w14:textId="13C47339" w:rsidR="00C1627F" w:rsidRDefault="00244316" w:rsidP="000122F9">
      <w:pPr>
        <w:spacing w:after="0" w:line="360" w:lineRule="auto"/>
        <w:jc w:val="both"/>
        <w:rPr>
          <w:rFonts w:ascii="Palatino Linotype" w:hAnsi="Palatino Linotype" w:cs="Tahoma"/>
        </w:rPr>
      </w:pPr>
      <w:r>
        <w:rPr>
          <w:rFonts w:ascii="Palatino Linotype" w:hAnsi="Palatino Linotype" w:cs="Arial"/>
        </w:rPr>
        <w:t xml:space="preserve">Así, </w:t>
      </w:r>
      <w:r w:rsidR="008D3082" w:rsidRPr="001D75DE">
        <w:rPr>
          <w:rFonts w:ascii="Palatino Linotype" w:hAnsi="Palatino Linotype" w:cs="Arial"/>
        </w:rPr>
        <w:t xml:space="preserve">testar la </w:t>
      </w:r>
      <w:r w:rsidR="008D3082">
        <w:rPr>
          <w:rFonts w:ascii="Palatino Linotype" w:hAnsi="Palatino Linotype" w:cs="Arial"/>
        </w:rPr>
        <w:t>firma</w:t>
      </w:r>
      <w:r>
        <w:rPr>
          <w:rFonts w:ascii="Palatino Linotype" w:hAnsi="Palatino Linotype" w:cs="Arial"/>
        </w:rPr>
        <w:t xml:space="preserve"> </w:t>
      </w:r>
      <w:r w:rsidR="008D3082" w:rsidRPr="001D75DE">
        <w:rPr>
          <w:rFonts w:ascii="Palatino Linotype" w:hAnsi="Palatino Linotype" w:cs="Arial"/>
        </w:rPr>
        <w:t xml:space="preserve">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sidR="008D3082">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xml:space="preserve">, como </w:t>
      </w:r>
      <w:r w:rsidR="00792C7C">
        <w:rPr>
          <w:rFonts w:ascii="Palatino Linotype" w:hAnsi="Palatino Linotype" w:cs="Tahoma"/>
        </w:rPr>
        <w:t>lo es la firma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153CD2">
        <w:rPr>
          <w:rFonts w:ascii="Palatino Linotype" w:hAnsi="Palatino Linotype" w:cs="Tahoma"/>
        </w:rPr>
        <w:t xml:space="preserve">; y en atención a ello, no comparto la vista a </w:t>
      </w:r>
      <w:r w:rsidR="00153CD2">
        <w:rPr>
          <w:rFonts w:ascii="Palatino Linotype" w:hAnsi="Palatino Linotype"/>
          <w:lang w:eastAsia="es-ES_tradnl"/>
        </w:rPr>
        <w:t>la Dirección General de Protección de Datos Personales</w:t>
      </w:r>
      <w:r w:rsidR="00153CD2">
        <w:rPr>
          <w:rFonts w:ascii="Palatino Linotype" w:hAnsi="Palatino Linotype" w:cs="Tahoma"/>
        </w:rPr>
        <w:t>, puesto que considero que la firma en los documentos que acreditan el grado académico, debe ser público.</w:t>
      </w:r>
    </w:p>
    <w:p w14:paraId="74B46747" w14:textId="77777777" w:rsidR="00792C7C" w:rsidRDefault="00792C7C" w:rsidP="000122F9">
      <w:pPr>
        <w:spacing w:after="0" w:line="360" w:lineRule="auto"/>
        <w:jc w:val="both"/>
        <w:rPr>
          <w:rFonts w:ascii="Palatino Linotype" w:hAnsi="Palatino Linotype" w:cs="Tahoma"/>
        </w:rPr>
      </w:pPr>
    </w:p>
    <w:p w14:paraId="4C58FBFA" w14:textId="77FB7F5E" w:rsidR="00792C7C" w:rsidRPr="00792C7C" w:rsidRDefault="00792C7C" w:rsidP="00792C7C">
      <w:pPr>
        <w:spacing w:after="0" w:line="360" w:lineRule="auto"/>
        <w:jc w:val="both"/>
        <w:rPr>
          <w:rFonts w:ascii="Palatino Linotype" w:hAnsi="Palatino Linotype" w:cs="Tahoma"/>
        </w:rPr>
      </w:pPr>
      <w:r>
        <w:rPr>
          <w:rFonts w:ascii="Palatino Linotype" w:hAnsi="Palatino Linotype" w:cs="Tahoma"/>
        </w:rPr>
        <w:t xml:space="preserve">Otro de los puntos que abordó la resolución y sobre el cual considero que existe inexactitud por parte de este Organismo Garante, es respecto a que a través de la resolución, se </w:t>
      </w:r>
      <w:r w:rsidRPr="00792C7C">
        <w:rPr>
          <w:rFonts w:ascii="Palatino Linotype" w:hAnsi="Palatino Linotype" w:cs="Tahoma"/>
        </w:rPr>
        <w:t>consideró procedente dar vista a la Dirección General de Datos, sin embargo, el Particular, no se inconformó respecto de la información entregada</w:t>
      </w:r>
      <w:r>
        <w:rPr>
          <w:rFonts w:ascii="Palatino Linotype" w:hAnsi="Palatino Linotype" w:cs="Tahoma"/>
        </w:rPr>
        <w:t>; en esta consecución de ideas</w:t>
      </w:r>
      <w:r w:rsidRPr="00792C7C">
        <w:rPr>
          <w:rFonts w:ascii="Palatino Linotype" w:hAnsi="Palatino Linotype" w:cs="Tahoma"/>
        </w:rPr>
        <w:t>, no coincido en el sentido de dar vista al área de datos personales, máxime de que los documentos por los cuales se da la vista, no fueron impugnados.</w:t>
      </w:r>
    </w:p>
    <w:p w14:paraId="0CC77D1D" w14:textId="77777777" w:rsidR="00792C7C" w:rsidRPr="00792C7C" w:rsidRDefault="00792C7C" w:rsidP="00792C7C">
      <w:pPr>
        <w:spacing w:after="0" w:line="360" w:lineRule="auto"/>
        <w:jc w:val="both"/>
        <w:rPr>
          <w:rFonts w:ascii="Palatino Linotype" w:hAnsi="Palatino Linotype" w:cs="Tahoma"/>
        </w:rPr>
      </w:pPr>
    </w:p>
    <w:p w14:paraId="5C178C76" w14:textId="06523981"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lastRenderedPageBreak/>
        <w:t>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14:paraId="0E747D49" w14:textId="77777777" w:rsidR="00792C7C" w:rsidRPr="00792C7C" w:rsidRDefault="00792C7C" w:rsidP="00792C7C">
      <w:pPr>
        <w:spacing w:after="0" w:line="360" w:lineRule="auto"/>
        <w:jc w:val="both"/>
        <w:rPr>
          <w:rFonts w:ascii="Palatino Linotype" w:hAnsi="Palatino Linotype" w:cs="Tahoma"/>
        </w:rPr>
      </w:pPr>
    </w:p>
    <w:p w14:paraId="25F71B02"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13D3EC21" w14:textId="77777777" w:rsidR="00792C7C" w:rsidRPr="00792C7C" w:rsidRDefault="00792C7C" w:rsidP="00792C7C">
      <w:pPr>
        <w:spacing w:after="0" w:line="360" w:lineRule="auto"/>
        <w:jc w:val="both"/>
        <w:rPr>
          <w:rFonts w:ascii="Palatino Linotype" w:hAnsi="Palatino Linotype" w:cs="Tahoma"/>
        </w:rPr>
      </w:pPr>
    </w:p>
    <w:p w14:paraId="44165DA5"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Desechar o sobreseer el recurso</w:t>
      </w:r>
    </w:p>
    <w:p w14:paraId="29134A80"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Confirma la respuesta del sujeto obligado</w:t>
      </w:r>
    </w:p>
    <w:p w14:paraId="641DD5E2"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 xml:space="preserve">Revocar o modificar la respuesta del sujeto obligado; y </w:t>
      </w:r>
    </w:p>
    <w:p w14:paraId="67A32095"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Ordenar la entrega de la información</w:t>
      </w:r>
    </w:p>
    <w:p w14:paraId="7825DA07" w14:textId="77777777" w:rsidR="00792C7C" w:rsidRPr="00792C7C" w:rsidRDefault="00792C7C" w:rsidP="00792C7C">
      <w:pPr>
        <w:spacing w:after="0" w:line="360" w:lineRule="auto"/>
        <w:jc w:val="both"/>
        <w:rPr>
          <w:rFonts w:ascii="Palatino Linotype" w:hAnsi="Palatino Linotype" w:cs="Tahoma"/>
        </w:rPr>
      </w:pPr>
    </w:p>
    <w:p w14:paraId="5F2A3FF1"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Cabe agregar que las resoluciones que pronuncie este Instituto deben contener cuatro aspectos importantes:</w:t>
      </w:r>
    </w:p>
    <w:p w14:paraId="72E3F510" w14:textId="77777777" w:rsidR="00792C7C" w:rsidRPr="00792C7C" w:rsidRDefault="00792C7C" w:rsidP="00792C7C">
      <w:pPr>
        <w:spacing w:after="0" w:line="360" w:lineRule="auto"/>
        <w:jc w:val="both"/>
        <w:rPr>
          <w:rFonts w:ascii="Palatino Linotype" w:hAnsi="Palatino Linotype" w:cs="Tahoma"/>
        </w:rPr>
      </w:pPr>
    </w:p>
    <w:p w14:paraId="2E3D51F6"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Lugar, fecha, el nombre del recurrente y del tercero interesado en su caso, sujeto obligado y un extracto de los hechos cuestionados;</w:t>
      </w:r>
    </w:p>
    <w:p w14:paraId="017E1A9F" w14:textId="77777777" w:rsidR="00792C7C" w:rsidRPr="00792C7C" w:rsidRDefault="00792C7C" w:rsidP="00792C7C">
      <w:pPr>
        <w:spacing w:after="0" w:line="360" w:lineRule="auto"/>
        <w:jc w:val="both"/>
        <w:rPr>
          <w:rFonts w:ascii="Palatino Linotype" w:hAnsi="Palatino Linotype" w:cs="Tahoma"/>
        </w:rPr>
      </w:pPr>
    </w:p>
    <w:p w14:paraId="5DCFE77A"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Los preceptos en que se fundamenten y las consideraciones que las sustenten;</w:t>
      </w:r>
    </w:p>
    <w:p w14:paraId="0BF0297D" w14:textId="77777777" w:rsidR="00792C7C" w:rsidRPr="00792C7C" w:rsidRDefault="00792C7C" w:rsidP="00792C7C">
      <w:pPr>
        <w:spacing w:after="0" w:line="360" w:lineRule="auto"/>
        <w:jc w:val="both"/>
        <w:rPr>
          <w:rFonts w:ascii="Palatino Linotype" w:hAnsi="Palatino Linotype" w:cs="Tahoma"/>
        </w:rPr>
      </w:pPr>
    </w:p>
    <w:p w14:paraId="17744A26"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Los alcances y efectos de la resolución, fijando con precisión, en su caso, los sujetos y órganos obligados a cumplirla; y</w:t>
      </w:r>
    </w:p>
    <w:p w14:paraId="634D4DF2" w14:textId="77777777" w:rsidR="00792C7C" w:rsidRPr="00792C7C" w:rsidRDefault="00792C7C" w:rsidP="00792C7C">
      <w:pPr>
        <w:spacing w:after="0" w:line="360" w:lineRule="auto"/>
        <w:jc w:val="both"/>
        <w:rPr>
          <w:rFonts w:ascii="Palatino Linotype" w:hAnsi="Palatino Linotype" w:cs="Tahoma"/>
        </w:rPr>
      </w:pPr>
    </w:p>
    <w:p w14:paraId="27B43B52"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Los puntos resolutivos.</w:t>
      </w:r>
    </w:p>
    <w:p w14:paraId="48547CAD" w14:textId="77777777" w:rsidR="00792C7C" w:rsidRPr="00792C7C" w:rsidRDefault="00792C7C" w:rsidP="00792C7C">
      <w:pPr>
        <w:spacing w:after="0" w:line="360" w:lineRule="auto"/>
        <w:jc w:val="both"/>
        <w:rPr>
          <w:rFonts w:ascii="Palatino Linotype" w:hAnsi="Palatino Linotype" w:cs="Tahoma"/>
        </w:rPr>
      </w:pPr>
    </w:p>
    <w:p w14:paraId="6C3FC20D"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Sobre este punto, se considera de suma importancia mencionar que, de la normatividad citada, se advierte que este Instituto está facultado entre otras cosas para:</w:t>
      </w:r>
    </w:p>
    <w:p w14:paraId="65045851" w14:textId="77777777" w:rsidR="00792C7C" w:rsidRPr="00792C7C" w:rsidRDefault="00792C7C" w:rsidP="00792C7C">
      <w:pPr>
        <w:spacing w:after="0" w:line="360" w:lineRule="auto"/>
        <w:jc w:val="both"/>
        <w:rPr>
          <w:rFonts w:ascii="Palatino Linotype" w:hAnsi="Palatino Linotype" w:cs="Tahoma"/>
        </w:rPr>
      </w:pPr>
    </w:p>
    <w:p w14:paraId="72BD1555"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Conocer y resolver los recursos de revisión interpuestos por los particulares en contra de las resoluciones de los sujetos obligados en el ámbito estatal;</w:t>
      </w:r>
    </w:p>
    <w:p w14:paraId="5AE84C06" w14:textId="77777777" w:rsidR="00792C7C" w:rsidRPr="00792C7C" w:rsidRDefault="00792C7C" w:rsidP="00792C7C">
      <w:pPr>
        <w:spacing w:after="0" w:line="360" w:lineRule="auto"/>
        <w:jc w:val="both"/>
        <w:rPr>
          <w:rFonts w:ascii="Palatino Linotype" w:hAnsi="Palatino Linotype" w:cs="Tahoma"/>
        </w:rPr>
      </w:pPr>
    </w:p>
    <w:p w14:paraId="1CB95C9F"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Realizar de oficio y a petición de parte, análisis y recomendaciones o en su caso, lineamientos en relación con presuntos incumplimientos a las disposiciones de la Ley, cuando existan elementos suficientes a juicio del Pleno del Instituto;</w:t>
      </w:r>
    </w:p>
    <w:p w14:paraId="0E22FC75" w14:textId="77777777" w:rsidR="00792C7C" w:rsidRPr="00792C7C" w:rsidRDefault="00792C7C" w:rsidP="00792C7C">
      <w:pPr>
        <w:spacing w:after="0" w:line="360" w:lineRule="auto"/>
        <w:jc w:val="both"/>
        <w:rPr>
          <w:rFonts w:ascii="Palatino Linotype" w:hAnsi="Palatino Linotype" w:cs="Tahoma"/>
        </w:rPr>
      </w:pPr>
    </w:p>
    <w:p w14:paraId="6F3BCCEC"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Emitir comunicados públicos sobre el incumplimiento de sus resoluciones o por infracciones reiteradas a la Ley, en el ámbito de su competencia;</w:t>
      </w:r>
    </w:p>
    <w:p w14:paraId="64317151" w14:textId="77777777" w:rsidR="00792C7C" w:rsidRPr="00792C7C" w:rsidRDefault="00792C7C" w:rsidP="00792C7C">
      <w:pPr>
        <w:spacing w:after="0" w:line="360" w:lineRule="auto"/>
        <w:jc w:val="both"/>
        <w:rPr>
          <w:rFonts w:ascii="Palatino Linotype" w:hAnsi="Palatino Linotype" w:cs="Tahoma"/>
        </w:rPr>
      </w:pPr>
    </w:p>
    <w:p w14:paraId="57D52CBB"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Ordenar a los sujetos obligados la ejecutoría en la entrega de información en términos de la presente Ley;</w:t>
      </w:r>
    </w:p>
    <w:p w14:paraId="2821E8E3" w14:textId="77777777" w:rsidR="00792C7C" w:rsidRPr="00792C7C" w:rsidRDefault="00792C7C" w:rsidP="00792C7C">
      <w:pPr>
        <w:spacing w:after="0" w:line="360" w:lineRule="auto"/>
        <w:jc w:val="both"/>
        <w:rPr>
          <w:rFonts w:ascii="Palatino Linotype" w:hAnsi="Palatino Linotype" w:cs="Tahoma"/>
        </w:rPr>
      </w:pPr>
    </w:p>
    <w:p w14:paraId="37F015F8"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w:t>
      </w:r>
      <w:r w:rsidRPr="00792C7C">
        <w:rPr>
          <w:rFonts w:ascii="Palatino Linotype" w:hAnsi="Palatino Linotype" w:cs="Tahoma"/>
        </w:rPr>
        <w:tab/>
        <w:t>Imponer las medidas de apremio para asegurar el cumplimiento de sus determinaciones;</w:t>
      </w:r>
    </w:p>
    <w:p w14:paraId="1087AC34" w14:textId="77777777" w:rsidR="00792C7C" w:rsidRPr="00792C7C" w:rsidRDefault="00792C7C" w:rsidP="00792C7C">
      <w:pPr>
        <w:spacing w:after="0" w:line="360" w:lineRule="auto"/>
        <w:jc w:val="both"/>
        <w:rPr>
          <w:rFonts w:ascii="Palatino Linotype" w:hAnsi="Palatino Linotype" w:cs="Tahoma"/>
        </w:rPr>
      </w:pPr>
    </w:p>
    <w:p w14:paraId="3FE609F4"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lastRenderedPageBreak/>
        <w:t>•</w:t>
      </w:r>
      <w:r w:rsidRPr="00792C7C">
        <w:rPr>
          <w:rFonts w:ascii="Palatino Linotype" w:hAnsi="Palatino Linotype" w:cs="Tahoma"/>
        </w:rPr>
        <w:tab/>
        <w:t xml:space="preserve">Hacer del conocimiento de la instancia competente la probable responsabilidad por el incumplimiento de las obligaciones previstas en la Ley y en las demás disposiciones aplicable.  </w:t>
      </w:r>
    </w:p>
    <w:p w14:paraId="77189EEB" w14:textId="77777777" w:rsidR="00792C7C" w:rsidRPr="00792C7C" w:rsidRDefault="00792C7C" w:rsidP="00792C7C">
      <w:pPr>
        <w:spacing w:after="0" w:line="360" w:lineRule="auto"/>
        <w:jc w:val="both"/>
        <w:rPr>
          <w:rFonts w:ascii="Palatino Linotype" w:hAnsi="Palatino Linotype" w:cs="Tahoma"/>
        </w:rPr>
      </w:pPr>
    </w:p>
    <w:p w14:paraId="06958FF1"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 xml:space="preserve">Establecido lo anterior, debe tomarse en cuenta que la vista a la Dirección General de Datos de este Instituto, no debió incluirse en los resolutivos de la resolución referida, toda vez que, el Particular no se inconformó sobre de la información proporcionada en respuesta, es decir, no forma parte de la </w:t>
      </w:r>
      <w:r w:rsidRPr="00792C7C">
        <w:rPr>
          <w:rFonts w:ascii="Palatino Linotype" w:hAnsi="Palatino Linotype" w:cs="Tahoma"/>
          <w:i/>
          <w:iCs/>
        </w:rPr>
        <w:t>litis</w:t>
      </w:r>
      <w:r w:rsidRPr="00792C7C">
        <w:rPr>
          <w:rFonts w:ascii="Palatino Linotype" w:hAnsi="Palatino Linotype" w:cs="Tahoma"/>
        </w:rPr>
        <w:t xml:space="preserve"> (por Litis es un vocablo latino que en idioma español se traduce como litigio, significando disputa o controversia judicial; diferencia de intereses entre dos partes, llamadas litigantes, sometidas a decisión de un Juez.) y por lo tanto no se analizó la documentación entregada al invocar actos consentidos, así en el presente asunto, la vista en mención debe realizarse y tramitarse por cuerda separada, en caso de advertirse que es necesario. </w:t>
      </w:r>
    </w:p>
    <w:p w14:paraId="32BFB9B0" w14:textId="77777777" w:rsidR="00792C7C" w:rsidRPr="00792C7C" w:rsidRDefault="00792C7C" w:rsidP="00792C7C">
      <w:pPr>
        <w:spacing w:after="0" w:line="360" w:lineRule="auto"/>
        <w:jc w:val="both"/>
        <w:rPr>
          <w:rFonts w:ascii="Palatino Linotype" w:hAnsi="Palatino Linotype" w:cs="Tahoma"/>
        </w:rPr>
      </w:pPr>
    </w:p>
    <w:p w14:paraId="00436411"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Aunado a lo anterior, respecto los actos consentidos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34628C76" w14:textId="77777777" w:rsidR="00792C7C" w:rsidRPr="00792C7C" w:rsidRDefault="00792C7C" w:rsidP="00792C7C">
      <w:pPr>
        <w:spacing w:after="0" w:line="360" w:lineRule="auto"/>
        <w:jc w:val="both"/>
        <w:rPr>
          <w:rFonts w:ascii="Palatino Linotype" w:hAnsi="Palatino Linotype" w:cs="Tahoma"/>
        </w:rPr>
      </w:pPr>
    </w:p>
    <w:p w14:paraId="43B34BC2" w14:textId="77777777" w:rsidR="00792C7C" w:rsidRPr="00792C7C" w:rsidRDefault="00792C7C" w:rsidP="00792C7C">
      <w:pPr>
        <w:spacing w:after="0" w:line="360" w:lineRule="auto"/>
        <w:jc w:val="both"/>
        <w:rPr>
          <w:rFonts w:ascii="Palatino Linotype" w:hAnsi="Palatino Linotype" w:cs="Tahoma"/>
        </w:rPr>
      </w:pPr>
      <w:r w:rsidRPr="00792C7C">
        <w:rPr>
          <w:rFonts w:ascii="Palatino Linotype" w:hAnsi="Palatino Linotype" w:cs="Tahoma"/>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187E577C" w14:textId="2BA36991" w:rsidR="00792C7C" w:rsidRDefault="00792C7C" w:rsidP="00792C7C">
      <w:pPr>
        <w:spacing w:after="0" w:line="360" w:lineRule="auto"/>
        <w:jc w:val="both"/>
        <w:rPr>
          <w:rFonts w:ascii="Palatino Linotype" w:hAnsi="Palatino Linotype" w:cs="Tahoma"/>
        </w:rPr>
      </w:pPr>
      <w:bookmarkStart w:id="0" w:name="_GoBack"/>
      <w:bookmarkEnd w:id="0"/>
      <w:r w:rsidRPr="00792C7C">
        <w:rPr>
          <w:rFonts w:ascii="Palatino Linotype" w:hAnsi="Palatino Linotype" w:cs="Tahoma"/>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innecesario la vista citada.</w:t>
      </w:r>
    </w:p>
    <w:p w14:paraId="6970BA30" w14:textId="77777777" w:rsidR="00792C7C" w:rsidRDefault="00792C7C" w:rsidP="000122F9">
      <w:pPr>
        <w:spacing w:after="0" w:line="360" w:lineRule="auto"/>
        <w:jc w:val="both"/>
        <w:rPr>
          <w:rFonts w:ascii="Palatino Linotype" w:hAnsi="Palatino Linotype" w:cs="Tahoma"/>
        </w:rPr>
      </w:pPr>
    </w:p>
    <w:p w14:paraId="243D9725" w14:textId="1B74C330"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A35B8C">
      <w:headerReference w:type="default" r:id="rId8"/>
      <w:footerReference w:type="default" r:id="rId9"/>
      <w:pgSz w:w="12240" w:h="15840" w:code="1"/>
      <w:pgMar w:top="135"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30E5" w14:textId="77777777" w:rsidR="00FF5DD3" w:rsidRDefault="00FF5DD3" w:rsidP="00EE29F6">
      <w:pPr>
        <w:spacing w:after="0" w:line="240" w:lineRule="auto"/>
      </w:pPr>
      <w:r>
        <w:separator/>
      </w:r>
    </w:p>
  </w:endnote>
  <w:endnote w:type="continuationSeparator" w:id="0">
    <w:p w14:paraId="00C45AB6" w14:textId="77777777" w:rsidR="00FF5DD3" w:rsidRDefault="00FF5DD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4504A">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4504A">
              <w:rPr>
                <w:b/>
                <w:bCs/>
                <w:noProof/>
              </w:rPr>
              <w:t>15</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79DA6" w14:textId="77777777" w:rsidR="00FF5DD3" w:rsidRDefault="00FF5DD3" w:rsidP="00EE29F6">
      <w:pPr>
        <w:spacing w:after="0" w:line="240" w:lineRule="auto"/>
      </w:pPr>
      <w:r>
        <w:separator/>
      </w:r>
    </w:p>
  </w:footnote>
  <w:footnote w:type="continuationSeparator" w:id="0">
    <w:p w14:paraId="7EA75E87" w14:textId="77777777" w:rsidR="00FF5DD3" w:rsidRDefault="00FF5DD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670"/>
    </w:tblGrid>
    <w:tr w:rsidR="0077694E" w:rsidRPr="00166283" w14:paraId="66A663BC" w14:textId="77777777" w:rsidTr="00A35B8C">
      <w:trPr>
        <w:trHeight w:val="1560"/>
      </w:trPr>
      <w:tc>
        <w:tcPr>
          <w:tcW w:w="3266" w:type="dxa"/>
          <w:vAlign w:val="bottom"/>
        </w:tcPr>
        <w:p w14:paraId="74B2F58E" w14:textId="39F6E1A4"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3253828">
                <wp:simplePos x="0" y="0"/>
                <wp:positionH relativeFrom="column">
                  <wp:posOffset>-76200</wp:posOffset>
                </wp:positionH>
                <wp:positionV relativeFrom="paragraph">
                  <wp:posOffset>-511175</wp:posOffset>
                </wp:positionV>
                <wp:extent cx="1873250" cy="112649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1DA0B971" w:rsidR="0077694E" w:rsidRDefault="0077694E" w:rsidP="0077694E">
          <w:pPr>
            <w:pStyle w:val="Encabezado"/>
            <w:tabs>
              <w:tab w:val="clear" w:pos="4252"/>
              <w:tab w:val="center" w:pos="2614"/>
            </w:tabs>
          </w:pPr>
        </w:p>
      </w:tc>
      <w:tc>
        <w:tcPr>
          <w:tcW w:w="5670" w:type="dxa"/>
          <w:vAlign w:val="center"/>
        </w:tcPr>
        <w:p w14:paraId="592394F4" w14:textId="77777777" w:rsidR="009E5AE0" w:rsidRDefault="009E5AE0" w:rsidP="003E7476">
          <w:pPr>
            <w:pStyle w:val="Encabezado"/>
            <w:ind w:left="34" w:right="175"/>
            <w:jc w:val="both"/>
            <w:rPr>
              <w:rFonts w:ascii="Palatino Linotype" w:hAnsi="Palatino Linotype" w:cs="Tahoma"/>
              <w:b/>
              <w:szCs w:val="20"/>
            </w:rPr>
          </w:pPr>
        </w:p>
        <w:p w14:paraId="14FCDC9E" w14:textId="77721BBE"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0A923552" w14:textId="3AE963E3" w:rsidR="00C1627F" w:rsidRDefault="001F7772"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C21D73">
            <w:rPr>
              <w:rFonts w:ascii="Palatino Linotype" w:hAnsi="Palatino Linotype" w:cs="Tahoma"/>
              <w:bCs/>
              <w:szCs w:val="20"/>
            </w:rPr>
            <w:t>02385</w:t>
          </w:r>
          <w:r w:rsidR="00A35B8C" w:rsidRPr="00A35B8C">
            <w:rPr>
              <w:rFonts w:ascii="Palatino Linotype" w:hAnsi="Palatino Linotype" w:cs="Tahoma"/>
              <w:bCs/>
              <w:szCs w:val="20"/>
            </w:rPr>
            <w:t>/INFOEM/IP/RR/202</w:t>
          </w:r>
          <w:r w:rsidR="00C21D73">
            <w:rPr>
              <w:rFonts w:ascii="Palatino Linotype" w:hAnsi="Palatino Linotype" w:cs="Tahoma"/>
              <w:bCs/>
              <w:szCs w:val="20"/>
            </w:rPr>
            <w:t>3</w:t>
          </w:r>
          <w:r w:rsidR="00E15313">
            <w:rPr>
              <w:rFonts w:ascii="Palatino Linotype" w:hAnsi="Palatino Linotype" w:cs="Tahoma"/>
              <w:bCs/>
              <w:szCs w:val="20"/>
            </w:rPr>
            <w:t xml:space="preserve"> </w:t>
          </w:r>
        </w:p>
        <w:p w14:paraId="20DFE183" w14:textId="648B0855"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0D76F0" w:rsidRPr="000D76F0">
            <w:rPr>
              <w:rFonts w:ascii="Palatino Linotype" w:hAnsi="Palatino Linotype" w:cs="Tahoma"/>
              <w:szCs w:val="20"/>
              <w:lang w:val="es-ES_tradnl"/>
            </w:rPr>
            <w:t>Ayuntamiento de Tlalmanalco</w:t>
          </w:r>
        </w:p>
        <w:p w14:paraId="52E1DF47" w14:textId="0F2A478E"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sidR="000D76F0">
            <w:rPr>
              <w:rFonts w:ascii="Palatino Linotype" w:hAnsi="Palatino Linotype" w:cs="Tahoma"/>
              <w:b/>
              <w:szCs w:val="20"/>
            </w:rPr>
            <w:t>o</w:t>
          </w:r>
          <w:r w:rsidRPr="001C75DB">
            <w:rPr>
              <w:rFonts w:ascii="Palatino Linotype" w:hAnsi="Palatino Linotype" w:cs="Tahoma"/>
              <w:b/>
              <w:szCs w:val="20"/>
            </w:rPr>
            <w:t xml:space="preserve"> Ponente: </w:t>
          </w:r>
          <w:r w:rsidR="000D76F0" w:rsidRPr="000D76F0">
            <w:rPr>
              <w:rFonts w:ascii="Palatino Linotype" w:eastAsia="Calibri" w:hAnsi="Palatino Linotype" w:cs="Tahoma"/>
            </w:rPr>
            <w:t>José Martínez Vilchis</w:t>
          </w:r>
        </w:p>
        <w:p w14:paraId="5F33F0B6" w14:textId="5954D3AA" w:rsidR="0089753F" w:rsidRPr="00361A93" w:rsidRDefault="0089753F" w:rsidP="003E7476">
          <w:pPr>
            <w:pStyle w:val="Encabezado"/>
            <w:ind w:left="34" w:right="175"/>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13"/>
  </w:num>
  <w:num w:numId="6">
    <w:abstractNumId w:val="4"/>
  </w:num>
  <w:num w:numId="7">
    <w:abstractNumId w:val="10"/>
  </w:num>
  <w:num w:numId="8">
    <w:abstractNumId w:val="23"/>
  </w:num>
  <w:num w:numId="9">
    <w:abstractNumId w:val="14"/>
  </w:num>
  <w:num w:numId="10">
    <w:abstractNumId w:val="17"/>
  </w:num>
  <w:num w:numId="11">
    <w:abstractNumId w:val="18"/>
  </w:num>
  <w:num w:numId="12">
    <w:abstractNumId w:val="1"/>
  </w:num>
  <w:num w:numId="13">
    <w:abstractNumId w:val="8"/>
  </w:num>
  <w:num w:numId="14">
    <w:abstractNumId w:val="24"/>
  </w:num>
  <w:num w:numId="15">
    <w:abstractNumId w:val="19"/>
  </w:num>
  <w:num w:numId="16">
    <w:abstractNumId w:val="2"/>
  </w:num>
  <w:num w:numId="17">
    <w:abstractNumId w:val="6"/>
  </w:num>
  <w:num w:numId="18">
    <w:abstractNumId w:val="21"/>
  </w:num>
  <w:num w:numId="19">
    <w:abstractNumId w:val="25"/>
  </w:num>
  <w:num w:numId="20">
    <w:abstractNumId w:val="16"/>
  </w:num>
  <w:num w:numId="21">
    <w:abstractNumId w:val="11"/>
  </w:num>
  <w:num w:numId="22">
    <w:abstractNumId w:val="22"/>
  </w:num>
  <w:num w:numId="23">
    <w:abstractNumId w:val="15"/>
  </w:num>
  <w:num w:numId="24">
    <w:abstractNumId w:val="20"/>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D76F0"/>
    <w:rsid w:val="000E1819"/>
    <w:rsid w:val="000E2B8F"/>
    <w:rsid w:val="000E3E2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04A"/>
    <w:rsid w:val="001451D2"/>
    <w:rsid w:val="0014736A"/>
    <w:rsid w:val="0015246D"/>
    <w:rsid w:val="00153CD2"/>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4316"/>
    <w:rsid w:val="00245ACA"/>
    <w:rsid w:val="00246FAF"/>
    <w:rsid w:val="00262F92"/>
    <w:rsid w:val="0026665E"/>
    <w:rsid w:val="00277E88"/>
    <w:rsid w:val="0028037C"/>
    <w:rsid w:val="00280A9C"/>
    <w:rsid w:val="002816CB"/>
    <w:rsid w:val="00281DD9"/>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90D6C"/>
    <w:rsid w:val="003A6218"/>
    <w:rsid w:val="003B1EC3"/>
    <w:rsid w:val="003B1F42"/>
    <w:rsid w:val="003B3323"/>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0A4A"/>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A391A"/>
    <w:rsid w:val="005B04A3"/>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0D09"/>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7DA9"/>
    <w:rsid w:val="0077694E"/>
    <w:rsid w:val="0078072F"/>
    <w:rsid w:val="00792C7C"/>
    <w:rsid w:val="00793961"/>
    <w:rsid w:val="00794C1B"/>
    <w:rsid w:val="00795AC1"/>
    <w:rsid w:val="00796A29"/>
    <w:rsid w:val="007A2C0D"/>
    <w:rsid w:val="007A2D13"/>
    <w:rsid w:val="007B127F"/>
    <w:rsid w:val="007B2394"/>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761EB"/>
    <w:rsid w:val="00984C03"/>
    <w:rsid w:val="009943E1"/>
    <w:rsid w:val="00997C83"/>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231"/>
    <w:rsid w:val="009F44D4"/>
    <w:rsid w:val="009F6580"/>
    <w:rsid w:val="009F6E4A"/>
    <w:rsid w:val="00A00324"/>
    <w:rsid w:val="00A035B0"/>
    <w:rsid w:val="00A07630"/>
    <w:rsid w:val="00A17FF9"/>
    <w:rsid w:val="00A27558"/>
    <w:rsid w:val="00A32FAF"/>
    <w:rsid w:val="00A346CE"/>
    <w:rsid w:val="00A35B8C"/>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D2835"/>
    <w:rsid w:val="00AE0B64"/>
    <w:rsid w:val="00AE1F39"/>
    <w:rsid w:val="00AE4B1F"/>
    <w:rsid w:val="00AE62A9"/>
    <w:rsid w:val="00AF0174"/>
    <w:rsid w:val="00AF290A"/>
    <w:rsid w:val="00AF3553"/>
    <w:rsid w:val="00AF3B6B"/>
    <w:rsid w:val="00AF457A"/>
    <w:rsid w:val="00B040B6"/>
    <w:rsid w:val="00B068A1"/>
    <w:rsid w:val="00B1186D"/>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627F"/>
    <w:rsid w:val="00C21D73"/>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05E8"/>
    <w:rsid w:val="00CD17C6"/>
    <w:rsid w:val="00CD4339"/>
    <w:rsid w:val="00CD6D1C"/>
    <w:rsid w:val="00CE1893"/>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31B3"/>
    <w:rsid w:val="00D55429"/>
    <w:rsid w:val="00D565AB"/>
    <w:rsid w:val="00D62313"/>
    <w:rsid w:val="00D65D0C"/>
    <w:rsid w:val="00D666D4"/>
    <w:rsid w:val="00D7239D"/>
    <w:rsid w:val="00D75FAE"/>
    <w:rsid w:val="00D768D5"/>
    <w:rsid w:val="00D77F63"/>
    <w:rsid w:val="00D77FAD"/>
    <w:rsid w:val="00D83724"/>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5313"/>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307"/>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0A8"/>
    <w:rsid w:val="00F70D43"/>
    <w:rsid w:val="00F80601"/>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5DD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2110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E11C-5CC0-463A-9B94-5242B899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3759</Words>
  <Characters>20676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INFOEM;15396</dc:creator>
  <cp:lastModifiedBy>Cuenta Microsoft</cp:lastModifiedBy>
  <cp:revision>6</cp:revision>
  <cp:lastPrinted>2023-06-05T23:55:00Z</cp:lastPrinted>
  <dcterms:created xsi:type="dcterms:W3CDTF">2023-06-05T23:50:00Z</dcterms:created>
  <dcterms:modified xsi:type="dcterms:W3CDTF">2023-06-19T15:41:00Z</dcterms:modified>
</cp:coreProperties>
</file>