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5B8" w:rsidRDefault="005A17D3">
      <w:pPr>
        <w:spacing w:before="240" w:after="240" w:line="360" w:lineRule="auto"/>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sz w:val="24"/>
          <w:szCs w:val="24"/>
        </w:rPr>
        <w:t xml:space="preserve">TRIGÉSIMA SEGUNDA SESIÓN ORDINARIA DEL CINCO DE SEPTIEMBRE DE DOS MIL VEINTITRÉS, EN EL RECURSO DE REVISIÓN 15201/INFOEM/IP/RR/2022. </w:t>
      </w:r>
    </w:p>
    <w:p w:rsidR="00B865B8" w:rsidRDefault="005A17D3">
      <w:pPr>
        <w:spacing w:before="240" w:after="24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Acces</w:t>
      </w:r>
      <w:r>
        <w:rPr>
          <w:rFonts w:ascii="Palatino Linotype" w:eastAsia="Palatino Linotype" w:hAnsi="Palatino Linotype" w:cs="Palatino Linotype"/>
          <w:sz w:val="24"/>
          <w:szCs w:val="24"/>
        </w:rPr>
        <w:t xml:space="preserve">o a la Información Pública y Protección de Datos Personales del Estado de México, </w:t>
      </w:r>
      <w:r>
        <w:rPr>
          <w:rFonts w:ascii="Palatino Linotype" w:eastAsia="Palatino Linotype" w:hAnsi="Palatino Linotype" w:cs="Palatino Linotype"/>
          <w:b/>
          <w:sz w:val="24"/>
          <w:szCs w:val="24"/>
        </w:rPr>
        <w:t>la Comisionada Guadalupe Ramírez Peña</w:t>
      </w:r>
      <w:r>
        <w:rPr>
          <w:rFonts w:ascii="Palatino Linotype" w:eastAsia="Palatino Linotype" w:hAnsi="Palatino Linotype" w:cs="Palatino Linotype"/>
          <w:sz w:val="24"/>
          <w:szCs w:val="24"/>
        </w:rPr>
        <w:t xml:space="preserve">, emite </w:t>
      </w:r>
      <w:r>
        <w:rPr>
          <w:rFonts w:ascii="Palatino Linotype" w:eastAsia="Palatino Linotype" w:hAnsi="Palatino Linotype" w:cs="Palatino Linotype"/>
          <w:b/>
          <w:sz w:val="24"/>
          <w:szCs w:val="24"/>
        </w:rPr>
        <w:t xml:space="preserve">VOTO PARTICULAR </w:t>
      </w:r>
      <w:r>
        <w:rPr>
          <w:rFonts w:ascii="Palatino Linotype" w:eastAsia="Palatino Linotype" w:hAnsi="Palatino Linotype" w:cs="Palatino Linotype"/>
          <w:sz w:val="24"/>
          <w:szCs w:val="24"/>
        </w:rPr>
        <w:t xml:space="preserve">respecto a la resolución dictada en el recurso de revisión número </w:t>
      </w:r>
      <w:r>
        <w:rPr>
          <w:rFonts w:ascii="Palatino Linotype" w:eastAsia="Palatino Linotype" w:hAnsi="Palatino Linotype" w:cs="Palatino Linotype"/>
          <w:b/>
          <w:sz w:val="24"/>
          <w:szCs w:val="24"/>
        </w:rPr>
        <w:t xml:space="preserve">15201/INFOEM/IP/RR/2022 </w:t>
      </w:r>
      <w:r>
        <w:rPr>
          <w:rFonts w:ascii="Palatino Linotype" w:eastAsia="Palatino Linotype" w:hAnsi="Palatino Linotype" w:cs="Palatino Linotype"/>
          <w:sz w:val="24"/>
          <w:szCs w:val="24"/>
        </w:rPr>
        <w:t>pronunciada por el Plen</w:t>
      </w:r>
      <w:r>
        <w:rPr>
          <w:rFonts w:ascii="Palatino Linotype" w:eastAsia="Palatino Linotype" w:hAnsi="Palatino Linotype" w:cs="Palatino Linotype"/>
          <w:sz w:val="24"/>
          <w:szCs w:val="24"/>
        </w:rPr>
        <w:t xml:space="preserve">o de este Instituto ante el proyecto presentado por </w:t>
      </w:r>
      <w:r>
        <w:rPr>
          <w:rFonts w:ascii="Palatino Linotype" w:eastAsia="Palatino Linotype" w:hAnsi="Palatino Linotype" w:cs="Palatino Linotype"/>
          <w:b/>
          <w:sz w:val="24"/>
          <w:szCs w:val="24"/>
        </w:rPr>
        <w:t>el Comisionado Luis Gustavo Parra Noriega</w:t>
      </w:r>
      <w:r>
        <w:rPr>
          <w:rFonts w:ascii="Palatino Linotype" w:eastAsia="Palatino Linotype" w:hAnsi="Palatino Linotype" w:cs="Palatino Linotype"/>
          <w:sz w:val="24"/>
          <w:szCs w:val="24"/>
        </w:rPr>
        <w:t>, el cual se formuló, conforme al tenor siguiente:</w:t>
      </w:r>
    </w:p>
    <w:p w:rsidR="00B865B8" w:rsidRDefault="005A17D3">
      <w:pPr>
        <w:numPr>
          <w:ilvl w:val="0"/>
          <w:numId w:val="1"/>
        </w:numPr>
        <w:spacing w:before="240" w:after="240" w:line="360" w:lineRule="auto"/>
        <w:ind w:left="142" w:hanging="28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Antecedentes.</w:t>
      </w:r>
    </w:p>
    <w:p w:rsidR="00B865B8" w:rsidRDefault="005A17D3">
      <w:pPr>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asunto que nos ocupa, la </w:t>
      </w:r>
      <w:r>
        <w:rPr>
          <w:rFonts w:ascii="Palatino Linotype" w:eastAsia="Palatino Linotype" w:hAnsi="Palatino Linotype" w:cs="Palatino Linotype"/>
          <w:b/>
          <w:sz w:val="24"/>
          <w:szCs w:val="24"/>
        </w:rPr>
        <w:t>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solicitó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le proporcionara lo s</w:t>
      </w:r>
      <w:r>
        <w:rPr>
          <w:rFonts w:ascii="Palatino Linotype" w:eastAsia="Palatino Linotype" w:hAnsi="Palatino Linotype" w:cs="Palatino Linotype"/>
          <w:sz w:val="24"/>
          <w:szCs w:val="24"/>
        </w:rPr>
        <w:t>iguiente:</w:t>
      </w:r>
    </w:p>
    <w:p w:rsidR="00B865B8" w:rsidRDefault="005A17D3">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“Solicito los CFDI de </w:t>
      </w:r>
      <w:proofErr w:type="spellStart"/>
      <w:r>
        <w:rPr>
          <w:rFonts w:ascii="Palatino Linotype" w:eastAsia="Palatino Linotype" w:hAnsi="Palatino Linotype" w:cs="Palatino Linotype"/>
          <w:i/>
        </w:rPr>
        <w:t>nomina</w:t>
      </w:r>
      <w:proofErr w:type="spellEnd"/>
      <w:r>
        <w:rPr>
          <w:rFonts w:ascii="Palatino Linotype" w:eastAsia="Palatino Linotype" w:hAnsi="Palatino Linotype" w:cs="Palatino Linotype"/>
          <w:i/>
        </w:rPr>
        <w:t xml:space="preserve"> de todo el personal de Sistema Municipal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xml:space="preserve"> 2022 - 2024, de Enero hasta Agosto. Solicito los CFDI de </w:t>
      </w:r>
      <w:proofErr w:type="spellStart"/>
      <w:r>
        <w:rPr>
          <w:rFonts w:ascii="Palatino Linotype" w:eastAsia="Palatino Linotype" w:hAnsi="Palatino Linotype" w:cs="Palatino Linotype"/>
          <w:i/>
        </w:rPr>
        <w:t>nomina</w:t>
      </w:r>
      <w:proofErr w:type="spellEnd"/>
      <w:r>
        <w:rPr>
          <w:rFonts w:ascii="Palatino Linotype" w:eastAsia="Palatino Linotype" w:hAnsi="Palatino Linotype" w:cs="Palatino Linotype"/>
          <w:i/>
        </w:rPr>
        <w:t xml:space="preserve"> de todo el personal de Ayuntamiento periodo 2022-2024, de Enero hasta Agosto. De acuerdo a mi derecho de </w:t>
      </w:r>
      <w:proofErr w:type="spellStart"/>
      <w:r>
        <w:rPr>
          <w:rFonts w:ascii="Palatino Linotype" w:eastAsia="Palatino Linotype" w:hAnsi="Palatino Linotype" w:cs="Palatino Linotype"/>
          <w:i/>
        </w:rPr>
        <w:t>pet</w:t>
      </w:r>
      <w:r>
        <w:rPr>
          <w:rFonts w:ascii="Palatino Linotype" w:eastAsia="Palatino Linotype" w:hAnsi="Palatino Linotype" w:cs="Palatino Linotype"/>
          <w:i/>
        </w:rPr>
        <w:t>icion</w:t>
      </w:r>
      <w:proofErr w:type="spellEnd"/>
      <w:r>
        <w:rPr>
          <w:rFonts w:ascii="Palatino Linotype" w:eastAsia="Palatino Linotype" w:hAnsi="Palatino Linotype" w:cs="Palatino Linotype"/>
          <w:i/>
        </w:rPr>
        <w:t>.” (Sic)</w:t>
      </w:r>
    </w:p>
    <w:p w:rsidR="00B865B8" w:rsidRDefault="005A17D3">
      <w:pPr>
        <w:spacing w:before="240" w:after="240" w:line="360" w:lineRule="auto"/>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sz w:val="24"/>
          <w:szCs w:val="24"/>
        </w:rPr>
        <w:lastRenderedPageBreak/>
        <w:t xml:space="preserve">Posteriormente en su respuesta,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remitió doscientos treinta y siete recibos de nómina del personal adscrito al Sistema Municipal para el Desarrollo Integral de la Familia de </w:t>
      </w:r>
      <w:proofErr w:type="spellStart"/>
      <w:r>
        <w:rPr>
          <w:rFonts w:ascii="Palatino Linotype" w:eastAsia="Palatino Linotype" w:hAnsi="Palatino Linotype" w:cs="Palatino Linotype"/>
          <w:sz w:val="24"/>
          <w:szCs w:val="24"/>
        </w:rPr>
        <w:t>Ayapango</w:t>
      </w:r>
      <w:proofErr w:type="spellEnd"/>
      <w:r>
        <w:rPr>
          <w:rFonts w:ascii="Palatino Linotype" w:eastAsia="Palatino Linotype" w:hAnsi="Palatino Linotype" w:cs="Palatino Linotype"/>
          <w:sz w:val="24"/>
          <w:szCs w:val="24"/>
        </w:rPr>
        <w:t>, acompañándolos del Acuerdo de la Déc</w:t>
      </w:r>
      <w:r>
        <w:rPr>
          <w:rFonts w:ascii="Palatino Linotype" w:eastAsia="Palatino Linotype" w:hAnsi="Palatino Linotype" w:cs="Palatino Linotype"/>
          <w:sz w:val="24"/>
          <w:szCs w:val="24"/>
        </w:rPr>
        <w:t xml:space="preserve">ima Séptima Sesión Extraordinaria del Comité de Información Pública del Ayuntamiento de </w:t>
      </w:r>
      <w:proofErr w:type="spellStart"/>
      <w:r>
        <w:rPr>
          <w:rFonts w:ascii="Palatino Linotype" w:eastAsia="Palatino Linotype" w:hAnsi="Palatino Linotype" w:cs="Palatino Linotype"/>
          <w:sz w:val="24"/>
          <w:szCs w:val="24"/>
        </w:rPr>
        <w:t>Ayapango</w:t>
      </w:r>
      <w:proofErr w:type="spellEnd"/>
      <w:r>
        <w:rPr>
          <w:rFonts w:ascii="Palatino Linotype" w:eastAsia="Palatino Linotype" w:hAnsi="Palatino Linotype" w:cs="Palatino Linotype"/>
          <w:sz w:val="24"/>
          <w:szCs w:val="24"/>
        </w:rPr>
        <w:t>, de fecha catorce de septiembre de dos mil veintidós, donde aprueban la supresión de datos personales de la versión pública que contienen los recibos de Nómina</w:t>
      </w:r>
      <w:r>
        <w:rPr>
          <w:rFonts w:ascii="Palatino Linotype" w:eastAsia="Palatino Linotype" w:hAnsi="Palatino Linotype" w:cs="Palatino Linotype"/>
          <w:sz w:val="24"/>
          <w:szCs w:val="24"/>
        </w:rPr>
        <w:t xml:space="preserve">, asimismo adjuntó un oficio </w:t>
      </w:r>
      <w:r>
        <w:rPr>
          <w:rFonts w:ascii="Palatino Linotype" w:eastAsia="Palatino Linotype" w:hAnsi="Palatino Linotype" w:cs="Palatino Linotype"/>
          <w:color w:val="000000"/>
          <w:sz w:val="24"/>
          <w:szCs w:val="24"/>
        </w:rPr>
        <w:t xml:space="preserve">suscrito por la Directora de Finanzas y Tesorería de </w:t>
      </w:r>
      <w:proofErr w:type="spellStart"/>
      <w:r>
        <w:rPr>
          <w:rFonts w:ascii="Palatino Linotype" w:eastAsia="Palatino Linotype" w:hAnsi="Palatino Linotype" w:cs="Palatino Linotype"/>
          <w:color w:val="000000"/>
          <w:sz w:val="24"/>
          <w:szCs w:val="24"/>
        </w:rPr>
        <w:t>Ayapango</w:t>
      </w:r>
      <w:proofErr w:type="spellEnd"/>
      <w:r>
        <w:rPr>
          <w:rFonts w:ascii="Palatino Linotype" w:eastAsia="Palatino Linotype" w:hAnsi="Palatino Linotype" w:cs="Palatino Linotype"/>
          <w:color w:val="000000"/>
          <w:sz w:val="24"/>
          <w:szCs w:val="24"/>
        </w:rPr>
        <w:t xml:space="preserve"> y dirigido a la Coordinadora de la Unidad de Información Pública, mediante el cual se aprecia una liga electrónica que remite al directorio de servidores públicos en</w:t>
      </w:r>
      <w:r>
        <w:rPr>
          <w:rFonts w:ascii="Palatino Linotype" w:eastAsia="Palatino Linotype" w:hAnsi="Palatino Linotype" w:cs="Palatino Linotype"/>
          <w:color w:val="000000"/>
          <w:sz w:val="24"/>
          <w:szCs w:val="24"/>
        </w:rPr>
        <w:t xml:space="preserve"> el portal de Información Pública de Oficio Mexiquense (IPOMEX)</w:t>
      </w:r>
    </w:p>
    <w:p w:rsidR="00B865B8" w:rsidRDefault="00B865B8">
      <w:pPr>
        <w:spacing w:after="0" w:line="276" w:lineRule="auto"/>
        <w:ind w:left="708" w:right="616"/>
        <w:jc w:val="both"/>
        <w:rPr>
          <w:rFonts w:ascii="Palatino Linotype" w:eastAsia="Palatino Linotype" w:hAnsi="Palatino Linotype" w:cs="Palatino Linotype"/>
          <w:i/>
          <w:color w:val="000000"/>
        </w:rPr>
      </w:pPr>
    </w:p>
    <w:p w:rsidR="00B865B8" w:rsidRDefault="005A17D3">
      <w:pPr>
        <w:spacing w:after="0" w:line="360" w:lineRule="auto"/>
        <w:ind w:right="61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w:t>
      </w:r>
      <w:r>
        <w:rPr>
          <w:rFonts w:ascii="Palatino Linotype" w:eastAsia="Palatino Linotype" w:hAnsi="Palatino Linotype" w:cs="Palatino Linotype"/>
          <w:b/>
          <w:sz w:val="24"/>
          <w:szCs w:val="24"/>
        </w:rPr>
        <w:t>parte Recurrente</w:t>
      </w:r>
      <w:r>
        <w:rPr>
          <w:rFonts w:ascii="Palatino Linotype" w:eastAsia="Palatino Linotype" w:hAnsi="Palatino Linotype" w:cs="Palatino Linotype"/>
          <w:sz w:val="24"/>
          <w:szCs w:val="24"/>
        </w:rPr>
        <w:t xml:space="preserve"> interpuso el medio de impugnación citado al rubro, manifestado como motivo de inconformidad, lo siguiente: </w:t>
      </w:r>
    </w:p>
    <w:p w:rsidR="00B865B8" w:rsidRDefault="00B865B8">
      <w:pPr>
        <w:spacing w:after="0" w:line="276" w:lineRule="auto"/>
        <w:ind w:right="616"/>
        <w:jc w:val="both"/>
        <w:rPr>
          <w:rFonts w:ascii="Palatino Linotype" w:eastAsia="Palatino Linotype" w:hAnsi="Palatino Linotype" w:cs="Palatino Linotype"/>
          <w:i/>
          <w:color w:val="000000"/>
        </w:rPr>
      </w:pPr>
    </w:p>
    <w:p w:rsidR="00B865B8" w:rsidRDefault="005A17D3">
      <w:pPr>
        <w:spacing w:after="0" w:line="360" w:lineRule="auto"/>
        <w:ind w:left="567" w:right="-57"/>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Acto Impugn</w:t>
      </w:r>
      <w:r>
        <w:rPr>
          <w:rFonts w:ascii="Palatino Linotype" w:eastAsia="Palatino Linotype" w:hAnsi="Palatino Linotype" w:cs="Palatino Linotype"/>
          <w:b/>
          <w:sz w:val="24"/>
          <w:szCs w:val="24"/>
        </w:rPr>
        <w:t>ado:</w:t>
      </w:r>
      <w:r>
        <w:rPr>
          <w:rFonts w:ascii="Times New Roman" w:eastAsia="Times New Roman" w:hAnsi="Times New Roman" w:cs="Times New Roman"/>
          <w:b/>
          <w:sz w:val="24"/>
          <w:szCs w:val="24"/>
        </w:rPr>
        <w:t xml:space="preserve"> </w:t>
      </w:r>
    </w:p>
    <w:p w:rsidR="00B865B8" w:rsidRDefault="005A17D3">
      <w:pPr>
        <w:tabs>
          <w:tab w:val="left" w:pos="709"/>
        </w:tabs>
        <w:spacing w:before="66" w:line="276" w:lineRule="auto"/>
        <w:ind w:left="567" w:right="899"/>
        <w:jc w:val="both"/>
        <w:rPr>
          <w:rFonts w:ascii="Palatino Linotype" w:eastAsia="Palatino Linotype" w:hAnsi="Palatino Linotype" w:cs="Palatino Linotype"/>
          <w:i/>
        </w:rPr>
      </w:pPr>
      <w:r>
        <w:rPr>
          <w:rFonts w:ascii="Palatino Linotype" w:eastAsia="Palatino Linotype" w:hAnsi="Palatino Linotype" w:cs="Palatino Linotype"/>
          <w:i/>
        </w:rPr>
        <w:t xml:space="preserve">“Solicito los CFDI de </w:t>
      </w:r>
      <w:proofErr w:type="spellStart"/>
      <w:r>
        <w:rPr>
          <w:rFonts w:ascii="Palatino Linotype" w:eastAsia="Palatino Linotype" w:hAnsi="Palatino Linotype" w:cs="Palatino Linotype"/>
          <w:i/>
        </w:rPr>
        <w:t>nomina</w:t>
      </w:r>
      <w:proofErr w:type="spellEnd"/>
      <w:r>
        <w:rPr>
          <w:rFonts w:ascii="Palatino Linotype" w:eastAsia="Palatino Linotype" w:hAnsi="Palatino Linotype" w:cs="Palatino Linotype"/>
          <w:i/>
        </w:rPr>
        <w:t xml:space="preserve"> de todo el personal de Sistema Municipal </w:t>
      </w:r>
      <w:proofErr w:type="spellStart"/>
      <w:r>
        <w:rPr>
          <w:rFonts w:ascii="Palatino Linotype" w:eastAsia="Palatino Linotype" w:hAnsi="Palatino Linotype" w:cs="Palatino Linotype"/>
          <w:i/>
        </w:rPr>
        <w:t>Dif</w:t>
      </w:r>
      <w:proofErr w:type="spellEnd"/>
      <w:r>
        <w:rPr>
          <w:rFonts w:ascii="Palatino Linotype" w:eastAsia="Palatino Linotype" w:hAnsi="Palatino Linotype" w:cs="Palatino Linotype"/>
          <w:i/>
        </w:rPr>
        <w:t xml:space="preserve"> 2022 - 2024, de Enero hasta Agosto. Solicito los CFDI de </w:t>
      </w:r>
      <w:proofErr w:type="spellStart"/>
      <w:r>
        <w:rPr>
          <w:rFonts w:ascii="Palatino Linotype" w:eastAsia="Palatino Linotype" w:hAnsi="Palatino Linotype" w:cs="Palatino Linotype"/>
          <w:i/>
        </w:rPr>
        <w:t>nomina</w:t>
      </w:r>
      <w:proofErr w:type="spellEnd"/>
      <w:r>
        <w:rPr>
          <w:rFonts w:ascii="Palatino Linotype" w:eastAsia="Palatino Linotype" w:hAnsi="Palatino Linotype" w:cs="Palatino Linotype"/>
          <w:i/>
        </w:rPr>
        <w:t xml:space="preserve"> de todo el personal de Ayuntamiento periodo 2022-2024, de Enero hasta Agosto. De acuerdo a mi derecho de </w:t>
      </w:r>
      <w:proofErr w:type="spellStart"/>
      <w:r>
        <w:rPr>
          <w:rFonts w:ascii="Palatino Linotype" w:eastAsia="Palatino Linotype" w:hAnsi="Palatino Linotype" w:cs="Palatino Linotype"/>
          <w:i/>
        </w:rPr>
        <w:t>peticion</w:t>
      </w:r>
      <w:proofErr w:type="spellEnd"/>
      <w:r>
        <w:rPr>
          <w:rFonts w:ascii="Palatino Linotype" w:eastAsia="Palatino Linotype" w:hAnsi="Palatino Linotype" w:cs="Palatino Linotype"/>
          <w:i/>
        </w:rPr>
        <w:t>.” (S</w:t>
      </w:r>
      <w:r>
        <w:rPr>
          <w:rFonts w:ascii="Palatino Linotype" w:eastAsia="Palatino Linotype" w:hAnsi="Palatino Linotype" w:cs="Palatino Linotype"/>
          <w:i/>
        </w:rPr>
        <w:t>ic.)”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rsidR="00B865B8" w:rsidRDefault="00B865B8">
      <w:pPr>
        <w:spacing w:after="0" w:line="240" w:lineRule="auto"/>
        <w:ind w:right="899"/>
        <w:jc w:val="both"/>
        <w:rPr>
          <w:rFonts w:ascii="Palatino Linotype" w:eastAsia="Palatino Linotype" w:hAnsi="Palatino Linotype" w:cs="Palatino Linotype"/>
          <w:sz w:val="24"/>
          <w:szCs w:val="24"/>
        </w:rPr>
      </w:pPr>
    </w:p>
    <w:p w:rsidR="00B865B8" w:rsidRDefault="005A17D3">
      <w:pPr>
        <w:spacing w:after="0" w:line="360" w:lineRule="auto"/>
        <w:ind w:left="567" w:right="4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Razones o motivos de inconformidad:</w:t>
      </w:r>
    </w:p>
    <w:p w:rsidR="00B865B8" w:rsidRDefault="005A17D3">
      <w:pPr>
        <w:pBdr>
          <w:top w:val="nil"/>
          <w:left w:val="nil"/>
          <w:bottom w:val="nil"/>
          <w:right w:val="nil"/>
          <w:between w:val="nil"/>
        </w:pBdr>
        <w:spacing w:line="276" w:lineRule="auto"/>
        <w:ind w:left="567" w:right="990"/>
        <w:jc w:val="both"/>
        <w:rPr>
          <w:rFonts w:ascii="Palatino Linotype" w:eastAsia="Palatino Linotype" w:hAnsi="Palatino Linotype" w:cs="Palatino Linotype"/>
        </w:rPr>
      </w:pPr>
      <w:r>
        <w:rPr>
          <w:rFonts w:ascii="Palatino Linotype" w:eastAsia="Palatino Linotype" w:hAnsi="Palatino Linotype" w:cs="Palatino Linotype"/>
          <w:i/>
        </w:rPr>
        <w:t xml:space="preserve">“La solicitud de información que realicé, requería de los CFDI de nómina del personal </w:t>
      </w:r>
      <w:proofErr w:type="gramStart"/>
      <w:r>
        <w:rPr>
          <w:rFonts w:ascii="Palatino Linotype" w:eastAsia="Palatino Linotype" w:hAnsi="Palatino Linotype" w:cs="Palatino Linotype"/>
          <w:i/>
        </w:rPr>
        <w:t>del</w:t>
      </w:r>
      <w:proofErr w:type="gramEnd"/>
      <w:r>
        <w:rPr>
          <w:rFonts w:ascii="Palatino Linotype" w:eastAsia="Palatino Linotype" w:hAnsi="Palatino Linotype" w:cs="Palatino Linotype"/>
          <w:i/>
        </w:rPr>
        <w:t xml:space="preserve"> DIF y a la vez, del personal del Ayuntamiento municipal de </w:t>
      </w:r>
      <w:proofErr w:type="spellStart"/>
      <w:r>
        <w:rPr>
          <w:rFonts w:ascii="Palatino Linotype" w:eastAsia="Palatino Linotype" w:hAnsi="Palatino Linotype" w:cs="Palatino Linotype"/>
          <w:i/>
        </w:rPr>
        <w:t>Ayapango</w:t>
      </w:r>
      <w:proofErr w:type="spellEnd"/>
      <w:r>
        <w:rPr>
          <w:rFonts w:ascii="Palatino Linotype" w:eastAsia="Palatino Linotype" w:hAnsi="Palatino Linotype" w:cs="Palatino Linotype"/>
          <w:i/>
        </w:rPr>
        <w:t xml:space="preserve">, pero la tesorera del Ayuntamiento manifiesta no </w:t>
      </w:r>
      <w:proofErr w:type="spellStart"/>
      <w:r>
        <w:rPr>
          <w:rFonts w:ascii="Palatino Linotype" w:eastAsia="Palatino Linotype" w:hAnsi="Palatino Linotype" w:cs="Palatino Linotype"/>
          <w:i/>
        </w:rPr>
        <w:t>pertenercer</w:t>
      </w:r>
      <w:proofErr w:type="spellEnd"/>
      <w:r>
        <w:rPr>
          <w:rFonts w:ascii="Palatino Linotype" w:eastAsia="Palatino Linotype" w:hAnsi="Palatino Linotype" w:cs="Palatino Linotype"/>
          <w:i/>
        </w:rPr>
        <w:t xml:space="preserve"> al Sistema Municipal DIF, por </w:t>
      </w:r>
      <w:r>
        <w:rPr>
          <w:rFonts w:ascii="Palatino Linotype" w:eastAsia="Palatino Linotype" w:hAnsi="Palatino Linotype" w:cs="Palatino Linotype"/>
          <w:i/>
        </w:rPr>
        <w:lastRenderedPageBreak/>
        <w:t>ello es</w:t>
      </w:r>
      <w:r>
        <w:rPr>
          <w:rFonts w:ascii="Palatino Linotype" w:eastAsia="Palatino Linotype" w:hAnsi="Palatino Linotype" w:cs="Palatino Linotype"/>
          <w:i/>
        </w:rPr>
        <w:t xml:space="preserve"> evidente la negativa de proporcionarme la información que por ley es pública y le está dando un sentido diferente al correspondiente a mi solicitud de información.” (Sic.)”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w:t>
      </w:r>
    </w:p>
    <w:p w:rsidR="00B865B8" w:rsidRDefault="005A17D3">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interpuesto el recurso de revisión, de las constancias que obran en </w:t>
      </w:r>
      <w:r>
        <w:rPr>
          <w:rFonts w:ascii="Palatino Linotype" w:eastAsia="Palatino Linotype" w:hAnsi="Palatino Linotype" w:cs="Palatino Linotype"/>
          <w:sz w:val="24"/>
          <w:szCs w:val="24"/>
        </w:rPr>
        <w:t>el expediente en el SAIMEX, se advierte que las partes fueron omisas en remitir sus informes justificados, manifestaciones o cualquier alegato que a su derecho conviniera, por lo tanto, se procedió a la emisión de la resolución.</w:t>
      </w:r>
    </w:p>
    <w:p w:rsidR="00B865B8" w:rsidRDefault="005A17D3">
      <w:pPr>
        <w:spacing w:before="240" w:after="240" w:line="360" w:lineRule="auto"/>
        <w:ind w:right="-6"/>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t>Así las cosas, el Comisiona</w:t>
      </w:r>
      <w:r>
        <w:rPr>
          <w:rFonts w:ascii="Palatino Linotype" w:eastAsia="Palatino Linotype" w:hAnsi="Palatino Linotype" w:cs="Palatino Linotype"/>
          <w:sz w:val="24"/>
          <w:szCs w:val="24"/>
        </w:rPr>
        <w:t xml:space="preserve">do Ponente </w:t>
      </w:r>
      <w:proofErr w:type="gramStart"/>
      <w:r>
        <w:rPr>
          <w:rFonts w:ascii="Palatino Linotype" w:eastAsia="Palatino Linotype" w:hAnsi="Palatino Linotype" w:cs="Palatino Linotype"/>
          <w:sz w:val="24"/>
          <w:szCs w:val="24"/>
        </w:rPr>
        <w:t>consideró</w:t>
      </w:r>
      <w:proofErr w:type="gramEnd"/>
      <w:r>
        <w:rPr>
          <w:rFonts w:ascii="Palatino Linotype" w:eastAsia="Palatino Linotype" w:hAnsi="Palatino Linotype" w:cs="Palatino Linotype"/>
          <w:sz w:val="24"/>
          <w:szCs w:val="24"/>
        </w:rPr>
        <w:t xml:space="preserve"> que los motivos de inconformidad aducidos por la </w:t>
      </w:r>
      <w:r>
        <w:rPr>
          <w:rFonts w:ascii="Palatino Linotype" w:eastAsia="Palatino Linotype" w:hAnsi="Palatino Linotype" w:cs="Palatino Linotype"/>
          <w:b/>
          <w:sz w:val="24"/>
          <w:szCs w:val="24"/>
        </w:rPr>
        <w:t>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resultan </w:t>
      </w:r>
      <w:r>
        <w:rPr>
          <w:rFonts w:ascii="Palatino Linotype" w:eastAsia="Palatino Linotype" w:hAnsi="Palatino Linotype" w:cs="Palatino Linotype"/>
          <w:b/>
          <w:sz w:val="24"/>
          <w:szCs w:val="24"/>
        </w:rPr>
        <w:t>fundados</w:t>
      </w:r>
      <w:r>
        <w:rPr>
          <w:rFonts w:ascii="Palatino Linotype" w:eastAsia="Palatino Linotype" w:hAnsi="Palatino Linotype" w:cs="Palatino Linotype"/>
          <w:sz w:val="24"/>
          <w:szCs w:val="24"/>
        </w:rPr>
        <w:t xml:space="preserve">,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B865B8" w:rsidRDefault="005A17D3">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“PRIMERO. Se MODIFICA la respuesta entregada por el Ayuntamiento de </w:t>
      </w:r>
      <w:proofErr w:type="spellStart"/>
      <w:r>
        <w:rPr>
          <w:rFonts w:ascii="Palatino Linotype" w:eastAsia="Palatino Linotype" w:hAnsi="Palatino Linotype" w:cs="Palatino Linotype"/>
          <w:i/>
        </w:rPr>
        <w:t>Ay</w:t>
      </w:r>
      <w:r>
        <w:rPr>
          <w:rFonts w:ascii="Palatino Linotype" w:eastAsia="Palatino Linotype" w:hAnsi="Palatino Linotype" w:cs="Palatino Linotype"/>
          <w:i/>
        </w:rPr>
        <w:t>apango</w:t>
      </w:r>
      <w:proofErr w:type="spellEnd"/>
      <w:r>
        <w:rPr>
          <w:rFonts w:ascii="Palatino Linotype" w:eastAsia="Palatino Linotype" w:hAnsi="Palatino Linotype" w:cs="Palatino Linotype"/>
          <w:i/>
        </w:rPr>
        <w:t xml:space="preserve"> a la solicitud de información 00115/AYAPANGO/IP/2022, por resultar FUNDADAS las razones o motivos de inconformidad hechos valer por el Particular, en términos de los considerandos QUINTO y SEXTO de la presente Resolución.</w:t>
      </w:r>
    </w:p>
    <w:p w:rsidR="00B865B8" w:rsidRDefault="005A17D3">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SEGUNDO. Se ORDENA al Ente </w:t>
      </w:r>
      <w:r>
        <w:rPr>
          <w:rFonts w:ascii="Palatino Linotype" w:eastAsia="Palatino Linotype" w:hAnsi="Palatino Linotype" w:cs="Palatino Linotype"/>
          <w:i/>
        </w:rPr>
        <w:t>Recurrido, a efecto de que previa búsqueda exhaustiva y razonable en los archivos de las unidades administrativas competentes,  entregue, a través del Sistema de Acceso a la Información Mexiquense (SAIMEX), en versión pública, lo siguiente:</w:t>
      </w:r>
    </w:p>
    <w:p w:rsidR="00B865B8" w:rsidRDefault="005A17D3">
      <w:pPr>
        <w:spacing w:before="240" w:after="24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rPr>
        <w:tab/>
        <w:t>Los recibos d</w:t>
      </w:r>
      <w:r>
        <w:rPr>
          <w:rFonts w:ascii="Palatino Linotype" w:eastAsia="Palatino Linotype" w:hAnsi="Palatino Linotype" w:cs="Palatino Linotype"/>
          <w:i/>
        </w:rPr>
        <w:t xml:space="preserve">e nómina de la primera quincena de enero a la segunda de agosto de dos mil veintidós, de todos los servidores públicos adscritos al Ayuntamiento de </w:t>
      </w:r>
      <w:proofErr w:type="spellStart"/>
      <w:r>
        <w:rPr>
          <w:rFonts w:ascii="Palatino Linotype" w:eastAsia="Palatino Linotype" w:hAnsi="Palatino Linotype" w:cs="Palatino Linotype"/>
          <w:i/>
        </w:rPr>
        <w:t>Ayapango</w:t>
      </w:r>
      <w:proofErr w:type="spellEnd"/>
      <w:r>
        <w:rPr>
          <w:rFonts w:ascii="Palatino Linotype" w:eastAsia="Palatino Linotype" w:hAnsi="Palatino Linotype" w:cs="Palatino Linotype"/>
          <w:i/>
        </w:rPr>
        <w:t xml:space="preserve">, y al Sistema Municipal para el Desarrollo Integral de la Familia de </w:t>
      </w:r>
      <w:proofErr w:type="spellStart"/>
      <w:r>
        <w:rPr>
          <w:rFonts w:ascii="Palatino Linotype" w:eastAsia="Palatino Linotype" w:hAnsi="Palatino Linotype" w:cs="Palatino Linotype"/>
          <w:i/>
        </w:rPr>
        <w:t>Ayapango</w:t>
      </w:r>
      <w:proofErr w:type="spellEnd"/>
      <w:r>
        <w:rPr>
          <w:rFonts w:ascii="Palatino Linotype" w:eastAsia="Palatino Linotype" w:hAnsi="Palatino Linotype" w:cs="Palatino Linotype"/>
          <w:i/>
        </w:rPr>
        <w:t xml:space="preserve">. </w:t>
      </w:r>
    </w:p>
    <w:p w:rsidR="00B865B8" w:rsidRDefault="005A17D3">
      <w:pPr>
        <w:spacing w:before="240" w:after="240" w:line="276" w:lineRule="auto"/>
        <w:ind w:left="567" w:right="990"/>
        <w:jc w:val="both"/>
        <w:rPr>
          <w:rFonts w:ascii="Palatino Linotype" w:eastAsia="Palatino Linotype" w:hAnsi="Palatino Linotype" w:cs="Palatino Linotype"/>
          <w:i/>
          <w:color w:val="000000"/>
        </w:rPr>
      </w:pPr>
      <w:r>
        <w:rPr>
          <w:rFonts w:ascii="Palatino Linotype" w:eastAsia="Palatino Linotype" w:hAnsi="Palatino Linotype" w:cs="Palatino Linotype"/>
          <w:i/>
        </w:rPr>
        <w:t>Además, deberá prop</w:t>
      </w:r>
      <w:r>
        <w:rPr>
          <w:rFonts w:ascii="Palatino Linotype" w:eastAsia="Palatino Linotype" w:hAnsi="Palatino Linotype" w:cs="Palatino Linotype"/>
          <w:i/>
        </w:rPr>
        <w:t xml:space="preserve">orcionar el Acuerdo de Clasificación donde el Comité de Transparencia, confirme la eliminación de los datos referidos en el Considerando QUINTO, en la versión pública, de conformidad con los artículos 49, fracciones II y </w:t>
      </w:r>
      <w:r>
        <w:rPr>
          <w:rFonts w:ascii="Palatino Linotype" w:eastAsia="Palatino Linotype" w:hAnsi="Palatino Linotype" w:cs="Palatino Linotype"/>
          <w:i/>
        </w:rPr>
        <w:lastRenderedPageBreak/>
        <w:t xml:space="preserve">VIII y 132, fracción II, de la Ley </w:t>
      </w:r>
      <w:r>
        <w:rPr>
          <w:rFonts w:ascii="Palatino Linotype" w:eastAsia="Palatino Linotype" w:hAnsi="Palatino Linotype" w:cs="Palatino Linotype"/>
          <w:i/>
        </w:rPr>
        <w:t>de Transparencia y Acceso a la Información Pública del Estado de México y Municipios</w:t>
      </w:r>
      <w:r>
        <w:rPr>
          <w:rFonts w:ascii="Palatino Linotype" w:eastAsia="Palatino Linotype" w:hAnsi="Palatino Linotype" w:cs="Palatino Linotype"/>
          <w:b/>
          <w:i/>
        </w:rPr>
        <w:t>…</w:t>
      </w:r>
      <w:r>
        <w:rPr>
          <w:rFonts w:ascii="Palatino Linotype" w:eastAsia="Palatino Linotype" w:hAnsi="Palatino Linotype" w:cs="Palatino Linotype"/>
          <w:i/>
          <w:color w:val="000000"/>
        </w:rPr>
        <w:t>”</w:t>
      </w:r>
    </w:p>
    <w:p w:rsidR="00B865B8" w:rsidRDefault="005A17D3">
      <w:pPr>
        <w:numPr>
          <w:ilvl w:val="0"/>
          <w:numId w:val="1"/>
        </w:numPr>
        <w:pBdr>
          <w:top w:val="nil"/>
          <w:left w:val="nil"/>
          <w:bottom w:val="nil"/>
          <w:right w:val="nil"/>
          <w:between w:val="nil"/>
        </w:pBdr>
        <w:spacing w:after="0" w:line="360" w:lineRule="auto"/>
        <w:ind w:left="284" w:firstLine="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Razones del Voto Particular.</w:t>
      </w:r>
    </w:p>
    <w:p w:rsidR="00B865B8" w:rsidRDefault="00B86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865B8" w:rsidRDefault="005A17D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orden de ideas, resulta importante señalar que coincido con los términos generales planteados en la Resolución toda vez que por regla general la publicidad de las remuneraciones a las que se hacen acreedores los servidores públicos en el  ejercicio</w:t>
      </w:r>
      <w:r>
        <w:rPr>
          <w:rFonts w:ascii="Palatino Linotype" w:eastAsia="Palatino Linotype" w:hAnsi="Palatino Linotype" w:cs="Palatino Linotype"/>
          <w:color w:val="000000"/>
          <w:sz w:val="24"/>
          <w:szCs w:val="24"/>
        </w:rPr>
        <w:t xml:space="preserve"> de la función pública, se encuentran establecidas como una obligación de transparencia común, tanto en la Ley General como en la Ley Local, y de manera específica, el artículo 92, fracción VIII de la Ley de Transparencia y Acceso a la Información Pública </w:t>
      </w:r>
      <w:r>
        <w:rPr>
          <w:rFonts w:ascii="Palatino Linotype" w:eastAsia="Palatino Linotype" w:hAnsi="Palatino Linotype" w:cs="Palatino Linotype"/>
          <w:color w:val="000000"/>
          <w:sz w:val="24"/>
          <w:szCs w:val="24"/>
        </w:rPr>
        <w:t>del Estado de México y Municipios; no obstante lo anterior, considero que dicha regla está sujeta a claro régimen de  excepción, la cual concretamente se aprecia en el caso de las remuneraciones de personal que se encuentra adscrito a instituciones de segu</w:t>
      </w:r>
      <w:r>
        <w:rPr>
          <w:rFonts w:ascii="Palatino Linotype" w:eastAsia="Palatino Linotype" w:hAnsi="Palatino Linotype" w:cs="Palatino Linotype"/>
          <w:color w:val="000000"/>
          <w:sz w:val="24"/>
          <w:szCs w:val="24"/>
        </w:rPr>
        <w:t xml:space="preserve">ridad pública con funciones operativas en atención a los consideraciones que a continuación se exponen. </w:t>
      </w:r>
    </w:p>
    <w:p w:rsidR="00B865B8" w:rsidRDefault="00B86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865B8" w:rsidRDefault="005A17D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Sobre este punto, debemos partir desde la máxima establecida en nuestro texto Constitucional Federal pues el artículo 21 en su párrafo noveno reconoce</w:t>
      </w:r>
      <w:r>
        <w:rPr>
          <w:rFonts w:ascii="Palatino Linotype" w:eastAsia="Palatino Linotype" w:hAnsi="Palatino Linotype" w:cs="Palatino Linotype"/>
          <w:color w:val="000000"/>
          <w:sz w:val="24"/>
          <w:szCs w:val="24"/>
        </w:rPr>
        <w:t xml:space="preserve"> que la seguridad pública es una función del Estado a cargo de la Federación, las Entidades Federativas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integridad y el patrimonio de las personas, así como contribuir a la generaci</w:t>
      </w:r>
      <w:r>
        <w:rPr>
          <w:rFonts w:ascii="Palatino Linotype" w:eastAsia="Palatino Linotype" w:hAnsi="Palatino Linotype" w:cs="Palatino Linotype"/>
          <w:b/>
          <w:color w:val="000000"/>
          <w:sz w:val="24"/>
          <w:szCs w:val="24"/>
        </w:rPr>
        <w:t>ón y preservación del orden público y la paz social</w:t>
      </w:r>
      <w:r>
        <w:rPr>
          <w:rFonts w:ascii="Palatino Linotype" w:eastAsia="Palatino Linotype" w:hAnsi="Palatino Linotype" w:cs="Palatino Linotype"/>
          <w:color w:val="000000"/>
          <w:sz w:val="24"/>
          <w:szCs w:val="24"/>
        </w:rPr>
        <w:t xml:space="preserve">. Asimismo señala que la actuación </w:t>
      </w:r>
      <w:r>
        <w:rPr>
          <w:rFonts w:ascii="Palatino Linotype" w:eastAsia="Palatino Linotype" w:hAnsi="Palatino Linotype" w:cs="Palatino Linotype"/>
          <w:color w:val="000000"/>
          <w:sz w:val="24"/>
          <w:szCs w:val="24"/>
        </w:rPr>
        <w:lastRenderedPageBreak/>
        <w:t>de las instituciones de seguridad pública se regirá por los principios de legalidad, objetividad, eficiencia, profesionalismo, honradez y respeto a los derechos humanos.</w:t>
      </w:r>
    </w:p>
    <w:p w:rsidR="00B865B8" w:rsidRDefault="00B86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865B8" w:rsidRDefault="005A17D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Dicha circunstancia es replicada por la Ley de Seguridad del Estado de México en su artículo 1, fracciones II, III y V, las cuales señalan que dicho ordenamiento es de orden público, de interés social y de observancia general en todo el territorio del Est</w:t>
      </w:r>
      <w:r>
        <w:rPr>
          <w:rFonts w:ascii="Palatino Linotype" w:eastAsia="Palatino Linotype" w:hAnsi="Palatino Linotype" w:cs="Palatino Linotype"/>
          <w:color w:val="000000"/>
          <w:sz w:val="24"/>
          <w:szCs w:val="24"/>
        </w:rPr>
        <w:t>ado de México y tiene por objeto establecer las bases de coordinación del Estado y los Municipios con la Federación, las Entidades Federativas, Municipios y Alcaldías de la Ciudad de México; integrar el Sistema Estatal de Seguridad Pública, que a su vez co</w:t>
      </w:r>
      <w:r>
        <w:rPr>
          <w:rFonts w:ascii="Palatino Linotype" w:eastAsia="Palatino Linotype" w:hAnsi="Palatino Linotype" w:cs="Palatino Linotype"/>
          <w:color w:val="000000"/>
          <w:sz w:val="24"/>
          <w:szCs w:val="24"/>
        </w:rPr>
        <w:t>ntribuirá con el Sistema Nacional de Seguridad Pública; para la construcción de las bases para una plena seguridad ciudadana.</w:t>
      </w:r>
    </w:p>
    <w:p w:rsidR="00B865B8" w:rsidRDefault="00B865B8">
      <w:pPr>
        <w:pBdr>
          <w:top w:val="nil"/>
          <w:left w:val="nil"/>
          <w:bottom w:val="nil"/>
          <w:right w:val="nil"/>
          <w:between w:val="nil"/>
        </w:pBdr>
        <w:spacing w:after="120" w:line="360" w:lineRule="auto"/>
        <w:jc w:val="both"/>
        <w:rPr>
          <w:rFonts w:ascii="Palatino Linotype" w:eastAsia="Palatino Linotype" w:hAnsi="Palatino Linotype" w:cs="Palatino Linotype"/>
          <w:color w:val="000000"/>
          <w:sz w:val="24"/>
          <w:szCs w:val="24"/>
        </w:rPr>
      </w:pPr>
    </w:p>
    <w:p w:rsidR="00B865B8" w:rsidRDefault="005A17D3">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suerte que con lo señalado hasta este punto se advierte que la finalidad de la función de seguridad pública indudablemente</w:t>
      </w:r>
      <w:r>
        <w:rPr>
          <w:rFonts w:ascii="Palatino Linotype" w:eastAsia="Palatino Linotype" w:hAnsi="Palatino Linotype" w:cs="Palatino Linotype"/>
          <w:sz w:val="24"/>
          <w:szCs w:val="24"/>
        </w:rPr>
        <w:t xml:space="preserve"> tienen como eje central a la persona humana y, por ende, contribuyen al establecimiento de la seguridad ciudadana, la cual tiene por objeto proteger a las personas; asegurar el ejercicio de su ciudadanía, sus libertades y derechos fundamentales; establece</w:t>
      </w:r>
      <w:r>
        <w:rPr>
          <w:rFonts w:ascii="Palatino Linotype" w:eastAsia="Palatino Linotype" w:hAnsi="Palatino Linotype" w:cs="Palatino Linotype"/>
          <w:sz w:val="24"/>
          <w:szCs w:val="24"/>
        </w:rPr>
        <w:t>r espacios de participación social corresponsable y armónica; propiciar la solución pacífica de los conflictos interpersonales y sociales; fortalecer a las instituciones, y propiciar condiciones durables que permitan a los ciudadanos desarrollar sus capaci</w:t>
      </w:r>
      <w:r>
        <w:rPr>
          <w:rFonts w:ascii="Palatino Linotype" w:eastAsia="Palatino Linotype" w:hAnsi="Palatino Linotype" w:cs="Palatino Linotype"/>
          <w:sz w:val="24"/>
          <w:szCs w:val="24"/>
        </w:rPr>
        <w:t>dades, en un ambiente de paz y democracia.</w:t>
      </w:r>
    </w:p>
    <w:p w:rsidR="00B865B8" w:rsidRDefault="00B865B8">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p>
    <w:p w:rsidR="00B865B8" w:rsidRDefault="005A17D3">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Una vez acreditado el objeto de la seguridad pública, así como los sujetos encargados de ejecutar las acciones para consumar esta función, podemos observar con claridad la importancia de los elementos operativos que ejecutan estas acciones encaminadas a pr</w:t>
      </w:r>
      <w:r>
        <w:rPr>
          <w:rFonts w:ascii="Palatino Linotype" w:eastAsia="Palatino Linotype" w:hAnsi="Palatino Linotype" w:cs="Palatino Linotype"/>
          <w:sz w:val="24"/>
          <w:szCs w:val="24"/>
        </w:rPr>
        <w:t xml:space="preserve">eservar el orden dentro de la dinámica social y podemos partir de este punto para determinar el riesgo de la divulgación de esta información y por ende, la procedencia de su clasificación como información reservada. </w:t>
      </w:r>
    </w:p>
    <w:p w:rsidR="00B865B8" w:rsidRDefault="00B865B8">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p>
    <w:p w:rsidR="00B865B8" w:rsidRDefault="005A17D3">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momento podemos vislumbrar q</w:t>
      </w:r>
      <w:r>
        <w:rPr>
          <w:rFonts w:ascii="Palatino Linotype" w:eastAsia="Palatino Linotype" w:hAnsi="Palatino Linotype" w:cs="Palatino Linotype"/>
          <w:sz w:val="24"/>
          <w:szCs w:val="24"/>
        </w:rPr>
        <w:t xml:space="preserve">ue el artículo 81, fracción II de la Ley de Seguridad del Estado de México dispone de manera expresa que toda información para la seguridad pública generada o en poder de Instituciones de Seguridad Pública o de cualquier instancia del Sistema Estatal debe </w:t>
      </w:r>
      <w:r>
        <w:rPr>
          <w:rFonts w:ascii="Palatino Linotype" w:eastAsia="Palatino Linotype" w:hAnsi="Palatino Linotype" w:cs="Palatino Linotype"/>
          <w:sz w:val="24"/>
          <w:szCs w:val="24"/>
        </w:rPr>
        <w:t>clasificarse, sirve de referencia la siguiente cita:</w:t>
      </w:r>
    </w:p>
    <w:p w:rsidR="00B865B8" w:rsidRDefault="005A17D3">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81.- Toda información para la seguridad pública generada o en poder de Instituciones de Seguridad Pública o de cualquier instancia del Sistema Estatal debe registrarse, clasificarse y tratarse </w:t>
      </w:r>
      <w:r>
        <w:rPr>
          <w:rFonts w:ascii="Palatino Linotype" w:eastAsia="Palatino Linotype" w:hAnsi="Palatino Linotype" w:cs="Palatino Linotype"/>
          <w:i/>
        </w:rPr>
        <w:t>de conformidad con las disposiciones aplicables. No obstante lo anterior, esta información se considerará reservada en los casos siguientes:</w:t>
      </w:r>
    </w:p>
    <w:p w:rsidR="00B865B8" w:rsidRDefault="005A17D3">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p>
    <w:p w:rsidR="00B865B8" w:rsidRDefault="005A17D3">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u w:val="single"/>
        </w:rPr>
        <w:t xml:space="preserve">II. Aquella cuya revelación pueda ser utilizada para actualizar o potenciar una amenaza a la seguridad pública o </w:t>
      </w:r>
      <w:r>
        <w:rPr>
          <w:rFonts w:ascii="Palatino Linotype" w:eastAsia="Palatino Linotype" w:hAnsi="Palatino Linotype" w:cs="Palatino Linotype"/>
          <w:b/>
          <w:i/>
          <w:u w:val="single"/>
        </w:rPr>
        <w:t>a las instituciones del Estado de México;</w:t>
      </w:r>
      <w:r>
        <w:rPr>
          <w:rFonts w:ascii="Palatino Linotype" w:eastAsia="Palatino Linotype" w:hAnsi="Palatino Linotype" w:cs="Palatino Linotype"/>
          <w:b/>
          <w:i/>
        </w:rPr>
        <w:t xml:space="preserve">” </w:t>
      </w:r>
      <w:r>
        <w:rPr>
          <w:rFonts w:ascii="Palatino Linotype" w:eastAsia="Palatino Linotype" w:hAnsi="Palatino Linotype" w:cs="Palatino Linotype"/>
          <w:i/>
        </w:rPr>
        <w:t>(Énfasis añadido)</w:t>
      </w:r>
    </w:p>
    <w:p w:rsidR="00B865B8" w:rsidRDefault="00B865B8">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b/>
          <w:i/>
          <w:u w:val="single"/>
        </w:rPr>
      </w:pPr>
    </w:p>
    <w:p w:rsidR="00B865B8" w:rsidRDefault="005A17D3">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armonía con esta disposición normativa, la Ley General de Transparencia y Acceso a la Información Pública, en su artículo 113, fracción I señala que deberá reservarse la información que con su publicación se comprometa a la seguridad pública y cuente co</w:t>
      </w:r>
      <w:r>
        <w:rPr>
          <w:rFonts w:ascii="Palatino Linotype" w:eastAsia="Palatino Linotype" w:hAnsi="Palatino Linotype" w:cs="Palatino Linotype"/>
          <w:sz w:val="24"/>
          <w:szCs w:val="24"/>
        </w:rPr>
        <w:t xml:space="preserve">n un efecto demostrable, posteriormente el artículo 140 fracción I de la Ley de Transparencia Local replica esta circunstancia de reserva. </w:t>
      </w:r>
    </w:p>
    <w:p w:rsidR="00B865B8" w:rsidRDefault="00B865B8">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p>
    <w:p w:rsidR="00B865B8" w:rsidRDefault="005A17D3">
      <w:pPr>
        <w:pBdr>
          <w:top w:val="nil"/>
          <w:left w:val="nil"/>
          <w:bottom w:val="nil"/>
          <w:right w:val="nil"/>
          <w:between w:val="nil"/>
        </w:pBdr>
        <w:spacing w:after="12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rsidR="00B865B8" w:rsidRDefault="005A17D3">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113. Como información reservada podrá clasificarse aquella cuya publicación:</w:t>
      </w:r>
    </w:p>
    <w:p w:rsidR="00B865B8" w:rsidRDefault="005A17D3">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rsidR="00B865B8" w:rsidRDefault="00B865B8">
      <w:pPr>
        <w:pBdr>
          <w:top w:val="nil"/>
          <w:left w:val="nil"/>
          <w:bottom w:val="nil"/>
          <w:right w:val="nil"/>
          <w:between w:val="nil"/>
        </w:pBdr>
        <w:spacing w:after="120" w:line="276" w:lineRule="auto"/>
        <w:ind w:right="2124"/>
        <w:jc w:val="both"/>
        <w:rPr>
          <w:rFonts w:ascii="Palatino Linotype" w:eastAsia="Palatino Linotype" w:hAnsi="Palatino Linotype" w:cs="Palatino Linotype"/>
          <w:b/>
        </w:rPr>
      </w:pPr>
    </w:p>
    <w:p w:rsidR="00B865B8" w:rsidRDefault="005A17D3">
      <w:pPr>
        <w:pBdr>
          <w:top w:val="nil"/>
          <w:left w:val="nil"/>
          <w:bottom w:val="nil"/>
          <w:right w:val="nil"/>
          <w:between w:val="nil"/>
        </w:pBdr>
        <w:spacing w:after="120" w:line="276" w:lineRule="auto"/>
        <w:ind w:right="2124"/>
        <w:jc w:val="both"/>
        <w:rPr>
          <w:rFonts w:ascii="Palatino Linotype" w:eastAsia="Palatino Linotype" w:hAnsi="Palatino Linotype" w:cs="Palatino Linotype"/>
          <w:b/>
        </w:rPr>
      </w:pPr>
      <w:r>
        <w:rPr>
          <w:rFonts w:ascii="Palatino Linotype" w:eastAsia="Palatino Linotype" w:hAnsi="Palatino Linotype" w:cs="Palatino Linotype"/>
          <w:b/>
        </w:rPr>
        <w:t xml:space="preserve">Ley de Transparencia y Acceso </w:t>
      </w:r>
      <w:r>
        <w:rPr>
          <w:rFonts w:ascii="Palatino Linotype" w:eastAsia="Palatino Linotype" w:hAnsi="Palatino Linotype" w:cs="Palatino Linotype"/>
          <w:b/>
        </w:rPr>
        <w:t xml:space="preserve">a la Información Pública del Estado de México y Municipios: </w:t>
      </w:r>
    </w:p>
    <w:p w:rsidR="00B865B8" w:rsidRDefault="00B865B8">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p>
    <w:p w:rsidR="00B865B8" w:rsidRDefault="005A17D3">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140. El acceso a la información pública será restringido excepcionalmente, cuando por razones de interés público, ésta sea clasificada como reservada, conforme a los criterios siguiente</w:t>
      </w:r>
      <w:r>
        <w:rPr>
          <w:rFonts w:ascii="Palatino Linotype" w:eastAsia="Palatino Linotype" w:hAnsi="Palatino Linotype" w:cs="Palatino Linotype"/>
          <w:i/>
        </w:rPr>
        <w:t>s:</w:t>
      </w:r>
    </w:p>
    <w:p w:rsidR="00B865B8" w:rsidRDefault="005A17D3">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pública y cuente con un propósito genuino y un efecto demostrable</w:t>
      </w:r>
      <w:r>
        <w:rPr>
          <w:rFonts w:ascii="Palatino Linotype" w:eastAsia="Palatino Linotype" w:hAnsi="Palatino Linotype" w:cs="Palatino Linotype"/>
          <w:i/>
        </w:rPr>
        <w:t>;” (Énfasis añadido)</w:t>
      </w:r>
    </w:p>
    <w:p w:rsidR="00B865B8" w:rsidRDefault="00B865B8">
      <w:pPr>
        <w:pBdr>
          <w:top w:val="nil"/>
          <w:left w:val="nil"/>
          <w:bottom w:val="nil"/>
          <w:right w:val="nil"/>
          <w:between w:val="nil"/>
        </w:pBdr>
        <w:spacing w:after="120" w:line="276" w:lineRule="auto"/>
        <w:ind w:right="990"/>
        <w:jc w:val="both"/>
        <w:rPr>
          <w:rFonts w:ascii="Palatino Linotype" w:eastAsia="Palatino Linotype" w:hAnsi="Palatino Linotype" w:cs="Palatino Linotype"/>
          <w:b/>
        </w:rPr>
      </w:pPr>
    </w:p>
    <w:p w:rsidR="00B865B8" w:rsidRDefault="005A17D3">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Correlativo a lo anterior, los Lineamientos Generales en Materia de Clasificación y Desclasificación de la Información, así como para la Elaboración de Versiones Públicas, publicados el 16 de abril de 2016 y reformados el 18 de noviembre de 2022 señalan en</w:t>
      </w:r>
      <w:r>
        <w:rPr>
          <w:rFonts w:ascii="Palatino Linotype" w:eastAsia="Palatino Linotype" w:hAnsi="Palatino Linotype" w:cs="Palatino Linotype"/>
          <w:sz w:val="24"/>
          <w:szCs w:val="24"/>
        </w:rPr>
        <w:t xml:space="preserve"> su numeral décimo octavo que podrá considerarse como información reservada, aquella que comprometa la seguridad pública, al poner en peligro las funciones a cargo de la Federación, la Ciudad de México, los Estados y los Municipios, tendientes a preservar </w:t>
      </w:r>
      <w:r>
        <w:rPr>
          <w:rFonts w:ascii="Palatino Linotype" w:eastAsia="Palatino Linotype" w:hAnsi="Palatino Linotype" w:cs="Palatino Linotype"/>
          <w:sz w:val="24"/>
          <w:szCs w:val="24"/>
        </w:rPr>
        <w:t>y resguardar la vida, la salud, la integridad y el ejercicio de los derechos de las personas, así como para el mantenimiento del orden público.</w:t>
      </w:r>
    </w:p>
    <w:p w:rsidR="00B865B8" w:rsidRDefault="005A17D3">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crucial señalar que estos Lineamientos señalan </w:t>
      </w:r>
      <w:r>
        <w:rPr>
          <w:rFonts w:ascii="Palatino Linotype" w:eastAsia="Palatino Linotype" w:hAnsi="Palatino Linotype" w:cs="Palatino Linotype"/>
          <w:b/>
          <w:sz w:val="24"/>
          <w:szCs w:val="24"/>
          <w:u w:val="single"/>
        </w:rPr>
        <w:t xml:space="preserve">que es susceptible de considerarse como reservada aquella que </w:t>
      </w:r>
      <w:r>
        <w:rPr>
          <w:rFonts w:ascii="Palatino Linotype" w:eastAsia="Palatino Linotype" w:hAnsi="Palatino Linotype" w:cs="Palatino Linotype"/>
          <w:b/>
          <w:sz w:val="24"/>
          <w:szCs w:val="24"/>
          <w:u w:val="single"/>
        </w:rPr>
        <w:t>revele datos que pudieran ser aprovechados para conocer la capacidad de reacción de las instituciones encargadas de la seguridad pública</w:t>
      </w:r>
      <w:r>
        <w:rPr>
          <w:rFonts w:ascii="Palatino Linotype" w:eastAsia="Palatino Linotype" w:hAnsi="Palatino Linotype" w:cs="Palatino Linotype"/>
          <w:sz w:val="24"/>
          <w:szCs w:val="24"/>
        </w:rPr>
        <w:t>, sus planes, estrategias, tecnología, información, sistemas de comunicaciones.</w:t>
      </w:r>
    </w:p>
    <w:p w:rsidR="00B865B8" w:rsidRDefault="005A17D3">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Hasta este punto tenemos que los instrum</w:t>
      </w:r>
      <w:r>
        <w:rPr>
          <w:rFonts w:ascii="Palatino Linotype" w:eastAsia="Palatino Linotype" w:hAnsi="Palatino Linotype" w:cs="Palatino Linotype"/>
          <w:sz w:val="24"/>
          <w:szCs w:val="24"/>
        </w:rPr>
        <w:t xml:space="preserve">entos normativos que debemos observar en estricto sentido disponen puntualmente la reserva de información para los casos en los que se revele información que pueda ser empleada para conocer la capacidad de reacción, es decir, todo lo relativo a servidores </w:t>
      </w:r>
      <w:r>
        <w:rPr>
          <w:rFonts w:ascii="Palatino Linotype" w:eastAsia="Palatino Linotype" w:hAnsi="Palatino Linotype" w:cs="Palatino Linotype"/>
          <w:sz w:val="24"/>
          <w:szCs w:val="24"/>
        </w:rPr>
        <w:t>públicos operativos que integran las instituciones de seguridad pública, ya que su divulgación podría ser utilizada para actualizar o potenciar una amenaza para la seguridad pública de la sociedad; teniendo esto en cuenta y trasladando estas premisas al ca</w:t>
      </w:r>
      <w:r>
        <w:rPr>
          <w:rFonts w:ascii="Palatino Linotype" w:eastAsia="Palatino Linotype" w:hAnsi="Palatino Linotype" w:cs="Palatino Linotype"/>
          <w:sz w:val="24"/>
          <w:szCs w:val="24"/>
        </w:rPr>
        <w:t>so particular se estima que con la entrega de información relativa a los servidores públicos con funciones operativas adscritos a instituciones de seguridad pública, revela información actualizada sobre el número de policías operativos en activo a la fecha</w:t>
      </w:r>
      <w:r>
        <w:rPr>
          <w:rFonts w:ascii="Palatino Linotype" w:eastAsia="Palatino Linotype" w:hAnsi="Palatino Linotype" w:cs="Palatino Linotype"/>
          <w:sz w:val="24"/>
          <w:szCs w:val="24"/>
        </w:rPr>
        <w:t xml:space="preserve"> de la solicitud de información y en consecuencia su estado de fuerza vigente, lo cual no sólo contraviene lo dispuesto expresamente por las disposiciones previamente insertadas, sino que, además, pone en riesgo los valores jurídicos y los principios bajo </w:t>
      </w:r>
      <w:r>
        <w:rPr>
          <w:rFonts w:ascii="Palatino Linotype" w:eastAsia="Palatino Linotype" w:hAnsi="Palatino Linotype" w:cs="Palatino Linotype"/>
          <w:sz w:val="24"/>
          <w:szCs w:val="24"/>
        </w:rPr>
        <w:t>los cuales de las instituciones de seguridad pública se debe regir como son la legalidad, objetividad, eficiencia, profesionalismo, honradez y respeto a los derechos humanos reconocidos en la Constitución General.</w:t>
      </w:r>
    </w:p>
    <w:p w:rsidR="00B865B8" w:rsidRDefault="005A17D3">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la reserva del personal oper</w:t>
      </w:r>
      <w:r>
        <w:rPr>
          <w:rFonts w:ascii="Palatino Linotype" w:eastAsia="Palatino Linotype" w:hAnsi="Palatino Linotype" w:cs="Palatino Linotype"/>
          <w:sz w:val="24"/>
          <w:szCs w:val="24"/>
        </w:rPr>
        <w:t>ativo procede por dos circunstancias:</w:t>
      </w:r>
    </w:p>
    <w:p w:rsidR="00B865B8" w:rsidRDefault="005A17D3">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sz w:val="24"/>
          <w:szCs w:val="24"/>
        </w:rPr>
        <w:t xml:space="preserve">pública, </w:t>
      </w:r>
      <w:r>
        <w:rPr>
          <w:rFonts w:ascii="Palatino Linotype" w:eastAsia="Palatino Linotype" w:hAnsi="Palatino Linotype" w:cs="Palatino Linotype"/>
          <w:sz w:val="24"/>
          <w:szCs w:val="24"/>
        </w:rPr>
        <w:t xml:space="preserve">en virtud de que: </w:t>
      </w:r>
    </w:p>
    <w:p w:rsidR="00B865B8" w:rsidRDefault="005A17D3">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La información pod</w:t>
      </w:r>
      <w:r>
        <w:rPr>
          <w:rFonts w:ascii="Palatino Linotype" w:eastAsia="Palatino Linotype" w:hAnsi="Palatino Linotype" w:cs="Palatino Linotype"/>
          <w:sz w:val="24"/>
          <w:szCs w:val="24"/>
        </w:rPr>
        <w:t xml:space="preserve">ría ser aprovechada por los grupos criminales para conocer la capacidad de reacción </w:t>
      </w:r>
    </w:p>
    <w:p w:rsidR="00B865B8" w:rsidRDefault="005A17D3">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 Con dicha información se revelarían a detalle las características funcionales del personal y con ello, su organización para el cumplimiento de sus funciones; y </w:t>
      </w:r>
    </w:p>
    <w:p w:rsidR="00B865B8" w:rsidRDefault="005A17D3">
      <w:pPr>
        <w:spacing w:before="240" w:after="240" w:line="360" w:lineRule="auto"/>
        <w:ind w:right="-3"/>
        <w:jc w:val="both"/>
        <w:rPr>
          <w:rFonts w:ascii="Palatino Linotype" w:eastAsia="Palatino Linotype" w:hAnsi="Palatino Linotype" w:cs="Palatino Linotype"/>
          <w:sz w:val="24"/>
          <w:szCs w:val="24"/>
          <w:highlight w:val="yellow"/>
        </w:rPr>
      </w:pPr>
      <w:r>
        <w:rPr>
          <w:rFonts w:ascii="Palatino Linotype" w:eastAsia="Palatino Linotype" w:hAnsi="Palatino Linotype" w:cs="Palatino Linotype"/>
          <w:sz w:val="24"/>
          <w:szCs w:val="24"/>
        </w:rPr>
        <w:t>2. Existe una relación causal general entre la entrega de la información y la afectación a la seguridad pública, pues los grupos criminales estarían en posibilidad de obstaculizar o bloquear actividades encaminadas a preservar el orden dentro de la dinámic</w:t>
      </w:r>
      <w:r>
        <w:rPr>
          <w:rFonts w:ascii="Palatino Linotype" w:eastAsia="Palatino Linotype" w:hAnsi="Palatino Linotype" w:cs="Palatino Linotype"/>
          <w:sz w:val="24"/>
          <w:szCs w:val="24"/>
        </w:rPr>
        <w:t xml:space="preserve">a social. </w:t>
      </w:r>
    </w:p>
    <w:p w:rsidR="00B865B8" w:rsidRDefault="005A17D3">
      <w:pPr>
        <w:spacing w:before="240" w:after="24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entre mayor información se dé a conocer respecto del </w:t>
      </w:r>
      <w:r>
        <w:rPr>
          <w:rFonts w:ascii="Palatino Linotype" w:eastAsia="Palatino Linotype" w:hAnsi="Palatino Linotype" w:cs="Palatino Linotype"/>
          <w:b/>
          <w:i/>
          <w:sz w:val="24"/>
          <w:szCs w:val="24"/>
        </w:rPr>
        <w:t xml:space="preserve">estado de fuerza </w:t>
      </w:r>
      <w:r>
        <w:rPr>
          <w:rFonts w:ascii="Palatino Linotype" w:eastAsia="Palatino Linotype" w:hAnsi="Palatino Linotype" w:cs="Palatino Linotype"/>
          <w:sz w:val="24"/>
          <w:szCs w:val="24"/>
        </w:rPr>
        <w:t xml:space="preserve">con que cuentan el Estado y Municipios, mayor es la probabilidad de que la información pueda implementarse como medio para actualizar o potenciar una amenaza en </w:t>
      </w:r>
      <w:r>
        <w:rPr>
          <w:rFonts w:ascii="Palatino Linotype" w:eastAsia="Palatino Linotype" w:hAnsi="Palatino Linotype" w:cs="Palatino Linotype"/>
          <w:sz w:val="24"/>
          <w:szCs w:val="24"/>
        </w:rPr>
        <w:t xml:space="preserve">contra de la seguridad pública de los mismos. </w:t>
      </w:r>
    </w:p>
    <w:p w:rsidR="00B865B8" w:rsidRDefault="005A17D3">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pasa inadvertido para la suscrita que en los casos en los que se publiciten diversas notas o documentos en los que se dé a conocer información estadística sobre el número de elementos de policía con los que</w:t>
      </w:r>
      <w:r>
        <w:rPr>
          <w:rFonts w:ascii="Palatino Linotype" w:eastAsia="Palatino Linotype" w:hAnsi="Palatino Linotype" w:cs="Palatino Linotype"/>
          <w:sz w:val="24"/>
          <w:szCs w:val="24"/>
        </w:rPr>
        <w:t xml:space="preserve"> cuentan los ayuntamientos, esta información no se encuentra actualizada a la fecha de la solicitud, aunado a que no se hace una distinción entre el número de personal operativo y administrativo, por lo tanto, resultaría procedente su entrega.</w:t>
      </w:r>
    </w:p>
    <w:p w:rsidR="00B865B8" w:rsidRDefault="005A17D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consecuen</w:t>
      </w:r>
      <w:r>
        <w:rPr>
          <w:rFonts w:ascii="Palatino Linotype" w:eastAsia="Palatino Linotype" w:hAnsi="Palatino Linotype" w:cs="Palatino Linotype"/>
          <w:color w:val="000000"/>
          <w:sz w:val="24"/>
          <w:szCs w:val="24"/>
        </w:rPr>
        <w:t>cia, la información relativa a los servidores públicos operativos adscritos a instituciones de seguridad pública,  deben recibir un tratamiento de carácter excepcional, y esto es en razón de que,  son los responsables de procurar el orden, la estabilidad y</w:t>
      </w:r>
      <w:r>
        <w:rPr>
          <w:rFonts w:ascii="Palatino Linotype" w:eastAsia="Palatino Linotype" w:hAnsi="Palatino Linotype" w:cs="Palatino Linotype"/>
          <w:color w:val="000000"/>
          <w:sz w:val="24"/>
          <w:szCs w:val="24"/>
        </w:rPr>
        <w:t xml:space="preserve"> la defensa de la sociedad a la que pertenecen, por lo que, se estima que al proporcionar documentales en las que se aprecie dicha información, se revela el número de servidores públicos operativos con funciones de seguridad pública activos en el Sujeto Ob</w:t>
      </w:r>
      <w:r>
        <w:rPr>
          <w:rFonts w:ascii="Palatino Linotype" w:eastAsia="Palatino Linotype" w:hAnsi="Palatino Linotype" w:cs="Palatino Linotype"/>
          <w:color w:val="000000"/>
          <w:sz w:val="24"/>
          <w:szCs w:val="24"/>
        </w:rPr>
        <w:t>ligado; información con la que se da a conocer el estado de fuerza y la capacidad de reacción del órgano público.</w:t>
      </w:r>
    </w:p>
    <w:p w:rsidR="00B865B8" w:rsidRDefault="00B86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865B8" w:rsidRDefault="005A17D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la suscrita considera que es de vital importancia señalar que para los casos en los que los particulares deseen conocer las remun</w:t>
      </w:r>
      <w:r>
        <w:rPr>
          <w:rFonts w:ascii="Palatino Linotype" w:eastAsia="Palatino Linotype" w:hAnsi="Palatino Linotype" w:cs="Palatino Linotype"/>
          <w:color w:val="000000"/>
          <w:sz w:val="24"/>
          <w:szCs w:val="24"/>
        </w:rPr>
        <w:t xml:space="preserve">eraciones de los elementos operativos de las instituciones de seguridad pública, estas se pueden otorgar mediante el tabulador de sueldos, pues </w:t>
      </w:r>
      <w:r>
        <w:rPr>
          <w:rFonts w:ascii="Palatino Linotype" w:eastAsia="Palatino Linotype" w:hAnsi="Palatino Linotype" w:cs="Palatino Linotype"/>
          <w:sz w:val="24"/>
          <w:szCs w:val="24"/>
        </w:rPr>
        <w:t xml:space="preserve">en este soporte se asientan los puestos funcionales y las remuneraciones, lo anterior encuentra sustento en </w:t>
      </w:r>
      <w:r>
        <w:rPr>
          <w:rFonts w:ascii="Palatino Linotype" w:eastAsia="Palatino Linotype" w:hAnsi="Palatino Linotype" w:cs="Palatino Linotype"/>
          <w:color w:val="000000"/>
          <w:sz w:val="24"/>
          <w:szCs w:val="24"/>
        </w:rPr>
        <w:t>el I</w:t>
      </w:r>
      <w:r>
        <w:rPr>
          <w:rFonts w:ascii="Palatino Linotype" w:eastAsia="Palatino Linotype" w:hAnsi="Palatino Linotype" w:cs="Palatino Linotype"/>
          <w:color w:val="000000"/>
          <w:sz w:val="24"/>
          <w:szCs w:val="24"/>
        </w:rPr>
        <w:t>nstructivo del módulo 4 para la entrega del informe trimestral 2022, en dicho documento obran los siguientes elementos:</w:t>
      </w:r>
    </w:p>
    <w:p w:rsidR="00B865B8" w:rsidRDefault="00B86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865B8" w:rsidRDefault="005A17D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noProof/>
        </w:rPr>
        <w:drawing>
          <wp:anchor distT="0" distB="0" distL="114300" distR="114300" simplePos="0" relativeHeight="251658240" behindDoc="0" locked="0" layoutInCell="1" hidden="0" allowOverlap="1">
            <wp:simplePos x="0" y="0"/>
            <wp:positionH relativeFrom="column">
              <wp:posOffset>-269874</wp:posOffset>
            </wp:positionH>
            <wp:positionV relativeFrom="paragraph">
              <wp:posOffset>278765</wp:posOffset>
            </wp:positionV>
            <wp:extent cx="5669280" cy="5453380"/>
            <wp:effectExtent l="0" t="0" r="0" b="0"/>
            <wp:wrapTopAndBottom distT="0" distB="0"/>
            <wp:docPr id="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69280" cy="5453380"/>
                    </a:xfrm>
                    <a:prstGeom prst="rect">
                      <a:avLst/>
                    </a:prstGeom>
                    <a:ln/>
                  </pic:spPr>
                </pic:pic>
              </a:graphicData>
            </a:graphic>
          </wp:anchor>
        </w:drawing>
      </w:r>
    </w:p>
    <w:p w:rsidR="00B865B8" w:rsidRDefault="00B86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865B8" w:rsidRDefault="00B86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865B8" w:rsidRDefault="00B865B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865B8" w:rsidRDefault="005A17D3">
      <w:pPr>
        <w:pBdr>
          <w:top w:val="nil"/>
          <w:left w:val="nil"/>
          <w:bottom w:val="nil"/>
          <w:right w:val="nil"/>
          <w:between w:val="nil"/>
        </w:pBdr>
        <w:spacing w:after="120" w:line="360" w:lineRule="auto"/>
        <w:jc w:val="both"/>
        <w:rPr>
          <w:rFonts w:ascii="Palatino Linotype" w:eastAsia="Palatino Linotype" w:hAnsi="Palatino Linotype" w:cs="Palatino Linotype"/>
          <w:color w:val="000000"/>
          <w:sz w:val="24"/>
          <w:szCs w:val="24"/>
        </w:rPr>
      </w:pPr>
      <w:r>
        <w:rPr>
          <w:noProof/>
        </w:rPr>
        <w:drawing>
          <wp:anchor distT="0" distB="0" distL="114300" distR="114300" simplePos="0" relativeHeight="251659264" behindDoc="0" locked="0" layoutInCell="1" hidden="0" allowOverlap="1">
            <wp:simplePos x="0" y="0"/>
            <wp:positionH relativeFrom="column">
              <wp:posOffset>-88899</wp:posOffset>
            </wp:positionH>
            <wp:positionV relativeFrom="paragraph">
              <wp:posOffset>19050</wp:posOffset>
            </wp:positionV>
            <wp:extent cx="5572760" cy="7069455"/>
            <wp:effectExtent l="0" t="0" r="0" b="0"/>
            <wp:wrapTopAndBottom distT="0" distB="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572760" cy="7069455"/>
                    </a:xfrm>
                    <a:prstGeom prst="rect">
                      <a:avLst/>
                    </a:prstGeom>
                    <a:ln/>
                  </pic:spPr>
                </pic:pic>
              </a:graphicData>
            </a:graphic>
          </wp:anchor>
        </w:drawing>
      </w:r>
    </w:p>
    <w:p w:rsidR="00B865B8" w:rsidRDefault="005A17D3">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manera que con la consulta de este documento podrá visualizarse con claridad el cargo y la remuneración sin conocer el estado de fuerza de las entidades públicas y así no se restringe el derecho de acceso a la información de los particulares; es por tod</w:t>
      </w:r>
      <w:r>
        <w:rPr>
          <w:rFonts w:ascii="Palatino Linotype" w:eastAsia="Palatino Linotype" w:hAnsi="Palatino Linotype" w:cs="Palatino Linotype"/>
          <w:sz w:val="24"/>
          <w:szCs w:val="24"/>
        </w:rPr>
        <w:t>o lo anteriormente expuesto que considero que en las líneas argumentativas que anteceden, se acreditó de manera fehaciente que esta información debe ser reservada pues su entrega revela datos que pudieran ser aprovechados para conocer la capacidad de reacc</w:t>
      </w:r>
      <w:r>
        <w:rPr>
          <w:rFonts w:ascii="Palatino Linotype" w:eastAsia="Palatino Linotype" w:hAnsi="Palatino Linotype" w:cs="Palatino Linotype"/>
          <w:sz w:val="24"/>
          <w:szCs w:val="24"/>
        </w:rPr>
        <w:t xml:space="preserve">ión de las instituciones encargadas de la seguridad pública y </w:t>
      </w:r>
      <w:r>
        <w:rPr>
          <w:rFonts w:ascii="Palatino Linotype" w:eastAsia="Palatino Linotype" w:hAnsi="Palatino Linotype" w:cs="Palatino Linotype"/>
          <w:b/>
          <w:sz w:val="24"/>
          <w:szCs w:val="24"/>
          <w:u w:val="single"/>
        </w:rPr>
        <w:t xml:space="preserve">facilitaría a las cédulas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rea</w:t>
      </w:r>
      <w:r>
        <w:rPr>
          <w:rFonts w:ascii="Palatino Linotype" w:eastAsia="Palatino Linotype" w:hAnsi="Palatino Linotype" w:cs="Palatino Linotype"/>
          <w:sz w:val="24"/>
          <w:szCs w:val="24"/>
        </w:rPr>
        <w:t>lizar actos para amenazar, inhibir, extorsionar o corromper las funciones del personal operativo, lo que causaría una vulneración a la Seguridad Municipal, por lo tanto la suscrita no comparte las consideraciones vertidas en la resolución respecto del trat</w:t>
      </w:r>
      <w:r>
        <w:rPr>
          <w:rFonts w:ascii="Palatino Linotype" w:eastAsia="Palatino Linotype" w:hAnsi="Palatino Linotype" w:cs="Palatino Linotype"/>
          <w:sz w:val="24"/>
          <w:szCs w:val="24"/>
        </w:rPr>
        <w:t>amiento que se le da a la información relativa a elementos operativos de instituciones de seguridad pública, y  por ende formula el presente voto particular.</w:t>
      </w:r>
      <w:bookmarkStart w:id="2" w:name="_GoBack"/>
      <w:bookmarkEnd w:id="2"/>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bookmarkStart w:id="3" w:name="_heading=h.1fob9te" w:colFirst="0" w:colLast="0"/>
      <w:bookmarkEnd w:id="3"/>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p w:rsidR="00B865B8" w:rsidRDefault="00B865B8">
      <w:pPr>
        <w:spacing w:before="240" w:after="240" w:line="360" w:lineRule="auto"/>
        <w:ind w:right="139"/>
        <w:jc w:val="both"/>
        <w:rPr>
          <w:rFonts w:ascii="Palatino Linotype" w:eastAsia="Palatino Linotype" w:hAnsi="Palatino Linotype" w:cs="Palatino Linotype"/>
          <w:sz w:val="24"/>
          <w:szCs w:val="24"/>
        </w:rPr>
      </w:pPr>
    </w:p>
    <w:sectPr w:rsidR="00B865B8">
      <w:headerReference w:type="default" r:id="rId10"/>
      <w:pgSz w:w="12240" w:h="15840"/>
      <w:pgMar w:top="1871" w:right="1327" w:bottom="2836" w:left="1985" w:header="709" w:footer="58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A17D3">
      <w:pPr>
        <w:spacing w:after="0" w:line="240" w:lineRule="auto"/>
      </w:pPr>
      <w:r>
        <w:separator/>
      </w:r>
    </w:p>
  </w:endnote>
  <w:endnote w:type="continuationSeparator" w:id="0">
    <w:p w:rsidR="00000000" w:rsidRDefault="005A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A17D3">
      <w:pPr>
        <w:spacing w:after="0" w:line="240" w:lineRule="auto"/>
      </w:pPr>
      <w:r>
        <w:separator/>
      </w:r>
    </w:p>
  </w:footnote>
  <w:footnote w:type="continuationSeparator" w:id="0">
    <w:p w:rsidR="00000000" w:rsidRDefault="005A1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65B8" w:rsidRDefault="005A17D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noProof/>
      </w:rPr>
      <w:drawing>
        <wp:anchor distT="0" distB="0" distL="0" distR="0" simplePos="0" relativeHeight="251658240" behindDoc="1" locked="0" layoutInCell="1" hidden="0" allowOverlap="1">
          <wp:simplePos x="0" y="0"/>
          <wp:positionH relativeFrom="column">
            <wp:posOffset>-1341751</wp:posOffset>
          </wp:positionH>
          <wp:positionV relativeFrom="paragraph">
            <wp:posOffset>-453386</wp:posOffset>
          </wp:positionV>
          <wp:extent cx="7510145" cy="9883775"/>
          <wp:effectExtent l="0" t="0" r="0" b="0"/>
          <wp:wrapNone/>
          <wp:docPr id="9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10145" cy="9883775"/>
                  </a:xfrm>
                  <a:prstGeom prst="rect">
                    <a:avLst/>
                  </a:prstGeom>
                  <a:ln/>
                </pic:spPr>
              </pic:pic>
            </a:graphicData>
          </a:graphic>
        </wp:anchor>
      </w:drawing>
    </w:r>
  </w:p>
  <w:p w:rsidR="00B865B8" w:rsidRDefault="005A17D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p>
  <w:p w:rsidR="00B865B8" w:rsidRDefault="005A17D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RECURSO DE REVISIÓN: 15201/INFOEM/IP/RR/2022 </w:t>
    </w:r>
  </w:p>
  <w:p w:rsidR="00B865B8" w:rsidRDefault="00B865B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525984"/>
    <w:multiLevelType w:val="multilevel"/>
    <w:tmpl w:val="E24618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B8"/>
    <w:rsid w:val="005A17D3"/>
    <w:rsid w:val="00B865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B329FF-3FBE-4E3D-8ABC-360496619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customStyle="1" w:styleId="Citas">
    <w:name w:val="Citas"/>
    <w:basedOn w:val="Normal"/>
    <w:qFormat/>
    <w:rsid w:val="00191E4D"/>
    <w:pPr>
      <w:spacing w:before="240" w:line="360" w:lineRule="auto"/>
      <w:ind w:left="851" w:right="851"/>
      <w:jc w:val="both"/>
    </w:pPr>
    <w:rPr>
      <w:rFonts w:ascii="Palatino Linotype" w:hAnsi="Palatino Linotype" w:cs="Arial"/>
      <w:i/>
    </w:rPr>
  </w:style>
  <w:style w:type="paragraph" w:styleId="Sinespaciado">
    <w:name w:val="No Spacing"/>
    <w:aliases w:val="Francesa,INAI"/>
    <w:link w:val="SinespaciadoCar"/>
    <w:uiPriority w:val="1"/>
    <w:qFormat/>
    <w:rsid w:val="00AB487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4878"/>
    <w:rPr>
      <w:rFonts w:ascii="Times New Roman" w:eastAsia="Times New Roman" w:hAnsi="Times New Roman" w:cs="Times New Roman"/>
      <w:sz w:val="24"/>
      <w:szCs w:val="24"/>
      <w:lang w:eastAsia="es-ES"/>
    </w:rPr>
  </w:style>
  <w:style w:type="paragraph" w:customStyle="1" w:styleId="INFOEM">
    <w:name w:val="INFOEM"/>
    <w:basedOn w:val="Normal"/>
    <w:qFormat/>
    <w:rsid w:val="00A430B5"/>
    <w:pPr>
      <w:spacing w:before="240" w:line="360" w:lineRule="auto"/>
      <w:ind w:left="851" w:right="851"/>
      <w:jc w:val="both"/>
    </w:pPr>
    <w:rPr>
      <w:rFonts w:ascii="Palatino Linotype" w:hAnsi="Palatino Linotype"/>
      <w:i/>
      <w:szCs w:val="1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Fundamentos">
    <w:name w:val="Fundamentos"/>
    <w:basedOn w:val="Normal"/>
    <w:qFormat/>
    <w:rsid w:val="000B7742"/>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UH/uYFYoE8s5EaJqFT+Gng8fw==">CgMxLjAyCGguZ2pkZ3hzMgloLjMwajB6bGwyCWguMWZvYjl0ZTgAciExZG5UWTJwbkNDT1ctNGFZT3BzZUVpU3ZnX1dfdURMTlY=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2500</Words>
  <Characters>13754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2023-09-08T20:25:00Z</dcterms:created>
  <dcterms:modified xsi:type="dcterms:W3CDTF">2023-09-08T20:25:00Z</dcterms:modified>
</cp:coreProperties>
</file>