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05">
      <w:pPr>
        <w:pStyle w:val="Heading1"/>
        <w:spacing w:before="271" w:line="360" w:lineRule="auto"/>
        <w:ind w:right="115" w:firstLine="682"/>
        <w:rPr/>
      </w:pPr>
      <w:r w:rsidDel="00000000" w:rsidR="00000000" w:rsidRPr="00000000">
        <w:rPr>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OCTAVA SESIÓN ORDINARIA DEL VEINTICINCO DE OCTUBRE DE DOS MIL VEINTITRÉS, EN EL RECURSO DE REVISIÓN 01470/INFOEM/IP/RR/2023.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before="1" w:line="360" w:lineRule="auto"/>
        <w:ind w:left="682" w:right="116"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la </w:t>
      </w:r>
      <w:r w:rsidDel="00000000" w:rsidR="00000000" w:rsidRPr="00000000">
        <w:rPr>
          <w:b w:val="1"/>
          <w:sz w:val="24"/>
          <w:szCs w:val="24"/>
          <w:rtl w:val="0"/>
        </w:rPr>
        <w:t xml:space="preserve">Comisionada Guadalupe Ramírez Peña</w:t>
      </w:r>
      <w:r w:rsidDel="00000000" w:rsidR="00000000" w:rsidRPr="00000000">
        <w:rPr>
          <w:sz w:val="24"/>
          <w:szCs w:val="24"/>
          <w:rtl w:val="0"/>
        </w:rPr>
        <w:t xml:space="preserve">, emite </w:t>
      </w:r>
      <w:r w:rsidDel="00000000" w:rsidR="00000000" w:rsidRPr="00000000">
        <w:rPr>
          <w:b w:val="1"/>
          <w:sz w:val="24"/>
          <w:szCs w:val="24"/>
          <w:rtl w:val="0"/>
        </w:rPr>
        <w:t xml:space="preserve">VOTO PARTICULAR </w:t>
      </w:r>
      <w:r w:rsidDel="00000000" w:rsidR="00000000" w:rsidRPr="00000000">
        <w:rPr>
          <w:sz w:val="24"/>
          <w:szCs w:val="24"/>
          <w:rtl w:val="0"/>
        </w:rPr>
        <w:t xml:space="preserve">respecto a la resolución dictada en el recurso de revisión número </w:t>
      </w:r>
      <w:r w:rsidDel="00000000" w:rsidR="00000000" w:rsidRPr="00000000">
        <w:rPr>
          <w:b w:val="1"/>
          <w:sz w:val="24"/>
          <w:szCs w:val="24"/>
          <w:rtl w:val="0"/>
        </w:rPr>
        <w:t xml:space="preserve">01470/INFOEM/IP/RR/2023</w:t>
      </w:r>
      <w:r w:rsidDel="00000000" w:rsidR="00000000" w:rsidRPr="00000000">
        <w:rPr>
          <w:sz w:val="24"/>
          <w:szCs w:val="24"/>
          <w:rtl w:val="0"/>
        </w:rPr>
        <w:t xml:space="preserve">, pronunciada por el Pleno de este Instituto ante el proyecto presentado por </w:t>
      </w:r>
      <w:r w:rsidDel="00000000" w:rsidR="00000000" w:rsidRPr="00000000">
        <w:rPr>
          <w:b w:val="1"/>
          <w:sz w:val="24"/>
          <w:szCs w:val="24"/>
          <w:rtl w:val="0"/>
        </w:rPr>
        <w:t xml:space="preserve">el Comisionado Presidente José Martínez Vilchis</w:t>
      </w:r>
      <w:r w:rsidDel="00000000" w:rsidR="00000000" w:rsidRPr="00000000">
        <w:rPr>
          <w:sz w:val="24"/>
          <w:szCs w:val="24"/>
          <w:rtl w:val="0"/>
        </w:rPr>
        <w:t xml:space="preserve">, presentado conforme al criterio mayoritario y que es al tenor siguiente: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asunto que nos ocupa,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solicitó al Ayuntamiento de Toluca, le </w:t>
      </w:r>
      <w:r w:rsidDel="00000000" w:rsidR="00000000" w:rsidRPr="00000000">
        <w:rPr>
          <w:sz w:val="24"/>
          <w:szCs w:val="24"/>
          <w:rtl w:val="0"/>
        </w:rPr>
        <w:t xml:space="preserve">proporcionará</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la siguiente información:</w:t>
      </w:r>
    </w:p>
    <w:p w:rsidR="00000000" w:rsidDel="00000000" w:rsidP="00000000" w:rsidRDefault="00000000" w:rsidRPr="00000000" w14:paraId="0000000A">
      <w:pPr>
        <w:spacing w:before="120" w:line="276" w:lineRule="auto"/>
        <w:ind w:left="1248" w:right="1022" w:firstLine="0"/>
        <w:jc w:val="both"/>
        <w:rPr>
          <w:i w:val="1"/>
          <w:sz w:val="22"/>
          <w:szCs w:val="22"/>
        </w:rPr>
      </w:pPr>
      <w:r w:rsidDel="00000000" w:rsidR="00000000" w:rsidRPr="00000000">
        <w:rPr>
          <w:i w:val="1"/>
          <w:sz w:val="22"/>
          <w:szCs w:val="22"/>
          <w:rtl w:val="0"/>
        </w:rPr>
        <w:t xml:space="preserve">“Solicito todas las altas, bajas, renuncias, listas de asistencia, curriculums vitae, ultimo grado de estudios, gafetes o credenciales institucionales, de todo el personal que fue contratado y dado de baja desde enero 2022 a 2023.” (Sic)</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Rule="auto"/>
        <w:ind w:left="0" w:right="120" w:firstLine="0"/>
        <w:jc w:val="right"/>
        <w:rPr>
          <w:rFonts w:ascii="Arial" w:cs="Arial" w:eastAsia="Arial" w:hAnsi="Arial"/>
          <w:b w:val="1"/>
          <w:sz w:val="20"/>
          <w:szCs w:val="20"/>
        </w:rPr>
        <w:sectPr>
          <w:pgSz w:h="15840" w:w="12240" w:orient="portrait"/>
          <w:pgMar w:bottom="0" w:top="580" w:left="1020" w:right="1580" w:header="360" w:footer="360"/>
          <w:pgNumType w:start="1"/>
        </w:sectPr>
      </w:pPr>
      <w:r w:rsidDel="00000000" w:rsidR="00000000" w:rsidRPr="00000000">
        <w:rPr>
          <w:rFonts w:ascii="Arial" w:cs="Arial" w:eastAsia="Arial" w:hAnsi="Arial"/>
          <w:b w:val="1"/>
          <w:sz w:val="20"/>
          <w:szCs w:val="20"/>
          <w:rtl w:val="0"/>
        </w:rPr>
        <w:t xml:space="preserve">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2" w:lineRule="auto"/>
        <w:ind w:left="682" w:right="7.204724409448886"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Posteriormente 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proporcionó los siguientes</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archivos electrónicos: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Respuesta 403.pdf</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Oficio sin número, de fecha 28 de febrero de 2023, cuyo asunto reza: “Respuesta a la solicitud de información 00403/TOLUCA/IP/2023”, signado por la Titular de la Unidad de Transparencia, mediante el cual informa lo siguiente: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spacing w:before="0" w:line="276" w:lineRule="auto"/>
        <w:ind w:left="2100" w:right="821" w:firstLine="0"/>
        <w:jc w:val="both"/>
        <w:rPr>
          <w:i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hago de su conocimiento que la Dirección General de Administración y Servidor Público Habilitado, informó a la que suscribe que en fecha catorce de febrero del presente año, fue aprobado por el Comité de Transparencia del Municipio de Toluca Administración 2022-2024, en la Centésima Cuadragésima Sesión Extraordinaria con el número de acuerdo AT/CT/01/2023, el Cambio de Modalidad, para que dicha información pueda ser en Consulta Directa, por lo que el solicitante podrá acudir a las oficinas que ocupa la Dirección de Recursos Humanos dependiente de la Dirección General de Administración, ubicadas en Plaza Fray Andrés de castro edificio segundo piso, colonia Centro, Toluca Estado de México, a partir del día primero de marzo del presente año, en un horario de 09:00 a 15:00 horas donde el servidor público Oscar Rodríguez Pérez, será el encargado de atenderle poniendo a su disposición el siguiente número de contacto, 7222761900, ext. 602.</w:t>
      </w:r>
    </w:p>
    <w:p w:rsidR="00000000" w:rsidDel="00000000" w:rsidP="00000000" w:rsidRDefault="00000000" w:rsidRPr="00000000" w14:paraId="0000001E">
      <w:pPr>
        <w:spacing w:before="0" w:line="276" w:lineRule="auto"/>
        <w:ind w:left="2100" w:right="822" w:firstLine="0"/>
        <w:jc w:val="both"/>
        <w:rPr>
          <w:sz w:val="22"/>
          <w:szCs w:val="22"/>
        </w:rPr>
      </w:pPr>
      <w:r w:rsidDel="00000000" w:rsidR="00000000" w:rsidRPr="00000000">
        <w:rPr>
          <w:i w:val="1"/>
          <w:sz w:val="22"/>
          <w:szCs w:val="22"/>
          <w:rtl w:val="0"/>
        </w:rPr>
        <w:t xml:space="preserve">Asimismo, se aprobó mediante acuerdo AT/CT/02/2023 la reserva de la información de la Dirección General de Seguridad y Protección y mediante acuerdo AT/CT/03/2023 la clasificación como confidencial en partes de las renuncias, listas de asistencia, documento que comprueba el último grado de estudios y gafete o credencial del servidor público; para el caso de que el solicitante; requiera llevarse alguno de estos, lo hará en versión pública</w:t>
      </w:r>
      <w:r w:rsidDel="00000000" w:rsidR="00000000" w:rsidRPr="00000000">
        <w:rPr>
          <w:sz w:val="22"/>
          <w:szCs w:val="22"/>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spacing w:before="1"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2A">
      <w:pPr>
        <w:spacing w:before="273" w:line="360" w:lineRule="auto"/>
        <w:ind w:left="682" w:right="117" w:firstLine="0"/>
        <w:jc w:val="both"/>
        <w:rPr>
          <w:sz w:val="24"/>
          <w:szCs w:val="24"/>
        </w:rPr>
      </w:pPr>
      <w:r w:rsidDel="00000000" w:rsidR="00000000" w:rsidRPr="00000000">
        <w:rPr>
          <w:sz w:val="24"/>
          <w:szCs w:val="24"/>
          <w:rtl w:val="0"/>
        </w:rPr>
        <w:t xml:space="preserve">“</w:t>
      </w:r>
      <w:r w:rsidDel="00000000" w:rsidR="00000000" w:rsidRPr="00000000">
        <w:rPr>
          <w:b w:val="1"/>
          <w:i w:val="1"/>
          <w:sz w:val="24"/>
          <w:szCs w:val="24"/>
          <w:rtl w:val="0"/>
        </w:rPr>
        <w:t xml:space="preserve">Acta 140.pdf</w:t>
      </w:r>
      <w:r w:rsidDel="00000000" w:rsidR="00000000" w:rsidRPr="00000000">
        <w:rPr>
          <w:sz w:val="24"/>
          <w:szCs w:val="24"/>
          <w:rtl w:val="0"/>
        </w:rPr>
        <w:t xml:space="preserve">”.- Acta de la Centésima Cuadragésima Sesión Extraordinaria 2023 del Comité de Transparencia del Municipio de Toluca Administración 2022-2024, mediante la cual se aprueba clasificar como información reservada de manera total, por dos años la relativa a renuncias, listas de asistencia, documento que comprueba último grado de estudios y gafete o credencial </w:t>
      </w:r>
      <w:r w:rsidDel="00000000" w:rsidR="00000000" w:rsidRPr="00000000">
        <w:rPr>
          <w:b w:val="1"/>
          <w:sz w:val="24"/>
          <w:szCs w:val="24"/>
          <w:rtl w:val="0"/>
        </w:rPr>
        <w:t xml:space="preserve">de los servidores públicos adscritos a la Dirección General de Seguridad y Protección</w:t>
      </w:r>
      <w:r w:rsidDel="00000000" w:rsidR="00000000" w:rsidRPr="00000000">
        <w:rPr>
          <w:sz w:val="24"/>
          <w:szCs w:val="24"/>
          <w:rtl w:val="0"/>
        </w:rPr>
        <w:t xml:space="preserve">. (Punto 4 del orden del día)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También se aprueba como información confidencial de forma parcial los datos personales contenidos en renuncias, listas de asistencia, documento que comprueba último grado de estudios y gafete o credencial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sin especificar de qué servidor público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(punto 5 del orden del día).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desahogo de la Sesión del Acta en análisis, se aprecia que en el punto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Tercero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 aprueba la propuesta de cambio de modalidad, por consulta en sitio, al manifestar lo siguiente: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before="0" w:line="276" w:lineRule="auto"/>
        <w:ind w:left="1248" w:right="1018" w:firstLine="0"/>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Director General de Administración y Servidor Público Habilitado, quien solicita el cambio de modalidad, por consulta en sitio, argumentando que la cantidad de documentos que son solicitados, generan un peso informático de 15,678 Megabytes, lo que sobre pasa las capacidades técnicas y humanas del área que encabeza, aunado a la limitación del sistema SAIMEX que permite subir documentos de hasta 550 Megabytes</w:t>
      </w:r>
      <w:r w:rsidDel="00000000" w:rsidR="00000000" w:rsidRPr="00000000">
        <w:rPr>
          <w:sz w:val="22"/>
          <w:szCs w:val="22"/>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5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40">
      <w:pPr>
        <w:spacing w:before="271" w:line="360" w:lineRule="auto"/>
        <w:ind w:left="682" w:right="117" w:firstLine="0"/>
        <w:jc w:val="both"/>
        <w:rPr>
          <w:i w:val="1"/>
          <w:sz w:val="24"/>
          <w:szCs w:val="24"/>
        </w:rPr>
      </w:pPr>
      <w:r w:rsidDel="00000000" w:rsidR="00000000" w:rsidRPr="00000000">
        <w:rPr>
          <w:sz w:val="24"/>
          <w:szCs w:val="24"/>
          <w:rtl w:val="0"/>
        </w:rPr>
        <w:t xml:space="preserve">Una vez conocido este acto, la ahora </w:t>
      </w:r>
      <w:r w:rsidDel="00000000" w:rsidR="00000000" w:rsidRPr="00000000">
        <w:rPr>
          <w:b w:val="1"/>
          <w:sz w:val="24"/>
          <w:szCs w:val="24"/>
          <w:rtl w:val="0"/>
        </w:rPr>
        <w:t xml:space="preserve">parte Recurrente </w:t>
      </w:r>
      <w:r w:rsidDel="00000000" w:rsidR="00000000" w:rsidRPr="00000000">
        <w:rPr>
          <w:sz w:val="24"/>
          <w:szCs w:val="24"/>
          <w:rtl w:val="0"/>
        </w:rPr>
        <w:t xml:space="preserve">interpuso el medio de impugnación citado al rubro, expresando como motivo de inconformidad lo siguiente: “L</w:t>
      </w:r>
      <w:r w:rsidDel="00000000" w:rsidR="00000000" w:rsidRPr="00000000">
        <w:rPr>
          <w:i w:val="1"/>
          <w:sz w:val="24"/>
          <w:szCs w:val="24"/>
          <w:rtl w:val="0"/>
        </w:rPr>
        <w:t xml:space="preserve">a respuesta fue entregada de manera incompleta</w:t>
      </w:r>
      <w:r w:rsidDel="00000000" w:rsidR="00000000" w:rsidRPr="00000000">
        <w:rPr>
          <w:sz w:val="24"/>
          <w:szCs w:val="24"/>
          <w:rtl w:val="0"/>
        </w:rPr>
        <w:t xml:space="preserve">.” </w:t>
      </w:r>
      <w:r w:rsidDel="00000000" w:rsidR="00000000" w:rsidRPr="00000000">
        <w:rPr>
          <w:i w:val="1"/>
          <w:sz w:val="24"/>
          <w:szCs w:val="24"/>
          <w:rtl w:val="0"/>
        </w:rPr>
        <w:t xml:space="preserve">(Sic)}</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Posteriormente se admitió el presente medio de impugnación que nos ocupa y se determinó un plazo de siete días hábiles en el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medularmente ratificó su respuesta inicial. Por cuanto hace 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la parte 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 tiene que esta fue omisa en remitir sus manifestaciones, por lo tanto, se tiene por precluido su derecho para tal efecto.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before="0" w:line="360" w:lineRule="auto"/>
        <w:ind w:left="682" w:right="117" w:firstLine="0"/>
        <w:jc w:val="both"/>
        <w:rPr>
          <w:b w:val="1"/>
          <w:sz w:val="24"/>
          <w:szCs w:val="24"/>
        </w:rPr>
      </w:pPr>
      <w:r w:rsidDel="00000000" w:rsidR="00000000" w:rsidRPr="00000000">
        <w:rPr>
          <w:sz w:val="24"/>
          <w:szCs w:val="24"/>
          <w:rtl w:val="0"/>
        </w:rPr>
        <w:t xml:space="preserve">Así las cosas, derivado de un análisis realizado por el Comisionado Ponente</w:t>
      </w:r>
      <w:r w:rsidDel="00000000" w:rsidR="00000000" w:rsidRPr="00000000">
        <w:rPr>
          <w:b w:val="1"/>
          <w:sz w:val="24"/>
          <w:szCs w:val="24"/>
          <w:rtl w:val="0"/>
        </w:rPr>
        <w:t xml:space="preserve">, se determinó MODIFICAR la respuesta del recurso de revisión y ordenar la entrega de la información, consistente en lo siguiente:</w:t>
      </w:r>
    </w:p>
    <w:p w:rsidR="00000000" w:rsidDel="00000000" w:rsidP="00000000" w:rsidRDefault="00000000" w:rsidRPr="00000000" w14:paraId="00000047">
      <w:pPr>
        <w:spacing w:before="120" w:line="276" w:lineRule="auto"/>
        <w:ind w:left="1248" w:right="1016" w:firstLine="0"/>
        <w:jc w:val="both"/>
        <w:rPr>
          <w:i w:val="1"/>
          <w:sz w:val="22"/>
          <w:szCs w:val="22"/>
        </w:rPr>
      </w:pPr>
      <w:r w:rsidDel="00000000" w:rsidR="00000000" w:rsidRPr="00000000">
        <w:rPr>
          <w:i w:val="1"/>
          <w:sz w:val="22"/>
          <w:szCs w:val="22"/>
          <w:rtl w:val="0"/>
        </w:rPr>
        <w:t xml:space="preserve">“PRIMERO. Se MODIFICA la respuesta entregada por el Sujeto Obligado a la solicitud de información número 00403/TOLUCA/IP/2022, al resultar fundadas las razones o motivos de inconformidad que manifestó la recurrente, en términos del Considerando CUARTO de la presente resolución.</w:t>
      </w:r>
    </w:p>
    <w:p w:rsidR="00000000" w:rsidDel="00000000" w:rsidP="00000000" w:rsidRDefault="00000000" w:rsidRPr="00000000" w14:paraId="00000048">
      <w:pPr>
        <w:spacing w:before="161" w:line="276" w:lineRule="auto"/>
        <w:ind w:left="1248" w:right="1017" w:firstLine="0"/>
        <w:jc w:val="both"/>
        <w:rPr>
          <w:i w:val="1"/>
          <w:sz w:val="22"/>
          <w:szCs w:val="22"/>
        </w:rPr>
      </w:pPr>
      <w:r w:rsidDel="00000000" w:rsidR="00000000" w:rsidRPr="00000000">
        <w:rPr>
          <w:i w:val="1"/>
          <w:sz w:val="22"/>
          <w:szCs w:val="22"/>
          <w:rtl w:val="0"/>
        </w:rPr>
        <w:t xml:space="preserve">SEGUNDO. Se ORDENA al Sujeto Obligado 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68"/>
        </w:tabs>
        <w:spacing w:after="0" w:before="156" w:line="240" w:lineRule="auto"/>
        <w:ind w:left="1468" w:right="0" w:hanging="22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altas y bajas,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68"/>
        </w:tabs>
        <w:spacing w:after="0" w:before="268" w:line="240" w:lineRule="auto"/>
        <w:ind w:left="1468" w:right="0" w:hanging="22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Renuncias,</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96"/>
        </w:tabs>
        <w:spacing w:after="0" w:before="207" w:line="273" w:lineRule="auto"/>
        <w:ind w:left="1248" w:right="110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Listas de asistencia, o la autorización emitida por autoridad competente para omitir la elaboración del control o registro de asistencia de determinados servidores públicos.</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68"/>
        </w:tabs>
        <w:spacing w:after="0" w:before="165" w:line="240" w:lineRule="auto"/>
        <w:ind w:left="1468" w:right="0" w:hanging="22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Currículums vitae,</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68"/>
        </w:tabs>
        <w:spacing w:after="0" w:before="205" w:line="240" w:lineRule="auto"/>
        <w:ind w:left="1468" w:right="0" w:hanging="22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Comprobante del ultimo grado o nivel de estudios, y</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68"/>
        </w:tabs>
        <w:spacing w:after="0" w:before="206" w:line="240" w:lineRule="auto"/>
        <w:ind w:left="1468" w:right="0" w:hanging="22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Gafetes o credenciales institucionales.</w:t>
      </w:r>
    </w:p>
    <w:p w:rsidR="00000000" w:rsidDel="00000000" w:rsidP="00000000" w:rsidRDefault="00000000" w:rsidRPr="00000000" w14:paraId="00000059">
      <w:pPr>
        <w:spacing w:before="207" w:line="273" w:lineRule="auto"/>
        <w:ind w:left="1248" w:right="1112" w:firstLine="0"/>
        <w:jc w:val="both"/>
        <w:rPr>
          <w:i w:val="1"/>
          <w:sz w:val="22"/>
          <w:szCs w:val="22"/>
        </w:rPr>
      </w:pPr>
      <w:r w:rsidDel="00000000" w:rsidR="00000000" w:rsidRPr="00000000">
        <w:rPr>
          <w:i w:val="1"/>
          <w:sz w:val="22"/>
          <w:szCs w:val="22"/>
          <w:rtl w:val="0"/>
        </w:rPr>
        <w:t xml:space="preserve">Todo lo anterior de todo el personal que fue contratado y dado de baja desde el primero de enero dos mil veintidós al siete de febrero de dos mil veintitrés.</w:t>
      </w:r>
    </w:p>
    <w:p w:rsidR="00000000" w:rsidDel="00000000" w:rsidP="00000000" w:rsidRDefault="00000000" w:rsidRPr="00000000" w14:paraId="0000005A">
      <w:pPr>
        <w:spacing w:before="166" w:line="276" w:lineRule="auto"/>
        <w:ind w:left="1248" w:right="1110" w:firstLine="0"/>
        <w:jc w:val="both"/>
        <w:rPr>
          <w:i w:val="1"/>
          <w:sz w:val="22"/>
          <w:szCs w:val="22"/>
        </w:rPr>
      </w:pPr>
      <w:r w:rsidDel="00000000" w:rsidR="00000000" w:rsidRPr="00000000">
        <w:rPr>
          <w:i w:val="1"/>
          <w:sz w:val="22"/>
          <w:szCs w:val="22"/>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00000" w:rsidDel="00000000" w:rsidP="00000000" w:rsidRDefault="00000000" w:rsidRPr="00000000" w14:paraId="0000005B">
      <w:pPr>
        <w:spacing w:before="160" w:line="276" w:lineRule="auto"/>
        <w:ind w:left="1248" w:right="1108" w:firstLine="0"/>
        <w:jc w:val="both"/>
        <w:rPr>
          <w:i w:val="1"/>
          <w:sz w:val="22"/>
          <w:szCs w:val="22"/>
        </w:rPr>
      </w:pPr>
      <w:r w:rsidDel="00000000" w:rsidR="00000000" w:rsidRPr="00000000">
        <w:rPr>
          <w:i w:val="1"/>
          <w:sz w:val="22"/>
          <w:szCs w:val="22"/>
          <w:rtl w:val="0"/>
        </w:rPr>
        <w:t xml:space="preserve">Para el caso de no contar con la información contenida en el punto 3 del Resolutivo Segundo deberá emitir acuerdo de inexistencia en términos de los artículos 169 y 170 de la Ley de Transparencia y Acceso a la Información Pública del Estado de México y Municipios.</w:t>
      </w:r>
    </w:p>
    <w:p w:rsidR="00000000" w:rsidDel="00000000" w:rsidP="00000000" w:rsidRDefault="00000000" w:rsidRPr="00000000" w14:paraId="0000005C">
      <w:pPr>
        <w:spacing w:before="159" w:line="276" w:lineRule="auto"/>
        <w:ind w:left="1248" w:right="1109" w:firstLine="0"/>
        <w:jc w:val="both"/>
        <w:rPr>
          <w:i w:val="1"/>
          <w:sz w:val="22"/>
          <w:szCs w:val="22"/>
        </w:rPr>
      </w:pPr>
      <w:r w:rsidDel="00000000" w:rsidR="00000000" w:rsidRPr="00000000">
        <w:rPr>
          <w:i w:val="1"/>
          <w:sz w:val="22"/>
          <w:szCs w:val="22"/>
          <w:rtl w:val="0"/>
        </w:rPr>
        <w:t xml:space="preserve">Para el caso de no contar con el documento que dé cuenta del último grado o nivel de estudios de los integrantes del cabildo bastara que así lo haga saber al hoy recurrente en términos del segundo párrafo del artículo 19 de la Ley de Transparencia y Acceso a la Información Pública del Estado de México y Municipios.</w:t>
      </w:r>
    </w:p>
    <w:p w:rsidR="00000000" w:rsidDel="00000000" w:rsidP="00000000" w:rsidRDefault="00000000" w:rsidRPr="00000000" w14:paraId="0000005D">
      <w:pPr>
        <w:spacing w:before="161" w:line="276" w:lineRule="auto"/>
        <w:ind w:left="1248" w:right="1104" w:firstLine="0"/>
        <w:jc w:val="both"/>
        <w:rPr>
          <w:i w:val="1"/>
          <w:sz w:val="22"/>
          <w:szCs w:val="22"/>
        </w:rPr>
      </w:pPr>
      <w:r w:rsidDel="00000000" w:rsidR="00000000" w:rsidRPr="00000000">
        <w:rPr>
          <w:i w:val="1"/>
          <w:sz w:val="22"/>
          <w:szCs w:val="22"/>
          <w:rtl w:val="0"/>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o en su caso por cualquier otro medio de almacenamiento informático como memoria USB o CD-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68">
      <w:pPr>
        <w:spacing w:before="270" w:line="273" w:lineRule="auto"/>
        <w:ind w:left="1248" w:right="850" w:firstLine="0"/>
        <w:jc w:val="left"/>
        <w:rPr>
          <w:i w:val="1"/>
          <w:sz w:val="22"/>
          <w:szCs w:val="22"/>
        </w:rPr>
      </w:pPr>
      <w:r w:rsidDel="00000000" w:rsidR="00000000" w:rsidRPr="00000000">
        <w:rPr>
          <w:i w:val="1"/>
          <w:sz w:val="22"/>
          <w:szCs w:val="22"/>
          <w:rtl w:val="0"/>
        </w:rPr>
        <w:t xml:space="preserve">ROM, etc., así como domicilio de la Unidad de Transparencia, días y horarios de atención, así como el nombre del servidor público que le atenderá.”</w:t>
      </w:r>
    </w:p>
    <w:p w:rsidR="00000000" w:rsidDel="00000000" w:rsidP="00000000" w:rsidRDefault="00000000" w:rsidRPr="00000000" w14:paraId="00000069">
      <w:pPr>
        <w:pStyle w:val="Heading1"/>
        <w:spacing w:before="166" w:lineRule="auto"/>
        <w:ind w:firstLine="682"/>
        <w:rPr/>
      </w:pPr>
      <w:r w:rsidDel="00000000" w:rsidR="00000000" w:rsidRPr="00000000">
        <w:rPr>
          <w:rtl w:val="0"/>
        </w:rPr>
        <w:t xml:space="preserve">II. Razones del voto particular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1"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un mejor entendimiento de las consideraciones del presente voto, procederá a subdividirse en tres apartados.</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48"/>
          <w:tab w:val="left" w:leader="none" w:pos="1399"/>
        </w:tabs>
        <w:spacing w:after="0" w:before="158" w:line="360" w:lineRule="auto"/>
        <w:ind w:left="1248" w:right="1110" w:hanging="14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entrega de la ficha curricular y documentos que den cuenta del grado de estudios de los integrantes del cabildo.</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00"/>
        </w:tabs>
        <w:spacing w:after="0" w:before="1" w:line="240" w:lineRule="auto"/>
        <w:ind w:left="1400" w:right="0" w:hanging="290.99999999999994"/>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fotografía de los servidores públicos.</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00"/>
        </w:tabs>
        <w:spacing w:after="0" w:before="147" w:line="240" w:lineRule="auto"/>
        <w:ind w:left="1400" w:right="0" w:hanging="290.99999999999994"/>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Del estado de fuerza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6"/>
        </w:tabs>
        <w:spacing w:after="0" w:before="0" w:line="360" w:lineRule="auto"/>
        <w:ind w:left="682" w:right="12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entrega de la ficha curricular y documentos que den cuenta del grado de estudios de los integrantes del cabildo.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360" w:lineRule="auto"/>
        <w:ind w:left="682" w:right="12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de vital importancia señalar que para iniciar la emisión del presente voto, quien suscribe esta argumentación no comparte de forma parcial las consideraciones que fueron vertidas en la presente resolución respecto a la información que se ordena referente a la entrega de la ficha curricular y documentos que dan cuenta del grado de estudios de los integrantes del cabildo.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en virtud de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información curricular o o documentos que acrediten los grados de estudios, sirve de ilustración la siguiente cita: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spacing w:before="1"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6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7C">
      <w:pPr>
        <w:spacing w:before="270" w:line="240" w:lineRule="auto"/>
        <w:ind w:left="1248" w:right="967" w:firstLine="0"/>
        <w:jc w:val="both"/>
        <w:rPr>
          <w:i w:val="1"/>
          <w:sz w:val="22"/>
          <w:szCs w:val="22"/>
        </w:rPr>
      </w:pPr>
      <w:r w:rsidDel="00000000" w:rsidR="00000000" w:rsidRPr="00000000">
        <w:rPr>
          <w:i w:val="1"/>
          <w:sz w:val="22"/>
          <w:szCs w:val="22"/>
          <w:rtl w:val="0"/>
        </w:rPr>
        <w:t xml:space="preserve">“Artículo 117.- </w:t>
      </w:r>
      <w:r w:rsidDel="00000000" w:rsidR="00000000" w:rsidRPr="00000000">
        <w:rPr>
          <w:b w:val="1"/>
          <w:i w:val="1"/>
          <w:sz w:val="22"/>
          <w:szCs w:val="22"/>
          <w:rtl w:val="0"/>
        </w:rPr>
        <w:t xml:space="preserve">Los ayuntamientos se integrarán con una jefa o jefe de asamblea que se denominará Presidenta o Presidente Municipal, respectivamente</w:t>
      </w:r>
      <w:r w:rsidDel="00000000" w:rsidR="00000000" w:rsidRPr="00000000">
        <w:rPr>
          <w:i w:val="1"/>
          <w:sz w:val="22"/>
          <w:szCs w:val="22"/>
          <w:rtl w:val="0"/>
        </w:rPr>
        <w:t xml:space="preserve">, </w:t>
      </w:r>
      <w:r w:rsidDel="00000000" w:rsidR="00000000" w:rsidRPr="00000000">
        <w:rPr>
          <w:b w:val="1"/>
          <w:i w:val="1"/>
          <w:sz w:val="22"/>
          <w:szCs w:val="22"/>
          <w:rtl w:val="0"/>
        </w:rPr>
        <w:t xml:space="preserve">y con varios miembros más llamados Síndicas o Síndicos y </w:t>
      </w:r>
      <w:r w:rsidDel="00000000" w:rsidR="00000000" w:rsidRPr="00000000">
        <w:rPr>
          <w:b w:val="1"/>
          <w:i w:val="1"/>
          <w:sz w:val="22"/>
          <w:szCs w:val="22"/>
          <w:u w:val="single"/>
          <w:rtl w:val="0"/>
        </w:rPr>
        <w:t xml:space="preserve">Regidoras o Regidores</w:t>
      </w:r>
      <w:r w:rsidDel="00000000" w:rsidR="00000000" w:rsidRPr="00000000">
        <w:rPr>
          <w:i w:val="1"/>
          <w:sz w:val="22"/>
          <w:szCs w:val="22"/>
          <w:rtl w:val="0"/>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7D">
      <w:pPr>
        <w:spacing w:before="240" w:lineRule="auto"/>
        <w:ind w:left="1248" w:right="0" w:firstLine="0"/>
        <w:jc w:val="both"/>
        <w:rPr>
          <w:i w:val="1"/>
          <w:sz w:val="22"/>
          <w:szCs w:val="22"/>
        </w:rPr>
      </w:pPr>
      <w:r w:rsidDel="00000000" w:rsidR="00000000" w:rsidRPr="00000000">
        <w:rPr>
          <w:i w:val="1"/>
          <w:sz w:val="22"/>
          <w:szCs w:val="22"/>
          <w:rtl w:val="0"/>
        </w:rPr>
        <w:t xml:space="preserve">CAPÍTULO SEGUNDO</w:t>
      </w:r>
    </w:p>
    <w:p w:rsidR="00000000" w:rsidDel="00000000" w:rsidP="00000000" w:rsidRDefault="00000000" w:rsidRPr="00000000" w14:paraId="0000007E">
      <w:pPr>
        <w:spacing w:before="241" w:lineRule="auto"/>
        <w:ind w:left="1248" w:right="0" w:firstLine="0"/>
        <w:jc w:val="both"/>
        <w:rPr>
          <w:i w:val="1"/>
          <w:sz w:val="22"/>
          <w:szCs w:val="22"/>
        </w:rPr>
      </w:pPr>
      <w:r w:rsidDel="00000000" w:rsidR="00000000" w:rsidRPr="00000000">
        <w:rPr>
          <w:i w:val="1"/>
          <w:sz w:val="22"/>
          <w:szCs w:val="22"/>
          <w:rtl w:val="0"/>
        </w:rPr>
        <w:t xml:space="preserve">De los Miembros de los Ayuntamientos</w:t>
      </w:r>
    </w:p>
    <w:p w:rsidR="00000000" w:rsidDel="00000000" w:rsidP="00000000" w:rsidRDefault="00000000" w:rsidRPr="00000000" w14:paraId="0000007F">
      <w:pPr>
        <w:spacing w:before="241" w:lineRule="auto"/>
        <w:ind w:left="1248" w:right="1104" w:firstLine="0"/>
        <w:jc w:val="both"/>
        <w:rPr>
          <w:i w:val="1"/>
          <w:sz w:val="22"/>
          <w:szCs w:val="22"/>
        </w:rPr>
      </w:pPr>
      <w:r w:rsidDel="00000000" w:rsidR="00000000" w:rsidRPr="00000000">
        <w:rPr>
          <w:i w:val="1"/>
          <w:sz w:val="22"/>
          <w:szCs w:val="22"/>
          <w:rtl w:val="0"/>
        </w:rPr>
        <w:t xml:space="preserve">Artículo 118.- </w:t>
      </w:r>
      <w:r w:rsidDel="00000000" w:rsidR="00000000" w:rsidRPr="00000000">
        <w:rPr>
          <w:b w:val="1"/>
          <w:i w:val="1"/>
          <w:sz w:val="22"/>
          <w:szCs w:val="22"/>
          <w:rtl w:val="0"/>
        </w:rPr>
        <w:t xml:space="preserve">Los miembros de un ayuntamiento serán designados en una sola elección. Se distinguirán las regidoras y los regidores </w:t>
      </w:r>
      <w:r w:rsidDel="00000000" w:rsidR="00000000" w:rsidRPr="00000000">
        <w:rPr>
          <w:i w:val="1"/>
          <w:sz w:val="22"/>
          <w:szCs w:val="22"/>
          <w:rtl w:val="0"/>
        </w:rPr>
        <w:t xml:space="preserve">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80">
      <w:pPr>
        <w:spacing w:before="242" w:lineRule="auto"/>
        <w:ind w:left="1248" w:right="1110" w:firstLine="0"/>
        <w:jc w:val="both"/>
        <w:rPr>
          <w:b w:val="1"/>
          <w:i w:val="1"/>
          <w:sz w:val="22"/>
          <w:szCs w:val="22"/>
        </w:rPr>
      </w:pPr>
      <w:r w:rsidDel="00000000" w:rsidR="00000000" w:rsidRPr="00000000">
        <w:rPr>
          <w:b w:val="1"/>
          <w:i w:val="1"/>
          <w:sz w:val="22"/>
          <w:szCs w:val="22"/>
          <w:rtl w:val="0"/>
        </w:rPr>
        <w:t xml:space="preserve">Artículo 119.- Para ser miembro propietario o suplente de un ayuntamiento se requiere:</w:t>
      </w:r>
    </w:p>
    <w:p w:rsidR="00000000" w:rsidDel="00000000" w:rsidP="00000000" w:rsidRDefault="00000000" w:rsidRPr="00000000" w14:paraId="000000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8"/>
        </w:tabs>
        <w:spacing w:after="0" w:before="239" w:line="240" w:lineRule="auto"/>
        <w:ind w:left="1248" w:right="1108" w:hanging="281.0000000000001"/>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mexicana o mexicano, ciudadana o ciudadano del Estado, en pleno ejercicio de sus derechos;</w:t>
      </w:r>
    </w:p>
    <w:p w:rsidR="00000000" w:rsidDel="00000000" w:rsidP="00000000" w:rsidRDefault="00000000" w:rsidRPr="00000000" w14:paraId="0000008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2" w:line="240" w:lineRule="auto"/>
        <w:ind w:left="1248" w:right="1109" w:hanging="368"/>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mexiquense con residencia efectiva en el municipio no menor a un año o vecino del mismo, con residencia efectiva en su territorio no menor a tres años, anteriores al día de la elección; y</w:t>
      </w:r>
    </w:p>
    <w:p w:rsidR="00000000" w:rsidDel="00000000" w:rsidP="00000000" w:rsidRDefault="00000000" w:rsidRPr="00000000" w14:paraId="000000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5"/>
        </w:tabs>
        <w:spacing w:after="0" w:before="0" w:line="296" w:lineRule="auto"/>
        <w:ind w:left="1245" w:right="0" w:hanging="448"/>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de reconocida probidad y buena fama pública.</w:t>
      </w:r>
    </w:p>
    <w:p w:rsidR="00000000" w:rsidDel="00000000" w:rsidP="00000000" w:rsidRDefault="00000000" w:rsidRPr="00000000" w14:paraId="0000008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0" w:line="240" w:lineRule="auto"/>
        <w:ind w:left="1248" w:right="1109" w:hanging="428"/>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1" w:line="240" w:lineRule="auto"/>
        <w:ind w:left="1248" w:right="1111" w:hanging="343.9999999999999"/>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inscrito en el Registro de Deudores Alimentarios Morosos en el Estado, ni en otra entidad federativa, y</w:t>
      </w:r>
    </w:p>
    <w:p w:rsidR="00000000" w:rsidDel="00000000" w:rsidP="00000000" w:rsidRDefault="00000000" w:rsidRPr="00000000" w14:paraId="0000008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0" w:line="240" w:lineRule="auto"/>
        <w:ind w:left="1248" w:right="1107" w:hanging="413"/>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delitos de violencia familiar, contra la libertad sexual o de violencia de género.</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7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91">
      <w:pPr>
        <w:spacing w:before="270" w:lineRule="auto"/>
        <w:ind w:left="1248" w:right="1109" w:firstLine="0"/>
        <w:jc w:val="both"/>
        <w:rPr>
          <w:i w:val="1"/>
          <w:sz w:val="22"/>
          <w:szCs w:val="22"/>
        </w:rPr>
      </w:pPr>
      <w:r w:rsidDel="00000000" w:rsidR="00000000" w:rsidRPr="00000000">
        <w:rPr>
          <w:i w:val="1"/>
          <w:sz w:val="22"/>
          <w:szCs w:val="22"/>
          <w:rtl w:val="0"/>
        </w:rPr>
        <w:t xml:space="preserve">Artículo 120.- No pueden ser miembros propietarios o suplentes de los ayuntamientos:</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242" w:line="240" w:lineRule="auto"/>
        <w:ind w:left="1248" w:right="1111" w:hanging="268.9999999999999"/>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y senadoras o senadores al Congreso de la Unión que se encuentren en ejercicio de su cargo;</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239" w:line="240" w:lineRule="auto"/>
        <w:ind w:left="1248" w:right="1111" w:hanging="341.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a la Legislatura del Estado que se encuentren en ejercicio de su cargo;</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3"/>
          <w:tab w:val="left" w:leader="none" w:pos="1248"/>
        </w:tabs>
        <w:spacing w:after="0" w:before="239" w:line="240" w:lineRule="auto"/>
        <w:ind w:left="1248" w:right="1108" w:hanging="416.0000000000001"/>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242" w:line="240" w:lineRule="auto"/>
        <w:ind w:left="1248" w:right="1114" w:hanging="413"/>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servidores públicos federales, estatales o municipales en ejercicio de autoridad;</w:t>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8"/>
        </w:tabs>
        <w:spacing w:after="0" w:before="239" w:line="240" w:lineRule="auto"/>
        <w:ind w:left="1248" w:right="1108" w:hanging="341.0000000000001"/>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8"/>
          <w:tab w:val="left" w:leader="none" w:pos="1398"/>
        </w:tabs>
        <w:spacing w:after="0" w:before="239" w:line="240" w:lineRule="auto"/>
        <w:ind w:left="1248" w:right="1111" w:hanging="272"/>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ministros de cualquier culto, a menos que se separen formal, material y definitivamente de su ministerio, cuando menos cinco años antes del día de la elección.</w:t>
      </w:r>
    </w:p>
    <w:p w:rsidR="00000000" w:rsidDel="00000000" w:rsidP="00000000" w:rsidRDefault="00000000" w:rsidRPr="00000000" w14:paraId="00000098">
      <w:pPr>
        <w:spacing w:before="241" w:lineRule="auto"/>
        <w:ind w:left="1248" w:right="111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i w:val="1"/>
          <w:sz w:val="22"/>
          <w:szCs w:val="22"/>
          <w:rtl w:val="0"/>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b w:val="1"/>
          <w:i w:val="1"/>
          <w:sz w:val="22"/>
          <w:szCs w:val="22"/>
          <w:rtl w:val="0"/>
        </w:rPr>
        <w:t xml:space="preserve">.” </w:t>
      </w:r>
      <w:r w:rsidDel="00000000" w:rsidR="00000000" w:rsidRPr="00000000">
        <w:rPr>
          <w:i w:val="1"/>
          <w:sz w:val="22"/>
          <w:szCs w:val="22"/>
          <w:rtl w:val="0"/>
        </w:rPr>
        <w:t xml:space="preserve">(Énfasis añadido)</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82"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igual forma, el Código Electoral del Estado de México señala: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spacing w:before="0" w:line="276" w:lineRule="auto"/>
        <w:ind w:left="1248" w:right="971" w:firstLine="0"/>
        <w:jc w:val="both"/>
        <w:rPr>
          <w:i w:val="1"/>
          <w:sz w:val="22"/>
          <w:szCs w:val="22"/>
        </w:rPr>
      </w:pPr>
      <w:r w:rsidDel="00000000" w:rsidR="00000000" w:rsidRPr="00000000">
        <w:rPr>
          <w:i w:val="1"/>
          <w:sz w:val="22"/>
          <w:szCs w:val="22"/>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8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A6">
      <w:pPr>
        <w:spacing w:before="270" w:line="276" w:lineRule="auto"/>
        <w:ind w:left="1248" w:right="968" w:firstLine="0"/>
        <w:jc w:val="both"/>
        <w:rPr>
          <w:i w:val="1"/>
          <w:sz w:val="22"/>
          <w:szCs w:val="22"/>
        </w:rPr>
      </w:pPr>
      <w:r w:rsidDel="00000000" w:rsidR="00000000" w:rsidRPr="00000000">
        <w:rPr>
          <w:i w:val="1"/>
          <w:sz w:val="22"/>
          <w:szCs w:val="22"/>
          <w:rtl w:val="0"/>
        </w:rPr>
        <w:t xml:space="preserve">Constitución Local, son elegibles para ser miembros de los ayuntamientos. Las ciudadanas y los ciudadanos que se hayan separado de un cargo público para contender en un proceso electoral, podrán reincorporase al mismo, una vez que concluya la jornada electoral.</w:t>
      </w:r>
    </w:p>
    <w:p w:rsidR="00000000" w:rsidDel="00000000" w:rsidP="00000000" w:rsidRDefault="00000000" w:rsidRPr="00000000" w14:paraId="000000A7">
      <w:pPr>
        <w:spacing w:before="240" w:line="276" w:lineRule="auto"/>
        <w:ind w:left="1248" w:right="1108" w:firstLine="0"/>
        <w:jc w:val="both"/>
        <w:rPr>
          <w:i w:val="1"/>
          <w:sz w:val="22"/>
          <w:szCs w:val="22"/>
        </w:rPr>
      </w:pPr>
      <w:r w:rsidDel="00000000" w:rsidR="00000000" w:rsidRPr="00000000">
        <w:rPr>
          <w:i w:val="1"/>
          <w:sz w:val="22"/>
          <w:szCs w:val="22"/>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241" w:line="276" w:lineRule="auto"/>
        <w:ind w:left="1248" w:right="1112" w:hanging="268.9999999999999"/>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Estar inscrito en el padrón electoral correspondiente, la lista nominal y contar con credencial para votar vigente.</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239" w:line="276" w:lineRule="auto"/>
        <w:ind w:left="1248" w:right="1108" w:hanging="341.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3"/>
          <w:tab w:val="left" w:leader="none" w:pos="1248"/>
        </w:tabs>
        <w:spacing w:after="0" w:before="241" w:line="276" w:lineRule="auto"/>
        <w:ind w:left="1248" w:right="972" w:hanging="416.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239" w:line="276" w:lineRule="auto"/>
        <w:ind w:left="1248" w:right="972" w:hanging="413"/>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8"/>
        </w:tabs>
        <w:spacing w:after="0" w:before="241" w:line="276" w:lineRule="auto"/>
        <w:ind w:left="1248" w:right="975" w:hanging="341.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5"/>
          <w:tab w:val="left" w:leader="none" w:pos="1248"/>
        </w:tabs>
        <w:spacing w:after="0" w:before="241" w:line="276" w:lineRule="auto"/>
        <w:ind w:left="1248" w:right="971" w:hanging="413"/>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4"/>
          <w:tab w:val="left" w:leader="none" w:pos="1248"/>
        </w:tabs>
        <w:spacing w:after="0" w:before="239" w:line="276" w:lineRule="auto"/>
        <w:ind w:left="1248" w:right="972" w:hanging="488"/>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9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Pr>
        <mc:AlternateContent>
          <mc:Choice Requires="wpg">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21400" cy="9548998"/>
                <wp:effectExtent b="0" l="0" r="0" t="0"/>
                <wp:wrapNone/>
                <wp:docPr id="56" name=""/>
                <a:graphic>
                  <a:graphicData uri="http://schemas.microsoft.com/office/word/2010/wordprocessingGroup">
                    <wpg:wgp>
                      <wpg:cNvGrpSpPr/>
                      <wpg:grpSpPr>
                        <a:xfrm>
                          <a:off x="2269425" y="0"/>
                          <a:ext cx="6121400" cy="9548998"/>
                          <a:chOff x="2269425" y="0"/>
                          <a:chExt cx="6153150" cy="7560000"/>
                        </a:xfrm>
                      </wpg:grpSpPr>
                      <wpg:grpSp>
                        <wpg:cNvGrpSpPr/>
                        <wpg:grpSpPr>
                          <a:xfrm>
                            <a:off x="2269425" y="0"/>
                            <a:ext cx="6153150" cy="7559992"/>
                            <a:chOff x="0" y="0"/>
                            <a:chExt cx="6153150" cy="9605000"/>
                          </a:xfrm>
                        </wpg:grpSpPr>
                        <wps:wsp>
                          <wps:cNvSpPr/>
                          <wps:cNvPr id="3" name="Shape 3"/>
                          <wps:spPr>
                            <a:xfrm>
                              <a:off x="0" y="0"/>
                              <a:ext cx="6153150" cy="96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8">
                              <a:alphaModFix/>
                            </a:blip>
                            <a:srcRect b="0" l="0" r="0" t="0"/>
                            <a:stretch/>
                          </pic:blipFill>
                          <pic:spPr>
                            <a:xfrm>
                              <a:off x="0" y="0"/>
                              <a:ext cx="6153029" cy="9604578"/>
                            </a:xfrm>
                            <a:prstGeom prst="rect">
                              <a:avLst/>
                            </a:prstGeom>
                            <a:noFill/>
                            <a:ln>
                              <a:noFill/>
                            </a:ln>
                          </pic:spPr>
                        </pic:pic>
                        <wps:wsp>
                          <wps:cNvSpPr/>
                          <wps:cNvPr id="8" name="Shape 8"/>
                          <wps:spPr>
                            <a:xfrm>
                              <a:off x="23947" y="7532576"/>
                              <a:ext cx="1829435" cy="9525"/>
                            </a:xfrm>
                            <a:custGeom>
                              <a:rect b="b" l="l" r="r" t="t"/>
                              <a:pathLst>
                                <a:path extrusionOk="0" h="9525" w="1829435">
                                  <a:moveTo>
                                    <a:pt x="1829054" y="0"/>
                                  </a:moveTo>
                                  <a:lnTo>
                                    <a:pt x="0" y="0"/>
                                  </a:lnTo>
                                  <a:lnTo>
                                    <a:pt x="0" y="9144"/>
                                  </a:lnTo>
                                  <a:lnTo>
                                    <a:pt x="1829054" y="9144"/>
                                  </a:lnTo>
                                  <a:lnTo>
                                    <a:pt x="1829054"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21400" cy="9548998"/>
                <wp:effectExtent b="0" l="0" r="0" t="0"/>
                <wp:wrapNone/>
                <wp:docPr id="5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21400" cy="95489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46"/>
          <w:tab w:val="left" w:leader="none" w:pos="1248"/>
        </w:tabs>
        <w:spacing w:after="0" w:before="273" w:line="276" w:lineRule="auto"/>
        <w:ind w:left="1248" w:right="972" w:hanging="598"/>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Ser electo o designado candidata o candidato, de conformidad con los procedimientos democráticos internos del partido político que lo postule”</w:t>
      </w:r>
    </w:p>
    <w:p w:rsidR="00000000" w:rsidDel="00000000" w:rsidP="00000000" w:rsidRDefault="00000000" w:rsidRPr="00000000" w14:paraId="000000BA">
      <w:pPr>
        <w:spacing w:before="239" w:line="360" w:lineRule="auto"/>
        <w:ind w:left="682" w:right="118" w:firstLine="0"/>
        <w:jc w:val="both"/>
        <w:rPr>
          <w:sz w:val="24"/>
          <w:szCs w:val="24"/>
        </w:rPr>
      </w:pPr>
      <w:r w:rsidDel="00000000" w:rsidR="00000000" w:rsidRPr="00000000">
        <w:rPr>
          <w:sz w:val="24"/>
          <w:szCs w:val="24"/>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sz w:val="24"/>
          <w:szCs w:val="24"/>
          <w:rtl w:val="0"/>
        </w:rPr>
        <w:t xml:space="preserve">deberán presentarse los ciudadanos que en términos de ley resultaron electos para rendir protesta y ocupar los cargos de presidente municipal, síndico o síndicos y regidores</w:t>
      </w:r>
      <w:r w:rsidDel="00000000" w:rsidR="00000000" w:rsidRPr="00000000">
        <w:rPr>
          <w:sz w:val="24"/>
          <w:szCs w:val="24"/>
          <w:rtl w:val="0"/>
        </w:rPr>
        <w:t xml:space="preserve">, sin que dicho plazo exceda el mes de diciembre del último año de la gestión del ayuntamiento saliente, </w:t>
      </w:r>
      <w:r w:rsidDel="00000000" w:rsidR="00000000" w:rsidRPr="00000000">
        <w:rPr>
          <w:b w:val="1"/>
          <w:sz w:val="24"/>
          <w:szCs w:val="24"/>
          <w:rtl w:val="0"/>
        </w:rPr>
        <w:t xml:space="preserve">dicha reunión tendrá por objeto que los miembros del ayuntamiento entrante, rindan la protesta en términos de lo dispuesto por el artículo 144</w:t>
      </w:r>
      <w:r w:rsidDel="00000000" w:rsidR="00000000" w:rsidRPr="00000000">
        <w:rPr>
          <w:b w:val="1"/>
          <w:sz w:val="23.333333333333336"/>
          <w:szCs w:val="23.333333333333336"/>
          <w:vertAlign w:val="superscript"/>
          <w:rtl w:val="0"/>
        </w:rPr>
        <w:t xml:space="preserve">1 </w:t>
      </w:r>
      <w:r w:rsidDel="00000000" w:rsidR="00000000" w:rsidRPr="00000000">
        <w:rPr>
          <w:b w:val="1"/>
          <w:sz w:val="24"/>
          <w:szCs w:val="24"/>
          <w:rtl w:val="0"/>
        </w:rPr>
        <w:t xml:space="preserve">de la Constitución Política del Estado Libre y Soberano de México</w:t>
      </w:r>
      <w:r w:rsidDel="00000000" w:rsidR="00000000" w:rsidRPr="00000000">
        <w:rPr>
          <w:sz w:val="24"/>
          <w:szCs w:val="24"/>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682" w:right="115" w:firstLine="0"/>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tal suerte que la Constitución y la Ley Orgánica Municipal consideran al presidente municipal y demás integrantes del ayuntamiento como servidores que ostentan un cargo de elección popular, por lo tanto, se reitera que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 se encuentran constreñidos a entregar los documentos solicitados por el particular,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toda vez que por la naturaleza de su designación, estaríamos ante una excepción</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no es posible entregar la información solicitada, en virtud de que como se analizó en líneas</w:t>
      </w:r>
      <w:r w:rsidDel="00000000" w:rsidR="00000000" w:rsidRPr="00000000">
        <w:rPr>
          <w:rtl w:val="0"/>
        </w:rPr>
      </w:r>
    </w:p>
    <w:p w:rsidR="00000000" w:rsidDel="00000000" w:rsidP="00000000" w:rsidRDefault="00000000" w:rsidRPr="00000000" w14:paraId="000000BC">
      <w:pPr>
        <w:spacing w:before="0" w:line="256" w:lineRule="auto"/>
        <w:ind w:left="682" w:right="119" w:firstLine="0"/>
        <w:jc w:val="both"/>
        <w:rPr>
          <w:sz w:val="20"/>
          <w:szCs w:val="20"/>
        </w:rPr>
      </w:pP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w:t>
      </w:r>
      <w:r w:rsidDel="00000000" w:rsidR="00000000" w:rsidRPr="00000000">
        <w:rPr>
          <w:sz w:val="20"/>
          <w:szCs w:val="20"/>
          <w:vertAlign w:val="baseline"/>
          <w:rtl w:val="0"/>
        </w:rPr>
        <w:t xml:space="preserve">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10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anteriores, no se encuentran obligados a generarla, poseerla 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administrarla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este contexto,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0C9">
      <w:pPr>
        <w:spacing w:before="242" w:line="256" w:lineRule="auto"/>
        <w:ind w:left="1248" w:right="729" w:firstLine="0"/>
        <w:jc w:val="both"/>
        <w:rPr>
          <w:i w:val="1"/>
          <w:sz w:val="22"/>
          <w:szCs w:val="22"/>
        </w:rPr>
      </w:pPr>
      <w:r w:rsidDel="00000000" w:rsidR="00000000" w:rsidRPr="00000000">
        <w:rPr>
          <w:b w:val="1"/>
          <w:i w:val="1"/>
          <w:sz w:val="22"/>
          <w:szCs w:val="22"/>
          <w:rtl w:val="0"/>
        </w:rPr>
        <w:t xml:space="preserve">No existe obligación de elaborar documentos ad hoc para atender las solicitudes de acceso a la información. </w:t>
      </w:r>
      <w:r w:rsidDel="00000000" w:rsidR="00000000" w:rsidRPr="00000000">
        <w:rPr>
          <w:i w:val="1"/>
          <w:sz w:val="22"/>
          <w:szCs w:val="22"/>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0" w:hanging="263"/>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fotografía de los servidores públicos.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por cuanto hace a la fotografía que obran en documentos que dan cuenta del cumplimiento de funciones, requisitos legales o que acredita a las personas como servidores públicos, la ponencia que resolvió aseveró que son de acceso público, bajo los siguientes argumentos: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DB">
      <w:pPr>
        <w:spacing w:before="270" w:line="276" w:lineRule="auto"/>
        <w:ind w:left="1248" w:right="1021" w:firstLine="0"/>
        <w:jc w:val="both"/>
        <w:rPr>
          <w:i w:val="1"/>
          <w:sz w:val="22"/>
          <w:szCs w:val="22"/>
        </w:rPr>
      </w:pPr>
      <w:r w:rsidDel="00000000" w:rsidR="00000000" w:rsidRPr="00000000">
        <w:rPr>
          <w:i w:val="1"/>
          <w:sz w:val="22"/>
          <w:szCs w:val="22"/>
          <w:rtl w:val="0"/>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spacing w:before="1" w:line="276" w:lineRule="auto"/>
        <w:ind w:left="1248" w:right="1020" w:firstLine="0"/>
        <w:jc w:val="both"/>
        <w:rPr>
          <w:i w:val="1"/>
          <w:sz w:val="22"/>
          <w:szCs w:val="22"/>
        </w:rPr>
      </w:pPr>
      <w:r w:rsidDel="00000000" w:rsidR="00000000" w:rsidRPr="00000000">
        <w:rPr>
          <w:i w:val="1"/>
          <w:sz w:val="22"/>
          <w:szCs w:val="22"/>
          <w:rtl w:val="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spacing w:before="0" w:line="276" w:lineRule="auto"/>
        <w:ind w:left="1248" w:right="1018" w:firstLine="0"/>
        <w:jc w:val="both"/>
        <w:rPr>
          <w:i w:val="1"/>
          <w:sz w:val="22"/>
          <w:szCs w:val="22"/>
        </w:rPr>
      </w:pPr>
      <w:r w:rsidDel="00000000" w:rsidR="00000000" w:rsidRPr="00000000">
        <w:rPr>
          <w:i w:val="1"/>
          <w:sz w:val="22"/>
          <w:szCs w:val="22"/>
          <w:rtl w:val="0"/>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spacing w:before="0" w:line="276" w:lineRule="auto"/>
        <w:ind w:left="1248" w:right="1018" w:firstLine="0"/>
        <w:jc w:val="both"/>
        <w:rPr>
          <w:i w:val="1"/>
          <w:sz w:val="22"/>
          <w:szCs w:val="22"/>
        </w:rPr>
      </w:pPr>
      <w:r w:rsidDel="00000000" w:rsidR="00000000" w:rsidRPr="00000000">
        <w:rPr>
          <w:i w:val="1"/>
          <w:sz w:val="22"/>
          <w:szCs w:val="22"/>
          <w:rtl w:val="0"/>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EC">
      <w:pPr>
        <w:spacing w:before="270" w:line="276" w:lineRule="auto"/>
        <w:ind w:left="1248" w:right="1016" w:firstLine="0"/>
        <w:jc w:val="both"/>
        <w:rPr>
          <w:i w:val="1"/>
          <w:sz w:val="22"/>
          <w:szCs w:val="22"/>
        </w:rPr>
      </w:pPr>
      <w:r w:rsidDel="00000000" w:rsidR="00000000" w:rsidRPr="00000000">
        <w:rPr>
          <w:i w:val="1"/>
          <w:sz w:val="22"/>
          <w:szCs w:val="22"/>
          <w:rtl w:val="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spacing w:before="0" w:line="276" w:lineRule="auto"/>
        <w:ind w:left="1248" w:right="1018" w:firstLine="0"/>
        <w:jc w:val="both"/>
        <w:rPr>
          <w:i w:val="1"/>
          <w:sz w:val="22"/>
          <w:szCs w:val="22"/>
        </w:rPr>
      </w:pPr>
      <w:r w:rsidDel="00000000" w:rsidR="00000000" w:rsidRPr="00000000">
        <w:rPr>
          <w:i w:val="1"/>
          <w:sz w:val="22"/>
          <w:szCs w:val="22"/>
          <w:rtl w:val="0"/>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before="1" w:line="276" w:lineRule="auto"/>
        <w:ind w:left="1248" w:right="1019" w:firstLine="0"/>
        <w:jc w:val="both"/>
        <w:rPr>
          <w:i w:val="1"/>
          <w:sz w:val="22"/>
          <w:szCs w:val="22"/>
        </w:rPr>
      </w:pPr>
      <w:r w:rsidDel="00000000" w:rsidR="00000000" w:rsidRPr="00000000">
        <w:rPr>
          <w:i w:val="1"/>
          <w:sz w:val="22"/>
          <w:szCs w:val="22"/>
          <w:rtl w:val="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spacing w:before="0" w:line="276" w:lineRule="auto"/>
        <w:ind w:left="1248" w:right="1022" w:firstLine="0"/>
        <w:jc w:val="both"/>
        <w:rPr>
          <w:i w:val="1"/>
          <w:sz w:val="22"/>
          <w:szCs w:val="22"/>
        </w:rPr>
      </w:pPr>
      <w:r w:rsidDel="00000000" w:rsidR="00000000" w:rsidRPr="00000000">
        <w:rPr>
          <w:i w:val="1"/>
          <w:sz w:val="22"/>
          <w:szCs w:val="22"/>
          <w:rtl w:val="0"/>
        </w:rPr>
        <w:t xml:space="preserve">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5"/>
        </w:tabs>
        <w:spacing w:after="0" w:before="244" w:line="360" w:lineRule="auto"/>
        <w:ind w:left="566.9291338582675" w:right="290.6692913385831"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no escapa de la óptica de la suscrita que por cuanto hace a</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fotografía constituye la reproducción fiel de las características físicas de una persona</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13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 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 Sin embargo, para el caso que nos ocupa se ordenó la entrega de información que, dada su propia y especial naturaleza, podría contener la fotografía</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14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0" w:lineRule="auto"/>
        <w:ind w:left="682" w:right="11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servidoras y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682"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antes expuestas no comparto este punto del estudio de la resolución dictada, y, por ende se emite el presente Voto Particular pues considero que no se debe dejar visible la fotografía de las y los servidores públicos que NO cuenten con la calidad de mando medio y/o superior,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pStyle w:val="Heading1"/>
        <w:numPr>
          <w:ilvl w:val="0"/>
          <w:numId w:val="4"/>
        </w:numPr>
        <w:tabs>
          <w:tab w:val="left" w:leader="none" w:pos="927"/>
        </w:tabs>
        <w:spacing w:after="0" w:before="0" w:line="240" w:lineRule="auto"/>
        <w:ind w:left="927" w:right="0" w:hanging="245"/>
        <w:jc w:val="left"/>
        <w:rPr/>
      </w:pPr>
      <w:r w:rsidDel="00000000" w:rsidR="00000000" w:rsidRPr="00000000">
        <w:rPr>
          <w:rtl w:val="0"/>
        </w:rPr>
        <w:t xml:space="preserve">Del estado de fuerza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respecto de las listas de asistencia de los elementos operativos de la Dirección de Seguridad Pública Municipal, resulta importante señalar que coincido con los términos generales planteados en la Resolución, toda vez que efectivamente de conformidad con la Ley del Trabajo de los Servidores Públicos del Estado y</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15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Municipios, es una obligación del patrón generar las listas de asistencia, sin embargo, considero que dicha regla está sujeta a claro régimen de excepción, la cual concretamente se aprecia en el caso del personal que se encuentra adscrito a instituciones de seguridad pública con funciones operativas en atención a los consideraciones que a continuación se exponen.</w:t>
      </w:r>
    </w:p>
    <w:p w:rsidR="00000000" w:rsidDel="00000000" w:rsidP="00000000" w:rsidRDefault="00000000" w:rsidRPr="00000000" w14:paraId="00000119">
      <w:pPr>
        <w:spacing w:before="241" w:line="360" w:lineRule="auto"/>
        <w:ind w:left="682" w:right="117" w:firstLine="0"/>
        <w:jc w:val="both"/>
        <w:rPr>
          <w:sz w:val="24"/>
          <w:szCs w:val="24"/>
        </w:rPr>
      </w:pPr>
      <w:r w:rsidDel="00000000" w:rsidR="00000000" w:rsidRPr="00000000">
        <w:rPr>
          <w:sz w:val="24"/>
          <w:szCs w:val="24"/>
          <w:rtl w:val="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sidDel="00000000" w:rsidR="00000000" w:rsidRPr="00000000">
        <w:rPr>
          <w:b w:val="1"/>
          <w:sz w:val="24"/>
          <w:szCs w:val="24"/>
          <w:rtl w:val="0"/>
        </w:rPr>
        <w:t xml:space="preserve">los Municipios</w:t>
      </w:r>
      <w:r w:rsidDel="00000000" w:rsidR="00000000" w:rsidRPr="00000000">
        <w:rPr>
          <w:sz w:val="24"/>
          <w:szCs w:val="24"/>
          <w:rtl w:val="0"/>
        </w:rPr>
        <w:t xml:space="preserve">, </w:t>
      </w:r>
      <w:r w:rsidDel="00000000" w:rsidR="00000000" w:rsidRPr="00000000">
        <w:rPr>
          <w:b w:val="1"/>
          <w:sz w:val="24"/>
          <w:szCs w:val="24"/>
          <w:rtl w:val="0"/>
        </w:rPr>
        <w:t xml:space="preserve">cuyos fines son salvaguardar la vida, las libertades, la integridad y el patrimonio de las personas, así como contribuir a la generación y preservación del orden público y la paz social</w:t>
      </w:r>
      <w:r w:rsidDel="00000000" w:rsidR="00000000" w:rsidRPr="00000000">
        <w:rPr>
          <w:sz w:val="24"/>
          <w:szCs w:val="24"/>
          <w:rtl w:val="0"/>
        </w:rPr>
        <w:t xml:space="preserve">. Asimismo, señala que la actuación de las instituciones de seguridad pública se regirá por los principios de legalidad, objetividad, eficiencia, profesionalismo, honradez y respeto a los derechos humanos.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16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000000" w:rsidDel="00000000" w:rsidP="00000000" w:rsidRDefault="00000000" w:rsidRPr="00000000" w14:paraId="00000129">
      <w:pPr>
        <w:spacing w:before="238" w:lineRule="auto"/>
        <w:ind w:left="1534" w:right="1019"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Artículo 81.- </w:t>
      </w:r>
      <w:r w:rsidDel="00000000" w:rsidR="00000000" w:rsidRPr="00000000">
        <w:rPr>
          <w:i w:val="1"/>
          <w:sz w:val="22"/>
          <w:szCs w:val="22"/>
          <w:rtl w:val="0"/>
        </w:rPr>
        <w:t xml:space="preserve">Toda información para la seguridad pública generada o en poder de Instituciones de Seguridad Pública o de cualquier instancia del Sistema Estatal debe registrarse, clasificarse y tratarse de conformidad con las disposiciones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17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33">
      <w:pPr>
        <w:spacing w:before="270" w:lineRule="auto"/>
        <w:ind w:left="1534" w:right="850" w:firstLine="0"/>
        <w:jc w:val="left"/>
        <w:rPr>
          <w:i w:val="1"/>
          <w:sz w:val="22"/>
          <w:szCs w:val="22"/>
        </w:rPr>
      </w:pPr>
      <w:r w:rsidDel="00000000" w:rsidR="00000000" w:rsidRPr="00000000">
        <w:rPr>
          <w:i w:val="1"/>
          <w:sz w:val="22"/>
          <w:szCs w:val="22"/>
          <w:rtl w:val="0"/>
        </w:rPr>
        <w:t xml:space="preserve">aplicables. No obstante lo anterior, esta información se considerará reservada en los casos siguientes:</w:t>
      </w:r>
    </w:p>
    <w:p w:rsidR="00000000" w:rsidDel="00000000" w:rsidP="00000000" w:rsidRDefault="00000000" w:rsidRPr="00000000" w14:paraId="00000134">
      <w:pPr>
        <w:spacing w:before="2" w:lineRule="auto"/>
        <w:ind w:left="1534"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135">
      <w:pPr>
        <w:spacing w:before="0" w:lineRule="auto"/>
        <w:ind w:left="1534" w:right="1020" w:firstLine="0"/>
        <w:jc w:val="both"/>
        <w:rPr>
          <w:b w:val="1"/>
          <w:i w:val="1"/>
          <w:sz w:val="22"/>
          <w:szCs w:val="22"/>
        </w:rPr>
      </w:pPr>
      <w:r w:rsidDel="00000000" w:rsidR="00000000" w:rsidRPr="00000000">
        <w:rPr>
          <w:b w:val="1"/>
          <w:i w:val="1"/>
          <w:sz w:val="22"/>
          <w:szCs w:val="22"/>
          <w:u w:val="single"/>
          <w:rtl w:val="0"/>
        </w:rPr>
        <w:t xml:space="preserve">II. Aquella cuya revelación pueda ser utilizada para actualizar o</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potenciar una amenaza a la seguridad pública o a las instituciones del</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Estado de México ;</w:t>
      </w:r>
      <w:r w:rsidDel="00000000" w:rsidR="00000000" w:rsidRPr="00000000">
        <w:rPr>
          <w:b w:val="1"/>
          <w:i w:val="1"/>
          <w:sz w:val="22"/>
          <w:szCs w:val="22"/>
          <w:rtl w:val="0"/>
        </w:rPr>
        <w:t xml:space="preserv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9" w:firstLine="0"/>
        <w:jc w:val="both"/>
        <w:rPr>
          <w:sz w:val="24"/>
          <w:szCs w:val="24"/>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33.858267716535" w:right="119" w:firstLine="0"/>
        <w:jc w:val="both"/>
        <w:rPr>
          <w:b w:val="1"/>
        </w:rPr>
      </w:pPr>
      <w:r w:rsidDel="00000000" w:rsidR="00000000" w:rsidRPr="00000000">
        <w:rPr>
          <w:b w:val="1"/>
          <w:sz w:val="22"/>
          <w:szCs w:val="22"/>
          <w:rtl w:val="0"/>
        </w:rPr>
        <w:t xml:space="preserve">“Ley General de Transparencia y Acceso a la Información Pública:</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33.858267716535" w:right="119" w:firstLine="0"/>
        <w:jc w:val="both"/>
        <w:rPr>
          <w:i w:val="1"/>
          <w:sz w:val="22"/>
          <w:szCs w:val="22"/>
        </w:rPr>
      </w:pPr>
      <w:r w:rsidDel="00000000" w:rsidR="00000000" w:rsidRPr="00000000">
        <w:rPr>
          <w:b w:val="1"/>
          <w:i w:val="1"/>
          <w:sz w:val="22"/>
          <w:szCs w:val="22"/>
          <w:rtl w:val="0"/>
        </w:rPr>
        <w:t xml:space="preserve">Artículo 113</w:t>
      </w:r>
      <w:r w:rsidDel="00000000" w:rsidR="00000000" w:rsidRPr="00000000">
        <w:rPr>
          <w:i w:val="1"/>
          <w:sz w:val="22"/>
          <w:szCs w:val="22"/>
          <w:rtl w:val="0"/>
        </w:rPr>
        <w:t xml:space="preserve">. Como información reservada podrá clasificarse aquella cuya publicación:</w:t>
      </w:r>
    </w:p>
    <w:p w:rsidR="00000000" w:rsidDel="00000000" w:rsidP="00000000" w:rsidRDefault="00000000" w:rsidRPr="00000000" w14:paraId="0000013A">
      <w:pPr>
        <w:spacing w:before="122" w:line="273" w:lineRule="auto"/>
        <w:ind w:left="1248" w:right="1020" w:firstLine="0"/>
        <w:jc w:val="both"/>
        <w:rPr>
          <w:i w:val="1"/>
          <w:sz w:val="22"/>
          <w:szCs w:val="22"/>
        </w:rPr>
      </w:pPr>
      <w:r w:rsidDel="00000000" w:rsidR="00000000" w:rsidRPr="00000000">
        <w:rPr>
          <w:b w:val="1"/>
          <w:i w:val="1"/>
          <w:sz w:val="22"/>
          <w:szCs w:val="22"/>
          <w:rtl w:val="0"/>
        </w:rPr>
        <w:t xml:space="preserve">I. Comprometa la seguridad nacional, la seguridad pública o la defensa nacional y cuente con un propósito genuino y un efecto demostrable</w:t>
      </w:r>
      <w:r w:rsidDel="00000000" w:rsidR="00000000" w:rsidRPr="00000000">
        <w:rPr>
          <w:i w:val="1"/>
          <w:sz w:val="22"/>
          <w:szCs w:val="22"/>
          <w:rtl w:val="0"/>
        </w:rPr>
        <w:t xml:space="preserve">;”</w:t>
      </w:r>
    </w:p>
    <w:p w:rsidR="00000000" w:rsidDel="00000000" w:rsidP="00000000" w:rsidRDefault="00000000" w:rsidRPr="00000000" w14:paraId="0000013B">
      <w:pPr>
        <w:spacing w:before="125" w:line="276" w:lineRule="auto"/>
        <w:ind w:left="1248" w:right="1018" w:firstLine="0"/>
        <w:jc w:val="both"/>
        <w:rPr>
          <w:b w:val="1"/>
          <w:sz w:val="22"/>
          <w:szCs w:val="22"/>
        </w:rPr>
      </w:pPr>
      <w:r w:rsidDel="00000000" w:rsidR="00000000" w:rsidRPr="00000000">
        <w:rPr>
          <w:b w:val="1"/>
          <w:sz w:val="22"/>
          <w:szCs w:val="22"/>
          <w:rtl w:val="0"/>
        </w:rPr>
        <w:t xml:space="preserve">“Ley de Transparencia y Acceso a la Información Pública del Estado de México y Municipios:</w:t>
      </w:r>
    </w:p>
    <w:p w:rsidR="00000000" w:rsidDel="00000000" w:rsidP="00000000" w:rsidRDefault="00000000" w:rsidRPr="00000000" w14:paraId="0000013C">
      <w:pPr>
        <w:spacing w:before="119" w:line="276" w:lineRule="auto"/>
        <w:ind w:left="1248" w:right="1018" w:firstLine="0"/>
        <w:jc w:val="both"/>
        <w:rPr>
          <w:i w:val="1"/>
          <w:sz w:val="22"/>
          <w:szCs w:val="22"/>
        </w:rPr>
      </w:pPr>
      <w:r w:rsidDel="00000000" w:rsidR="00000000" w:rsidRPr="00000000">
        <w:rPr>
          <w:b w:val="1"/>
          <w:i w:val="1"/>
          <w:sz w:val="22"/>
          <w:szCs w:val="22"/>
          <w:rtl w:val="0"/>
        </w:rPr>
        <w:t xml:space="preserve">Artículo 140</w:t>
      </w:r>
      <w:r w:rsidDel="00000000" w:rsidR="00000000" w:rsidRPr="00000000">
        <w:rPr>
          <w:i w:val="1"/>
          <w:sz w:val="22"/>
          <w:szCs w:val="22"/>
          <w:rtl w:val="0"/>
        </w:rPr>
        <w:t xml:space="preserve">. 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13D">
      <w:pPr>
        <w:spacing w:before="123" w:line="273" w:lineRule="auto"/>
        <w:ind w:left="1248" w:right="1018" w:firstLine="0"/>
        <w:jc w:val="both"/>
        <w:rPr>
          <w:i w:val="1"/>
          <w:sz w:val="22"/>
          <w:szCs w:val="22"/>
        </w:rPr>
      </w:pPr>
      <w:r w:rsidDel="00000000" w:rsidR="00000000" w:rsidRPr="00000000">
        <w:rPr>
          <w:b w:val="1"/>
          <w:i w:val="1"/>
          <w:sz w:val="22"/>
          <w:szCs w:val="22"/>
          <w:rtl w:val="0"/>
        </w:rPr>
        <w:t xml:space="preserve">I. Comprometa la seguridad pública y cuente con un propósito genuino y un efecto demostrable</w:t>
      </w:r>
      <w:r w:rsidDel="00000000" w:rsidR="00000000" w:rsidRPr="00000000">
        <w:rPr>
          <w:i w:val="1"/>
          <w:sz w:val="22"/>
          <w:szCs w:val="22"/>
          <w:rtl w:val="0"/>
        </w:rPr>
        <w:t xml:space="preserv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360" w:lineRule="auto"/>
        <w:ind w:left="682" w:right="1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Correlativo a lo anterior, Lineamientos Generales en Materia de Clasificación y Desclasificación de la Información, así como para la Elaboración de Versiones Públicas, publicados el 16 de abril de 2016 y reformados el 18 de noviembre de 2022</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18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6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00000" w:rsidDel="00000000" w:rsidP="00000000" w:rsidRDefault="00000000" w:rsidRPr="00000000" w14:paraId="00000149">
      <w:pPr>
        <w:spacing w:before="238" w:line="360" w:lineRule="auto"/>
        <w:ind w:left="682" w:right="118" w:firstLine="0"/>
        <w:jc w:val="both"/>
        <w:rPr>
          <w:sz w:val="24"/>
          <w:szCs w:val="24"/>
        </w:rPr>
      </w:pPr>
      <w:r w:rsidDel="00000000" w:rsidR="00000000" w:rsidRPr="00000000">
        <w:rPr>
          <w:sz w:val="24"/>
          <w:szCs w:val="24"/>
          <w:rtl w:val="0"/>
        </w:rPr>
        <w:t xml:space="preserve">Es crucial señalar que estos Lineamientos señalan </w:t>
      </w:r>
      <w:r w:rsidDel="00000000" w:rsidR="00000000" w:rsidRPr="00000000">
        <w:rPr>
          <w:b w:val="1"/>
          <w:sz w:val="24"/>
          <w:szCs w:val="24"/>
          <w:u w:val="single"/>
          <w:rtl w:val="0"/>
        </w:rPr>
        <w:t xml:space="preserve">que es susceptible de</w:t>
      </w:r>
      <w:r w:rsidDel="00000000" w:rsidR="00000000" w:rsidRPr="00000000">
        <w:rPr>
          <w:b w:val="1"/>
          <w:sz w:val="24"/>
          <w:szCs w:val="24"/>
          <w:rtl w:val="0"/>
        </w:rPr>
        <w:t xml:space="preserve"> </w:t>
      </w:r>
      <w:r w:rsidDel="00000000" w:rsidR="00000000" w:rsidRPr="00000000">
        <w:rPr>
          <w:b w:val="1"/>
          <w:sz w:val="24"/>
          <w:szCs w:val="24"/>
          <w:u w:val="single"/>
          <w:rtl w:val="0"/>
        </w:rPr>
        <w:t xml:space="preserve">considerarse como reservada aquella que revele datos que pudieran ser</w:t>
      </w:r>
      <w:r w:rsidDel="00000000" w:rsidR="00000000" w:rsidRPr="00000000">
        <w:rPr>
          <w:b w:val="1"/>
          <w:sz w:val="24"/>
          <w:szCs w:val="24"/>
          <w:rtl w:val="0"/>
        </w:rPr>
        <w:t xml:space="preserve"> </w:t>
      </w:r>
      <w:r w:rsidDel="00000000" w:rsidR="00000000" w:rsidRPr="00000000">
        <w:rPr>
          <w:b w:val="1"/>
          <w:sz w:val="24"/>
          <w:szCs w:val="24"/>
          <w:u w:val="single"/>
          <w:rtl w:val="0"/>
        </w:rPr>
        <w:t xml:space="preserve">aprovechados para conocer la capacidad de reacción de las instituciones</w:t>
      </w:r>
      <w:r w:rsidDel="00000000" w:rsidR="00000000" w:rsidRPr="00000000">
        <w:rPr>
          <w:b w:val="1"/>
          <w:sz w:val="24"/>
          <w:szCs w:val="24"/>
          <w:rtl w:val="0"/>
        </w:rPr>
        <w:t xml:space="preserve"> </w:t>
      </w:r>
      <w:r w:rsidDel="00000000" w:rsidR="00000000" w:rsidRPr="00000000">
        <w:rPr>
          <w:b w:val="1"/>
          <w:sz w:val="24"/>
          <w:szCs w:val="24"/>
          <w:u w:val="single"/>
          <w:rtl w:val="0"/>
        </w:rPr>
        <w:t xml:space="preserve">encargadas  de  la  seguridad  pública</w:t>
      </w:r>
      <w:r w:rsidDel="00000000" w:rsidR="00000000" w:rsidRPr="00000000">
        <w:rPr>
          <w:sz w:val="24"/>
          <w:szCs w:val="24"/>
          <w:rtl w:val="0"/>
        </w:rPr>
        <w:t xml:space="preserve">,  sus  planes,  estrategias,  tecnología,</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información, sistemas de comunicaciones.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19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conclusión, la reserva del personal operativo procede por dos circunstancias: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5"/>
        </w:tabs>
        <w:spacing w:after="0" w:before="0" w:line="360" w:lineRule="auto"/>
        <w:ind w:left="1248" w:right="10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identifica en términos concretos cómo es que la información requerida podría comprometer el ejercicio de sus facultades constitucionales y, con ello, la seguridad pública, en virtud de que:</w:t>
      </w:r>
    </w:p>
    <w:p w:rsidR="00000000" w:rsidDel="00000000" w:rsidP="00000000" w:rsidRDefault="00000000" w:rsidRPr="00000000" w14:paraId="000001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22"/>
        </w:tabs>
        <w:spacing w:after="0" w:before="240" w:line="360" w:lineRule="auto"/>
        <w:ind w:left="1248" w:right="102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información podría ser aprovechada por los grupos criminales para conocer la capacidad de reacción</w:t>
      </w:r>
    </w:p>
    <w:p w:rsidR="00000000" w:rsidDel="00000000" w:rsidP="00000000" w:rsidRDefault="00000000" w:rsidRPr="00000000" w14:paraId="000001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61"/>
        </w:tabs>
        <w:spacing w:after="0" w:before="241" w:line="360" w:lineRule="auto"/>
        <w:ind w:left="1248" w:right="102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dicha información se revelarían a detalle las características funcionales del personal y con ello, su organización para el cumplimiento de sus funciones; y</w:t>
      </w:r>
    </w:p>
    <w:p w:rsidR="00000000" w:rsidDel="00000000" w:rsidP="00000000" w:rsidRDefault="00000000" w:rsidRPr="00000000" w14:paraId="000001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80"/>
        </w:tabs>
        <w:spacing w:after="0" w:before="240" w:line="360" w:lineRule="auto"/>
        <w:ind w:left="1248" w:right="10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682" w:right="0" w:firstLine="0"/>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tanto, entre mayor información se dé a conocer respecto del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estado de fuerza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68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que cuentan el Estado y Municipios, mayor es la probabilidad de que la</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20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1056873</wp:posOffset>
            </wp:positionH>
            <wp:positionV relativeFrom="page">
              <wp:posOffset>363012</wp:posOffset>
            </wp:positionV>
            <wp:extent cx="6153029" cy="9604578"/>
            <wp:effectExtent b="0" l="0" r="0" t="0"/>
            <wp:wrapNone/>
            <wp:docPr id="7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029"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información pueda implementarse como medio para actualizar o potenciar una amenaza en contra de la seguridad pública de los mismos.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25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 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facilitaría</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 a las células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delictivas el neutralizar las acciones implementadas o por implementar para la</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preservación de la paz pública, afectando así su estado de fuerza, o bien les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permita</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realizar actos para amenazar, inhibir, extorsionar o corromper las funciones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21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1044575</wp:posOffset>
                </wp:positionH>
                <wp:positionV relativeFrom="page">
                  <wp:posOffset>363012</wp:posOffset>
                </wp:positionV>
                <wp:extent cx="6165850" cy="9605010"/>
                <wp:effectExtent b="0" l="0" r="0" t="0"/>
                <wp:wrapNone/>
                <wp:docPr id="57" name=""/>
                <a:graphic>
                  <a:graphicData uri="http://schemas.microsoft.com/office/word/2010/wordprocessingGroup">
                    <wpg:wgp>
                      <wpg:cNvGrpSpPr/>
                      <wpg:grpSpPr>
                        <a:xfrm>
                          <a:off x="2263050" y="0"/>
                          <a:ext cx="6165850" cy="9605010"/>
                          <a:chOff x="2263050" y="0"/>
                          <a:chExt cx="6165875" cy="7560000"/>
                        </a:xfrm>
                      </wpg:grpSpPr>
                      <wpg:grpSp>
                        <wpg:cNvGrpSpPr/>
                        <wpg:grpSpPr>
                          <a:xfrm>
                            <a:off x="2263075" y="0"/>
                            <a:ext cx="6165850" cy="7559992"/>
                            <a:chOff x="0" y="0"/>
                            <a:chExt cx="6165850" cy="9605000"/>
                          </a:xfrm>
                        </wpg:grpSpPr>
                        <wps:wsp>
                          <wps:cNvSpPr/>
                          <wps:cNvPr id="3" name="Shape 3"/>
                          <wps:spPr>
                            <a:xfrm>
                              <a:off x="0" y="0"/>
                              <a:ext cx="6165850" cy="96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8">
                              <a:alphaModFix/>
                            </a:blip>
                            <a:srcRect b="0" l="0" r="0" t="0"/>
                            <a:stretch/>
                          </pic:blipFill>
                          <pic:spPr>
                            <a:xfrm>
                              <a:off x="12298" y="0"/>
                              <a:ext cx="6153029" cy="9604578"/>
                            </a:xfrm>
                            <a:prstGeom prst="rect">
                              <a:avLst/>
                            </a:prstGeom>
                            <a:noFill/>
                            <a:ln>
                              <a:noFill/>
                            </a:ln>
                          </pic:spPr>
                        </pic:pic>
                        <wps:wsp>
                          <wps:cNvSpPr/>
                          <wps:cNvPr id="11" name="Shape 11"/>
                          <wps:spPr>
                            <a:xfrm>
                              <a:off x="3175" y="2570306"/>
                              <a:ext cx="5438775" cy="6258560"/>
                            </a:xfrm>
                            <a:custGeom>
                              <a:rect b="b" l="l" r="r" t="t"/>
                              <a:pathLst>
                                <a:path extrusionOk="0" h="6258560" w="5438775">
                                  <a:moveTo>
                                    <a:pt x="0" y="0"/>
                                  </a:moveTo>
                                  <a:lnTo>
                                    <a:pt x="5438775" y="6257937"/>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1044575</wp:posOffset>
                </wp:positionH>
                <wp:positionV relativeFrom="page">
                  <wp:posOffset>363012</wp:posOffset>
                </wp:positionV>
                <wp:extent cx="6165850" cy="9605010"/>
                <wp:effectExtent b="0" l="0" r="0" t="0"/>
                <wp:wrapNone/>
                <wp:docPr id="5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165850" cy="96050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spacing w:before="0" w:lineRule="auto"/>
        <w:ind w:left="4589" w:right="111" w:firstLine="2909"/>
        <w:jc w:val="left"/>
        <w:rPr>
          <w:b w:val="1"/>
          <w:sz w:val="20"/>
          <w:szCs w:val="20"/>
        </w:rPr>
      </w:pPr>
      <w:r w:rsidDel="00000000" w:rsidR="00000000" w:rsidRPr="00000000">
        <w:rPr>
          <w:b w:val="1"/>
          <w:sz w:val="20"/>
          <w:szCs w:val="20"/>
          <w:rtl w:val="0"/>
        </w:rPr>
        <w:t xml:space="preserve">VOTO PARTICULAR RECURSO DE REVISIÓN 01470/INFOEM/IP/RR/2023</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682" w:right="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spacing w:before="0" w:lineRule="auto"/>
        <w:ind w:left="0" w:right="120" w:firstLine="0"/>
        <w:jc w:val="right"/>
        <w:rPr>
          <w:rFonts w:ascii="Arial" w:cs="Arial" w:eastAsia="Arial" w:hAnsi="Arial"/>
          <w:b w:val="1"/>
          <w:sz w:val="20"/>
          <w:szCs w:val="20"/>
        </w:rPr>
        <w:sectPr>
          <w:type w:val="nextPage"/>
          <w:pgSz w:h="15840" w:w="12240" w:orient="portrait"/>
          <w:pgMar w:bottom="0" w:top="580" w:left="1020" w:right="1580" w:header="360" w:footer="360"/>
        </w:sectPr>
      </w:pPr>
      <w:r w:rsidDel="00000000" w:rsidR="00000000" w:rsidRPr="00000000">
        <w:rPr>
          <w:rFonts w:ascii="Arial" w:cs="Arial" w:eastAsia="Arial" w:hAnsi="Arial"/>
          <w:b w:val="1"/>
          <w:sz w:val="20"/>
          <w:szCs w:val="20"/>
          <w:rtl w:val="0"/>
        </w:rPr>
        <w:t xml:space="preserve">22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23</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55"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1">
                              <a:alphaModFix/>
                            </a:blip>
                            <a:srcRect b="0" l="0" r="0" t="0"/>
                            <a:stretch/>
                          </pic:blipFill>
                          <pic:spPr>
                            <a:xfrm>
                              <a:off x="0" y="92627"/>
                              <a:ext cx="7379208" cy="715518"/>
                            </a:xfrm>
                            <a:prstGeom prst="rect">
                              <a:avLst/>
                            </a:prstGeom>
                            <a:noFill/>
                            <a:ln>
                              <a:noFill/>
                            </a:ln>
                          </pic:spPr>
                        </pic:pic>
                        <wps:wsp>
                          <wps:cNvSpPr/>
                          <wps:cNvPr id="5" name="Shape 5"/>
                          <wps:spPr>
                            <a:xfrm>
                              <a:off x="6045200" y="0"/>
                              <a:ext cx="929640" cy="135255"/>
                            </a:xfrm>
                            <a:prstGeom prst="rect">
                              <a:avLst/>
                            </a:prstGeom>
                            <a:no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23 de 23</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5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86757" cy="700944"/>
            <wp:effectExtent b="0" l="0" r="0" t="0"/>
            <wp:docPr id="6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9">
      <w:pPr>
        <w:spacing w:before="0"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48" w:hanging="288"/>
      </w:pPr>
      <w:rPr>
        <w:rFonts w:ascii="Palatino Linotype" w:cs="Palatino Linotype" w:eastAsia="Palatino Linotype" w:hAnsi="Palatino Linotype"/>
        <w:b w:val="0"/>
        <w:i w:val="0"/>
        <w:sz w:val="24"/>
        <w:szCs w:val="24"/>
      </w:rPr>
    </w:lvl>
    <w:lvl w:ilvl="1">
      <w:start w:val="1"/>
      <w:numFmt w:val="lowerLetter"/>
      <w:lvlText w:val="%2)"/>
      <w:lvlJc w:val="left"/>
      <w:pPr>
        <w:ind w:left="1248" w:hanging="276.0000000000001"/>
      </w:pPr>
      <w:rPr>
        <w:rFonts w:ascii="Palatino Linotype" w:cs="Palatino Linotype" w:eastAsia="Palatino Linotype" w:hAnsi="Palatino Linotype"/>
        <w:b w:val="0"/>
        <w:i w:val="0"/>
        <w:sz w:val="24"/>
        <w:szCs w:val="24"/>
      </w:rPr>
    </w:lvl>
    <w:lvl w:ilvl="2">
      <w:start w:val="0"/>
      <w:numFmt w:val="bullet"/>
      <w:lvlText w:val="•"/>
      <w:lvlJc w:val="left"/>
      <w:pPr>
        <w:ind w:left="2920" w:hanging="276"/>
      </w:pPr>
      <w:rPr/>
    </w:lvl>
    <w:lvl w:ilvl="3">
      <w:start w:val="0"/>
      <w:numFmt w:val="bullet"/>
      <w:lvlText w:val="•"/>
      <w:lvlJc w:val="left"/>
      <w:pPr>
        <w:ind w:left="3760" w:hanging="276"/>
      </w:pPr>
      <w:rPr/>
    </w:lvl>
    <w:lvl w:ilvl="4">
      <w:start w:val="0"/>
      <w:numFmt w:val="bullet"/>
      <w:lvlText w:val="•"/>
      <w:lvlJc w:val="left"/>
      <w:pPr>
        <w:ind w:left="4600" w:hanging="276"/>
      </w:pPr>
      <w:rPr/>
    </w:lvl>
    <w:lvl w:ilvl="5">
      <w:start w:val="0"/>
      <w:numFmt w:val="bullet"/>
      <w:lvlText w:val="•"/>
      <w:lvlJc w:val="left"/>
      <w:pPr>
        <w:ind w:left="5440" w:hanging="276"/>
      </w:pPr>
      <w:rPr/>
    </w:lvl>
    <w:lvl w:ilvl="6">
      <w:start w:val="0"/>
      <w:numFmt w:val="bullet"/>
      <w:lvlText w:val="•"/>
      <w:lvlJc w:val="left"/>
      <w:pPr>
        <w:ind w:left="6280" w:hanging="276"/>
      </w:pPr>
      <w:rPr/>
    </w:lvl>
    <w:lvl w:ilvl="7">
      <w:start w:val="0"/>
      <w:numFmt w:val="bullet"/>
      <w:lvlText w:val="•"/>
      <w:lvlJc w:val="left"/>
      <w:pPr>
        <w:ind w:left="7120" w:hanging="276"/>
      </w:pPr>
      <w:rPr/>
    </w:lvl>
    <w:lvl w:ilvl="8">
      <w:start w:val="0"/>
      <w:numFmt w:val="bullet"/>
      <w:lvlText w:val="•"/>
      <w:lvlJc w:val="left"/>
      <w:pPr>
        <w:ind w:left="7960" w:hanging="276"/>
      </w:pPr>
      <w:rPr/>
    </w:lvl>
  </w:abstractNum>
  <w:abstractNum w:abstractNumId="2">
    <w:lvl w:ilvl="0">
      <w:start w:val="1"/>
      <w:numFmt w:val="upperRoman"/>
      <w:lvlText w:val="%1."/>
      <w:lvlJc w:val="left"/>
      <w:pPr>
        <w:ind w:left="1248" w:hanging="269"/>
      </w:pPr>
      <w:rPr/>
    </w:lvl>
    <w:lvl w:ilvl="1">
      <w:start w:val="0"/>
      <w:numFmt w:val="bullet"/>
      <w:lvlText w:val="•"/>
      <w:lvlJc w:val="left"/>
      <w:pPr>
        <w:ind w:left="2080" w:hanging="269"/>
      </w:pPr>
      <w:rPr/>
    </w:lvl>
    <w:lvl w:ilvl="2">
      <w:start w:val="0"/>
      <w:numFmt w:val="bullet"/>
      <w:lvlText w:val="•"/>
      <w:lvlJc w:val="left"/>
      <w:pPr>
        <w:ind w:left="2920" w:hanging="269"/>
      </w:pPr>
      <w:rPr/>
    </w:lvl>
    <w:lvl w:ilvl="3">
      <w:start w:val="0"/>
      <w:numFmt w:val="bullet"/>
      <w:lvlText w:val="•"/>
      <w:lvlJc w:val="left"/>
      <w:pPr>
        <w:ind w:left="3760" w:hanging="269"/>
      </w:pPr>
      <w:rPr/>
    </w:lvl>
    <w:lvl w:ilvl="4">
      <w:start w:val="0"/>
      <w:numFmt w:val="bullet"/>
      <w:lvlText w:val="•"/>
      <w:lvlJc w:val="left"/>
      <w:pPr>
        <w:ind w:left="4600" w:hanging="269"/>
      </w:pPr>
      <w:rPr/>
    </w:lvl>
    <w:lvl w:ilvl="5">
      <w:start w:val="0"/>
      <w:numFmt w:val="bullet"/>
      <w:lvlText w:val="•"/>
      <w:lvlJc w:val="left"/>
      <w:pPr>
        <w:ind w:left="5440" w:hanging="269"/>
      </w:pPr>
      <w:rPr/>
    </w:lvl>
    <w:lvl w:ilvl="6">
      <w:start w:val="0"/>
      <w:numFmt w:val="bullet"/>
      <w:lvlText w:val="•"/>
      <w:lvlJc w:val="left"/>
      <w:pPr>
        <w:ind w:left="6280" w:hanging="269"/>
      </w:pPr>
      <w:rPr/>
    </w:lvl>
    <w:lvl w:ilvl="7">
      <w:start w:val="0"/>
      <w:numFmt w:val="bullet"/>
      <w:lvlText w:val="•"/>
      <w:lvlJc w:val="left"/>
      <w:pPr>
        <w:ind w:left="7120" w:hanging="269"/>
      </w:pPr>
      <w:rPr/>
    </w:lvl>
    <w:lvl w:ilvl="8">
      <w:start w:val="0"/>
      <w:numFmt w:val="bullet"/>
      <w:lvlText w:val="•"/>
      <w:lvlJc w:val="left"/>
      <w:pPr>
        <w:ind w:left="7960" w:hanging="269"/>
      </w:pPr>
      <w:rPr/>
    </w:lvl>
  </w:abstractNum>
  <w:abstractNum w:abstractNumId="3">
    <w:lvl w:ilvl="0">
      <w:start w:val="1"/>
      <w:numFmt w:val="upperRoman"/>
      <w:lvlText w:val="%1."/>
      <w:lvlJc w:val="left"/>
      <w:pPr>
        <w:ind w:left="1248" w:hanging="269"/>
      </w:pPr>
      <w:rPr>
        <w:rFonts w:ascii="Palatino Linotype" w:cs="Palatino Linotype" w:eastAsia="Palatino Linotype" w:hAnsi="Palatino Linotype"/>
        <w:b w:val="0"/>
        <w:i w:val="1"/>
        <w:sz w:val="22"/>
        <w:szCs w:val="22"/>
      </w:rPr>
    </w:lvl>
    <w:lvl w:ilvl="1">
      <w:start w:val="0"/>
      <w:numFmt w:val="bullet"/>
      <w:lvlText w:val="•"/>
      <w:lvlJc w:val="left"/>
      <w:pPr>
        <w:ind w:left="2080" w:hanging="269"/>
      </w:pPr>
      <w:rPr/>
    </w:lvl>
    <w:lvl w:ilvl="2">
      <w:start w:val="0"/>
      <w:numFmt w:val="bullet"/>
      <w:lvlText w:val="•"/>
      <w:lvlJc w:val="left"/>
      <w:pPr>
        <w:ind w:left="2920" w:hanging="269"/>
      </w:pPr>
      <w:rPr/>
    </w:lvl>
    <w:lvl w:ilvl="3">
      <w:start w:val="0"/>
      <w:numFmt w:val="bullet"/>
      <w:lvlText w:val="•"/>
      <w:lvlJc w:val="left"/>
      <w:pPr>
        <w:ind w:left="3760" w:hanging="269"/>
      </w:pPr>
      <w:rPr/>
    </w:lvl>
    <w:lvl w:ilvl="4">
      <w:start w:val="0"/>
      <w:numFmt w:val="bullet"/>
      <w:lvlText w:val="•"/>
      <w:lvlJc w:val="left"/>
      <w:pPr>
        <w:ind w:left="4600" w:hanging="269"/>
      </w:pPr>
      <w:rPr/>
    </w:lvl>
    <w:lvl w:ilvl="5">
      <w:start w:val="0"/>
      <w:numFmt w:val="bullet"/>
      <w:lvlText w:val="•"/>
      <w:lvlJc w:val="left"/>
      <w:pPr>
        <w:ind w:left="5440" w:hanging="269"/>
      </w:pPr>
      <w:rPr/>
    </w:lvl>
    <w:lvl w:ilvl="6">
      <w:start w:val="0"/>
      <w:numFmt w:val="bullet"/>
      <w:lvlText w:val="•"/>
      <w:lvlJc w:val="left"/>
      <w:pPr>
        <w:ind w:left="6280" w:hanging="269"/>
      </w:pPr>
      <w:rPr/>
    </w:lvl>
    <w:lvl w:ilvl="7">
      <w:start w:val="0"/>
      <w:numFmt w:val="bullet"/>
      <w:lvlText w:val="•"/>
      <w:lvlJc w:val="left"/>
      <w:pPr>
        <w:ind w:left="7120" w:hanging="269"/>
      </w:pPr>
      <w:rPr/>
    </w:lvl>
    <w:lvl w:ilvl="8">
      <w:start w:val="0"/>
      <w:numFmt w:val="bullet"/>
      <w:lvlText w:val="•"/>
      <w:lvlJc w:val="left"/>
      <w:pPr>
        <w:ind w:left="7960" w:hanging="269"/>
      </w:pPr>
      <w:rPr/>
    </w:lvl>
  </w:abstractNum>
  <w:abstractNum w:abstractNumId="4">
    <w:lvl w:ilvl="0">
      <w:start w:val="1"/>
      <w:numFmt w:val="lowerLetter"/>
      <w:lvlText w:val="%1)"/>
      <w:lvlJc w:val="left"/>
      <w:pPr>
        <w:ind w:left="682" w:hanging="235"/>
      </w:pPr>
      <w:rPr/>
    </w:lvl>
    <w:lvl w:ilvl="1">
      <w:start w:val="1"/>
      <w:numFmt w:val="upperRoman"/>
      <w:lvlText w:val="%2."/>
      <w:lvlJc w:val="left"/>
      <w:pPr>
        <w:ind w:left="1248" w:hanging="281.0000000000001"/>
      </w:pPr>
      <w:rPr/>
    </w:lvl>
    <w:lvl w:ilvl="2">
      <w:start w:val="0"/>
      <w:numFmt w:val="bullet"/>
      <w:lvlText w:val="•"/>
      <w:lvlJc w:val="left"/>
      <w:pPr>
        <w:ind w:left="2173" w:hanging="280.9999999999998"/>
      </w:pPr>
      <w:rPr/>
    </w:lvl>
    <w:lvl w:ilvl="3">
      <w:start w:val="0"/>
      <w:numFmt w:val="bullet"/>
      <w:lvlText w:val="•"/>
      <w:lvlJc w:val="left"/>
      <w:pPr>
        <w:ind w:left="3106" w:hanging="281"/>
      </w:pPr>
      <w:rPr/>
    </w:lvl>
    <w:lvl w:ilvl="4">
      <w:start w:val="0"/>
      <w:numFmt w:val="bullet"/>
      <w:lvlText w:val="•"/>
      <w:lvlJc w:val="left"/>
      <w:pPr>
        <w:ind w:left="4040" w:hanging="281"/>
      </w:pPr>
      <w:rPr/>
    </w:lvl>
    <w:lvl w:ilvl="5">
      <w:start w:val="0"/>
      <w:numFmt w:val="bullet"/>
      <w:lvlText w:val="•"/>
      <w:lvlJc w:val="left"/>
      <w:pPr>
        <w:ind w:left="4973" w:hanging="281"/>
      </w:pPr>
      <w:rPr/>
    </w:lvl>
    <w:lvl w:ilvl="6">
      <w:start w:val="0"/>
      <w:numFmt w:val="bullet"/>
      <w:lvlText w:val="•"/>
      <w:lvlJc w:val="left"/>
      <w:pPr>
        <w:ind w:left="5906" w:hanging="281"/>
      </w:pPr>
      <w:rPr/>
    </w:lvl>
    <w:lvl w:ilvl="7">
      <w:start w:val="0"/>
      <w:numFmt w:val="bullet"/>
      <w:lvlText w:val="•"/>
      <w:lvlJc w:val="left"/>
      <w:pPr>
        <w:ind w:left="6840" w:hanging="281"/>
      </w:pPr>
      <w:rPr/>
    </w:lvl>
    <w:lvl w:ilvl="8">
      <w:start w:val="0"/>
      <w:numFmt w:val="bullet"/>
      <w:lvlText w:val="•"/>
      <w:lvlJc w:val="left"/>
      <w:pPr>
        <w:ind w:left="7773" w:hanging="281.0000000000009"/>
      </w:pPr>
      <w:rPr/>
    </w:lvl>
  </w:abstractNum>
  <w:abstractNum w:abstractNumId="5">
    <w:lvl w:ilvl="0">
      <w:start w:val="1"/>
      <w:numFmt w:val="lowerLetter"/>
      <w:lvlText w:val="%1)"/>
      <w:lvlJc w:val="left"/>
      <w:pPr>
        <w:ind w:left="1248" w:hanging="293"/>
      </w:pPr>
      <w:rPr>
        <w:rFonts w:ascii="Palatino Linotype" w:cs="Palatino Linotype" w:eastAsia="Palatino Linotype" w:hAnsi="Palatino Linotype"/>
        <w:b w:val="1"/>
        <w:i w:val="0"/>
        <w:sz w:val="22"/>
        <w:szCs w:val="22"/>
      </w:rPr>
    </w:lvl>
    <w:lvl w:ilvl="1">
      <w:start w:val="0"/>
      <w:numFmt w:val="bullet"/>
      <w:lvlText w:val="•"/>
      <w:lvlJc w:val="left"/>
      <w:pPr>
        <w:ind w:left="2080" w:hanging="293"/>
      </w:pPr>
      <w:rPr/>
    </w:lvl>
    <w:lvl w:ilvl="2">
      <w:start w:val="0"/>
      <w:numFmt w:val="bullet"/>
      <w:lvlText w:val="•"/>
      <w:lvlJc w:val="left"/>
      <w:pPr>
        <w:ind w:left="2920" w:hanging="293"/>
      </w:pPr>
      <w:rPr/>
    </w:lvl>
    <w:lvl w:ilvl="3">
      <w:start w:val="0"/>
      <w:numFmt w:val="bullet"/>
      <w:lvlText w:val="•"/>
      <w:lvlJc w:val="left"/>
      <w:pPr>
        <w:ind w:left="3760" w:hanging="293"/>
      </w:pPr>
      <w:rPr/>
    </w:lvl>
    <w:lvl w:ilvl="4">
      <w:start w:val="0"/>
      <w:numFmt w:val="bullet"/>
      <w:lvlText w:val="•"/>
      <w:lvlJc w:val="left"/>
      <w:pPr>
        <w:ind w:left="4600" w:hanging="293"/>
      </w:pPr>
      <w:rPr/>
    </w:lvl>
    <w:lvl w:ilvl="5">
      <w:start w:val="0"/>
      <w:numFmt w:val="bullet"/>
      <w:lvlText w:val="•"/>
      <w:lvlJc w:val="left"/>
      <w:pPr>
        <w:ind w:left="5440" w:hanging="293"/>
      </w:pPr>
      <w:rPr/>
    </w:lvl>
    <w:lvl w:ilvl="6">
      <w:start w:val="0"/>
      <w:numFmt w:val="bullet"/>
      <w:lvlText w:val="•"/>
      <w:lvlJc w:val="left"/>
      <w:pPr>
        <w:ind w:left="6280" w:hanging="293"/>
      </w:pPr>
      <w:rPr/>
    </w:lvl>
    <w:lvl w:ilvl="7">
      <w:start w:val="0"/>
      <w:numFmt w:val="bullet"/>
      <w:lvlText w:val="•"/>
      <w:lvlJc w:val="left"/>
      <w:pPr>
        <w:ind w:left="7120" w:hanging="293"/>
      </w:pPr>
      <w:rPr/>
    </w:lvl>
    <w:lvl w:ilvl="8">
      <w:start w:val="0"/>
      <w:numFmt w:val="bullet"/>
      <w:lvlText w:val="•"/>
      <w:lvlJc w:val="left"/>
      <w:pPr>
        <w:ind w:left="7960" w:hanging="293"/>
      </w:pPr>
      <w:rPr/>
    </w:lvl>
  </w:abstractNum>
  <w:abstractNum w:abstractNumId="6">
    <w:lvl w:ilvl="0">
      <w:start w:val="1"/>
      <w:numFmt w:val="decimal"/>
      <w:lvlText w:val="%1."/>
      <w:lvlJc w:val="left"/>
      <w:pPr>
        <w:ind w:left="1469" w:hanging="221"/>
      </w:pPr>
      <w:rPr>
        <w:rFonts w:ascii="Palatino Linotype" w:cs="Palatino Linotype" w:eastAsia="Palatino Linotype" w:hAnsi="Palatino Linotype"/>
        <w:b w:val="0"/>
        <w:i w:val="1"/>
        <w:sz w:val="22"/>
        <w:szCs w:val="22"/>
      </w:rPr>
    </w:lvl>
    <w:lvl w:ilvl="1">
      <w:start w:val="0"/>
      <w:numFmt w:val="bullet"/>
      <w:lvlText w:val="•"/>
      <w:lvlJc w:val="left"/>
      <w:pPr>
        <w:ind w:left="2278" w:hanging="221"/>
      </w:pPr>
      <w:rPr/>
    </w:lvl>
    <w:lvl w:ilvl="2">
      <w:start w:val="0"/>
      <w:numFmt w:val="bullet"/>
      <w:lvlText w:val="•"/>
      <w:lvlJc w:val="left"/>
      <w:pPr>
        <w:ind w:left="3096" w:hanging="221"/>
      </w:pPr>
      <w:rPr/>
    </w:lvl>
    <w:lvl w:ilvl="3">
      <w:start w:val="0"/>
      <w:numFmt w:val="bullet"/>
      <w:lvlText w:val="•"/>
      <w:lvlJc w:val="left"/>
      <w:pPr>
        <w:ind w:left="3914" w:hanging="221.00000000000045"/>
      </w:pPr>
      <w:rPr/>
    </w:lvl>
    <w:lvl w:ilvl="4">
      <w:start w:val="0"/>
      <w:numFmt w:val="bullet"/>
      <w:lvlText w:val="•"/>
      <w:lvlJc w:val="left"/>
      <w:pPr>
        <w:ind w:left="4732" w:hanging="221"/>
      </w:pPr>
      <w:rPr/>
    </w:lvl>
    <w:lvl w:ilvl="5">
      <w:start w:val="0"/>
      <w:numFmt w:val="bullet"/>
      <w:lvlText w:val="•"/>
      <w:lvlJc w:val="left"/>
      <w:pPr>
        <w:ind w:left="5550" w:hanging="221"/>
      </w:pPr>
      <w:rPr/>
    </w:lvl>
    <w:lvl w:ilvl="6">
      <w:start w:val="0"/>
      <w:numFmt w:val="bullet"/>
      <w:lvlText w:val="•"/>
      <w:lvlJc w:val="left"/>
      <w:pPr>
        <w:ind w:left="6368" w:hanging="221.0000000000009"/>
      </w:pPr>
      <w:rPr/>
    </w:lvl>
    <w:lvl w:ilvl="7">
      <w:start w:val="0"/>
      <w:numFmt w:val="bullet"/>
      <w:lvlText w:val="•"/>
      <w:lvlJc w:val="left"/>
      <w:pPr>
        <w:ind w:left="7186" w:hanging="221"/>
      </w:pPr>
      <w:rPr/>
    </w:lvl>
    <w:lvl w:ilvl="8">
      <w:start w:val="0"/>
      <w:numFmt w:val="bullet"/>
      <w:lvlText w:val="•"/>
      <w:lvlJc w:val="left"/>
      <w:pPr>
        <w:ind w:left="8004" w:hanging="221"/>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82"/>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682"/>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spacing w:before="239"/>
      <w:ind w:left="1248"/>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D2qWowTsSvPBKzDQZtgAe6klg==">CgMxLjA4AHIhMUZkYmF2QUxTVWJjelNZVWoxb3pvYmlaa1lXODFDdHRp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2024-08-29T23:38:23Z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2023-10-30T00:00:00Z</vt:lpwstr>
  </property>
  <property fmtid="{D5CDD505-2E9C-101B-9397-08002B2CF9AE}" pid="3" name="Creator">
    <vt:lpwstr>Microsoft® Word 2013</vt:lpwstr>
  </property>
  <property fmtid="{D5CDD505-2E9C-101B-9397-08002B2CF9AE}" pid="4" name="LastSaved">
    <vt:lpwstr>2024-08-29T00:00:00Z</vt:lpwstr>
  </property>
  <property fmtid="{D5CDD505-2E9C-101B-9397-08002B2CF9AE}" pid="5" name="Producer">
    <vt:lpwstr>Microsoft® Word 2013; modified using iText® 5.5.13 ©2000-2018 iText Group NV (AGPL-version)</vt:lpwstr>
  </property>
</Properties>
</file>