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360" w:lineRule="auto"/>
        <w:jc w:val="both"/>
        <w:rPr/>
      </w:pPr>
      <w:r w:rsidDel="00000000" w:rsidR="00000000" w:rsidRPr="00000000">
        <w:rPr>
          <w:rFonts w:ascii="Palatino Linotype" w:cs="Palatino Linotype" w:eastAsia="Palatino Linotype" w:hAnsi="Palatino Linotype"/>
          <w:b w:val="1"/>
          <w:sz w:val="24"/>
          <w:szCs w:val="24"/>
          <w:rtl w:val="0"/>
        </w:rPr>
        <w:t xml:space="preserve">VOTO PARTICULAR QUE F</w:t>
      </w:r>
      <w:r w:rsidDel="00000000" w:rsidR="00000000" w:rsidRPr="00000000">
        <w:rPr>
          <w:rFonts w:ascii="Palatino Linotype" w:cs="Palatino Linotype" w:eastAsia="Palatino Linotype" w:hAnsi="Palatino Linotype"/>
          <w:b w:val="1"/>
          <w:color w:val="000000"/>
          <w:sz w:val="24"/>
          <w:szCs w:val="24"/>
          <w:rtl w:val="0"/>
        </w:rPr>
        <w:t xml:space="preserve">ORMULA</w:t>
      </w:r>
      <w:r w:rsidDel="00000000" w:rsidR="00000000" w:rsidRPr="00000000">
        <w:rPr>
          <w:rFonts w:ascii="Palatino Linotype" w:cs="Palatino Linotype" w:eastAsia="Palatino Linotype" w:hAnsi="Palatino Linotype"/>
          <w:b w:val="1"/>
          <w:sz w:val="24"/>
          <w:szCs w:val="24"/>
          <w:rtl w:val="0"/>
        </w:rPr>
        <w:t xml:space="preserve"> LA COMISIONADA GUADALUPE RAMÍREZ PEÑA, EN RELACIÓN CON LA RESOLUCIÓN DICTADA POR EL PLENO DEL INSTITUTO DE TRANSPARENCIA, ACCESO A LA INFORMACIÓN PÚBLICA Y PROTECCIÓN DE DATOS PERSONALES DEL ESTADO DE MÉXICO Y MUNICIPIOS, EN LA CUADRAGÉSIMA QUINTA SESIÓN ORDINARIA DEL TRECE DE DICIEMBRE DE DOS MIL VEINTITRÉS, EN EL RECURSO DE REVISIÓN 05535/INFOEM/IP/RR/2023 Y ACUMULADOS.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2625" cy="682625"/>
                <wp:effectExtent b="0" l="0" r="0" t="0"/>
                <wp:wrapNone/>
                <wp:docPr id="3"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2625" cy="682625"/>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2625" cy="68262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right="49"/>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right="4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 que suscribe emite VOTO PARTICULAR respecto a la resolución dictada en los recursos de revisión 05535/INFOEM/IP/RR/2023, 05536/INFOEM/IP/RR/2023, 05537/INFOEM/IP/RR/2023 y 05568/INFOEM/IP/RR/2023, pronunciada por el Pleno de este Instituto ante el proyecto presentado por la Comisionado Presidente José Martínez Vilchis, el cual fue resuelto conforme al criterio mayoritario que es del tenor siguiente:</w:t>
      </w:r>
    </w:p>
    <w:p w:rsidR="00000000" w:rsidDel="00000000" w:rsidP="00000000" w:rsidRDefault="00000000" w:rsidRPr="00000000" w14:paraId="00000004">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right="49"/>
        <w:jc w:val="both"/>
        <w:rPr>
          <w:rFonts w:ascii="Palatino Linotype" w:cs="Palatino Linotype" w:eastAsia="Palatino Linotype" w:hAnsi="Palatino Linotype"/>
          <w:color w:val="ff0000"/>
          <w:sz w:val="24"/>
          <w:szCs w:val="24"/>
        </w:rPr>
      </w:pPr>
      <w:r w:rsidDel="00000000" w:rsidR="00000000" w:rsidRPr="00000000">
        <w:rPr>
          <w:rFonts w:ascii="Palatino Linotype" w:cs="Palatino Linotype" w:eastAsia="Palatino Linotype" w:hAnsi="Palatino Linotype"/>
          <w:b w:val="1"/>
          <w:color w:val="000000"/>
          <w:sz w:val="28"/>
          <w:szCs w:val="28"/>
          <w:rtl w:val="0"/>
        </w:rPr>
        <w:t xml:space="preserve">I. Antecedentes.</w:t>
      </w:r>
      <w:r w:rsidDel="00000000" w:rsidR="00000000" w:rsidRPr="00000000">
        <w:rPr>
          <w:rtl w:val="0"/>
        </w:rPr>
      </w:r>
    </w:p>
    <w:p w:rsidR="00000000" w:rsidDel="00000000" w:rsidP="00000000" w:rsidRDefault="00000000" w:rsidRPr="00000000" w14:paraId="0000000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desprende de la Resolución que nos ocupa, la persona solicitante requirió 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lo siguiente:</w:t>
      </w:r>
    </w:p>
    <w:tbl>
      <w:tblPr>
        <w:tblStyle w:val="Table1"/>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6"/>
        <w:gridCol w:w="6043"/>
        <w:tblGridChange w:id="0">
          <w:tblGrid>
            <w:gridCol w:w="2746"/>
            <w:gridCol w:w="6043"/>
          </w:tblGrid>
        </w:tblGridChange>
      </w:tblGrid>
      <w:tr>
        <w:trPr>
          <w:cantSplit w:val="0"/>
          <w:trHeight w:val="600" w:hRule="atLeast"/>
          <w:tblHeader w:val="1"/>
        </w:trPr>
        <w:tc>
          <w:tcPr>
            <w:shd w:fill="d9d9d9" w:val="clear"/>
            <w:vAlign w:val="center"/>
          </w:tcPr>
          <w:p w:rsidR="00000000" w:rsidDel="00000000" w:rsidP="00000000" w:rsidRDefault="00000000" w:rsidRPr="00000000" w14:paraId="00000007">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Folio de la Solicitud</w:t>
            </w:r>
          </w:p>
        </w:tc>
        <w:tc>
          <w:tcPr>
            <w:shd w:fill="d9d9d9" w:val="clear"/>
            <w:vAlign w:val="center"/>
          </w:tcPr>
          <w:p w:rsidR="00000000" w:rsidDel="00000000" w:rsidP="00000000" w:rsidRDefault="00000000" w:rsidRPr="00000000" w14:paraId="00000008">
            <w:pPr>
              <w:ind w:right="83"/>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Descripción clara y precisa de la información solicitada</w:t>
            </w:r>
          </w:p>
        </w:tc>
      </w:tr>
      <w:tr>
        <w:trPr>
          <w:cantSplit w:val="0"/>
          <w:trHeight w:val="600" w:hRule="atLeast"/>
          <w:tblHeader w:val="0"/>
        </w:trPr>
        <w:tc>
          <w:tcPr>
            <w:vAlign w:val="center"/>
          </w:tcPr>
          <w:p w:rsidR="00000000" w:rsidDel="00000000" w:rsidP="00000000" w:rsidRDefault="00000000" w:rsidRPr="00000000" w14:paraId="00000009">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01208/ZINACANT/IP/2023</w:t>
            </w:r>
          </w:p>
        </w:tc>
        <w:tc>
          <w:tcPr>
            <w:vAlign w:val="center"/>
          </w:tcPr>
          <w:p w:rsidR="00000000" w:rsidDel="00000000" w:rsidP="00000000" w:rsidRDefault="00000000" w:rsidRPr="00000000" w14:paraId="0000000A">
            <w:pPr>
              <w:ind w:right="39"/>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“Solicito las credenciales de identificación de los Delegados del Municipio de Zinacantepec del año 2019” (Sic).</w:t>
            </w:r>
          </w:p>
        </w:tc>
      </w:tr>
      <w:tr>
        <w:trPr>
          <w:cantSplit w:val="0"/>
          <w:trHeight w:val="600" w:hRule="atLeast"/>
          <w:tblHeader w:val="0"/>
        </w:trPr>
        <w:tc>
          <w:tcPr>
            <w:vAlign w:val="center"/>
          </w:tcPr>
          <w:p w:rsidR="00000000" w:rsidDel="00000000" w:rsidP="00000000" w:rsidRDefault="00000000" w:rsidRPr="00000000" w14:paraId="0000000B">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01209/ZINACANT/IP/2023</w:t>
            </w:r>
          </w:p>
        </w:tc>
        <w:tc>
          <w:tcPr>
            <w:vAlign w:val="center"/>
          </w:tcPr>
          <w:p w:rsidR="00000000" w:rsidDel="00000000" w:rsidP="00000000" w:rsidRDefault="00000000" w:rsidRPr="00000000" w14:paraId="0000000C">
            <w:pPr>
              <w:ind w:right="39"/>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“Solicito las credenciales de identificación de los Delegados del Municipio de Zinacantepec del año 2020”</w:t>
            </w:r>
          </w:p>
        </w:tc>
      </w:tr>
      <w:tr>
        <w:trPr>
          <w:cantSplit w:val="0"/>
          <w:trHeight w:val="600" w:hRule="atLeast"/>
          <w:tblHeader w:val="0"/>
        </w:trPr>
        <w:tc>
          <w:tcPr>
            <w:vAlign w:val="center"/>
          </w:tcPr>
          <w:p w:rsidR="00000000" w:rsidDel="00000000" w:rsidP="00000000" w:rsidRDefault="00000000" w:rsidRPr="00000000" w14:paraId="0000000D">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01210/ZINACANT/IP/2023</w:t>
            </w:r>
          </w:p>
        </w:tc>
        <w:tc>
          <w:tcPr>
            <w:vAlign w:val="center"/>
          </w:tcPr>
          <w:p w:rsidR="00000000" w:rsidDel="00000000" w:rsidP="00000000" w:rsidRDefault="00000000" w:rsidRPr="00000000" w14:paraId="0000000E">
            <w:pPr>
              <w:ind w:right="39"/>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“Solicito las credenciales de identificación de los Delegados del Municipio de Zinacantepec del año 2021”</w:t>
            </w:r>
          </w:p>
        </w:tc>
      </w:tr>
      <w:tr>
        <w:trPr>
          <w:cantSplit w:val="0"/>
          <w:trHeight w:val="600" w:hRule="atLeast"/>
          <w:tblHeader w:val="0"/>
        </w:trPr>
        <w:tc>
          <w:tcPr>
            <w:vAlign w:val="center"/>
          </w:tcPr>
          <w:p w:rsidR="00000000" w:rsidDel="00000000" w:rsidP="00000000" w:rsidRDefault="00000000" w:rsidRPr="00000000" w14:paraId="0000000F">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01211/ZINACANT/IP/2023</w:t>
            </w:r>
          </w:p>
        </w:tc>
        <w:tc>
          <w:tcPr>
            <w:vAlign w:val="center"/>
          </w:tcPr>
          <w:p w:rsidR="00000000" w:rsidDel="00000000" w:rsidP="00000000" w:rsidRDefault="00000000" w:rsidRPr="00000000" w14:paraId="00000010">
            <w:pPr>
              <w:ind w:right="39"/>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“Solicito las credenciales de identificación de los Delegados del Municipio de Zinacantepec del año 2022” (Sic).</w:t>
            </w:r>
          </w:p>
        </w:tc>
      </w:tr>
    </w:tbl>
    <w:p w:rsidR="00000000" w:rsidDel="00000000" w:rsidP="00000000" w:rsidRDefault="00000000" w:rsidRPr="00000000" w14:paraId="0000001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2">
      <w:pPr>
        <w:spacing w:after="0" w:line="360" w:lineRule="auto"/>
        <w:ind w:right="-28"/>
        <w:jc w:val="both"/>
        <w:rPr>
          <w:rFonts w:ascii="Palatino Linotype" w:cs="Palatino Linotype" w:eastAsia="Palatino Linotype" w:hAnsi="Palatino Linotype"/>
          <w:color w:val="ff0000"/>
          <w:sz w:val="24"/>
          <w:szCs w:val="24"/>
        </w:rPr>
      </w:pPr>
      <w:r w:rsidDel="00000000" w:rsidR="00000000" w:rsidRPr="00000000">
        <w:rPr>
          <w:rFonts w:ascii="Palatino Linotype" w:cs="Palatino Linotype" w:eastAsia="Palatino Linotype" w:hAnsi="Palatino Linotype"/>
          <w:sz w:val="24"/>
          <w:szCs w:val="24"/>
          <w:rtl w:val="0"/>
        </w:rPr>
        <w:t xml:space="preserve">Mediante las respuestas,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color w:val="000000"/>
          <w:sz w:val="24"/>
          <w:szCs w:val="24"/>
          <w:rtl w:val="0"/>
        </w:rPr>
        <w:t xml:space="preserve">, a través del Sistema de Acceso a la Información Mexiquense (SAIMEX), hace entrega en las solicitudes de información en el mismo tenor  un oficio, firmado por el Secretario de Ayuntamiento, informó que una vez que se generan las “credenciales de identificación”, de los delegados, se les hace entrega sin que se genere una copia o reproducción digital de las mismas, por lo anterior no es posible atender la solicitud de información referida.</w:t>
      </w:r>
      <w:r w:rsidDel="00000000" w:rsidR="00000000" w:rsidRPr="00000000">
        <w:rPr>
          <w:rtl w:val="0"/>
        </w:rPr>
      </w:r>
    </w:p>
    <w:p w:rsidR="00000000" w:rsidDel="00000000" w:rsidP="00000000" w:rsidRDefault="00000000" w:rsidRPr="00000000" w14:paraId="00000013">
      <w:pPr>
        <w:spacing w:after="0" w:line="360" w:lineRule="auto"/>
        <w:jc w:val="both"/>
        <w:rPr>
          <w:rFonts w:ascii="Palatino Linotype" w:cs="Palatino Linotype" w:eastAsia="Palatino Linotype" w:hAnsi="Palatino Linotype"/>
          <w:sz w:val="24"/>
          <w:szCs w:val="24"/>
        </w:rPr>
      </w:pPr>
      <w:bookmarkStart w:colFirst="0" w:colLast="0" w:name="_heading=h.z337ya" w:id="0"/>
      <w:bookmarkEnd w:id="0"/>
      <w:r w:rsidDel="00000000" w:rsidR="00000000" w:rsidRPr="00000000">
        <w:rPr>
          <w:rtl w:val="0"/>
        </w:rPr>
      </w:r>
    </w:p>
    <w:p w:rsidR="00000000" w:rsidDel="00000000" w:rsidP="00000000" w:rsidRDefault="00000000" w:rsidRPr="00000000" w14:paraId="0000001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conocida la respuesta del Sujeto Obligado,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color w:val="ff0000"/>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interpuso los medios de impugnación citados al rubro, expresando lo siguiente:</w:t>
      </w:r>
    </w:p>
    <w:p w:rsidR="00000000" w:rsidDel="00000000" w:rsidP="00000000" w:rsidRDefault="00000000" w:rsidRPr="00000000" w14:paraId="0000001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3402"/>
        <w:gridCol w:w="2971"/>
        <w:tblGridChange w:id="0">
          <w:tblGrid>
            <w:gridCol w:w="2689"/>
            <w:gridCol w:w="3402"/>
            <w:gridCol w:w="2971"/>
          </w:tblGrid>
        </w:tblGridChange>
      </w:tblGrid>
      <w:tr>
        <w:trPr>
          <w:cantSplit w:val="0"/>
          <w:trHeight w:val="696" w:hRule="atLeast"/>
          <w:tblHeader w:val="1"/>
        </w:trPr>
        <w:tc>
          <w:tcPr>
            <w:shd w:fill="d9d9d9" w:val="clear"/>
            <w:vAlign w:val="center"/>
          </w:tcPr>
          <w:p w:rsidR="00000000" w:rsidDel="00000000" w:rsidP="00000000" w:rsidRDefault="00000000" w:rsidRPr="00000000" w14:paraId="00000016">
            <w:pPr>
              <w:jc w:val="center"/>
              <w:rPr>
                <w:rFonts w:ascii="Palatino Linotype" w:cs="Palatino Linotype" w:eastAsia="Palatino Linotype" w:hAnsi="Palatino Linotype"/>
                <w:b w:val="1"/>
                <w:i w:val="1"/>
              </w:rPr>
            </w:pPr>
            <w:bookmarkStart w:colFirst="0" w:colLast="0" w:name="_heading=h.2xcytpi" w:id="1"/>
            <w:bookmarkEnd w:id="1"/>
            <w:r w:rsidDel="00000000" w:rsidR="00000000" w:rsidRPr="00000000">
              <w:rPr>
                <w:rFonts w:ascii="Palatino Linotype" w:cs="Palatino Linotype" w:eastAsia="Palatino Linotype" w:hAnsi="Palatino Linotype"/>
                <w:b w:val="1"/>
                <w:i w:val="1"/>
                <w:rtl w:val="0"/>
              </w:rPr>
              <w:t xml:space="preserve">Número de Recurso de Revisión</w:t>
            </w:r>
          </w:p>
        </w:tc>
        <w:tc>
          <w:tcPr>
            <w:shd w:fill="d9d9d9" w:val="clear"/>
            <w:vAlign w:val="center"/>
          </w:tcPr>
          <w:p w:rsidR="00000000" w:rsidDel="00000000" w:rsidP="00000000" w:rsidRDefault="00000000" w:rsidRPr="00000000" w14:paraId="00000017">
            <w:pPr>
              <w:jc w:val="cente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Acto Impugnado</w:t>
            </w:r>
          </w:p>
        </w:tc>
        <w:tc>
          <w:tcPr>
            <w:shd w:fill="d9d9d9" w:val="clear"/>
            <w:vAlign w:val="center"/>
          </w:tcPr>
          <w:p w:rsidR="00000000" w:rsidDel="00000000" w:rsidP="00000000" w:rsidRDefault="00000000" w:rsidRPr="00000000" w14:paraId="00000018">
            <w:pPr>
              <w:jc w:val="cente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Razones o Motivos de Inconformidad</w:t>
            </w:r>
          </w:p>
        </w:tc>
      </w:tr>
      <w:tr>
        <w:trPr>
          <w:cantSplit w:val="0"/>
          <w:trHeight w:val="460" w:hRule="atLeast"/>
          <w:tblHeader w:val="0"/>
        </w:trPr>
        <w:tc>
          <w:tcPr>
            <w:vAlign w:val="center"/>
          </w:tcPr>
          <w:p w:rsidR="00000000" w:rsidDel="00000000" w:rsidP="00000000" w:rsidRDefault="00000000" w:rsidRPr="00000000" w14:paraId="00000019">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0"/>
                <w:szCs w:val="20"/>
                <w:rtl w:val="0"/>
              </w:rPr>
              <w:t xml:space="preserve">05535/INFOEM/IP/RR/2023</w:t>
            </w:r>
            <w:r w:rsidDel="00000000" w:rsidR="00000000" w:rsidRPr="00000000">
              <w:rPr>
                <w:rtl w:val="0"/>
              </w:rPr>
            </w:r>
          </w:p>
        </w:tc>
        <w:tc>
          <w:tcPr>
            <w:vAlign w:val="center"/>
          </w:tcPr>
          <w:p w:rsidR="00000000" w:rsidDel="00000000" w:rsidP="00000000" w:rsidRDefault="00000000" w:rsidRPr="00000000" w14:paraId="0000001A">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 ACUERDO DE INEXISTENCIA” (Sic).</w:t>
            </w:r>
          </w:p>
        </w:tc>
        <w:tc>
          <w:tcPr>
            <w:vAlign w:val="center"/>
          </w:tcPr>
          <w:p w:rsidR="00000000" w:rsidDel="00000000" w:rsidP="00000000" w:rsidRDefault="00000000" w:rsidRPr="00000000" w14:paraId="0000001B">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 ACUERDO DE INEXISTENCIA” (Sic).</w:t>
            </w:r>
          </w:p>
        </w:tc>
      </w:tr>
      <w:tr>
        <w:trPr>
          <w:cantSplit w:val="0"/>
          <w:trHeight w:val="460" w:hRule="atLeast"/>
          <w:tblHeader w:val="0"/>
        </w:trPr>
        <w:tc>
          <w:tcPr>
            <w:vAlign w:val="center"/>
          </w:tcPr>
          <w:p w:rsidR="00000000" w:rsidDel="00000000" w:rsidP="00000000" w:rsidRDefault="00000000" w:rsidRPr="00000000" w14:paraId="0000001C">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05536/INFOEM/IP/RR/2023</w:t>
            </w:r>
          </w:p>
        </w:tc>
        <w:tc>
          <w:tcPr>
            <w:vAlign w:val="center"/>
          </w:tcPr>
          <w:p w:rsidR="00000000" w:rsidDel="00000000" w:rsidP="00000000" w:rsidRDefault="00000000" w:rsidRPr="00000000" w14:paraId="0000001D">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 ACUERDO DE INEXISTENCIA” (Sic)</w:t>
            </w:r>
          </w:p>
        </w:tc>
        <w:tc>
          <w:tcPr>
            <w:vAlign w:val="center"/>
          </w:tcPr>
          <w:p w:rsidR="00000000" w:rsidDel="00000000" w:rsidP="00000000" w:rsidRDefault="00000000" w:rsidRPr="00000000" w14:paraId="0000001E">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 ACUERDO DE INEXISTENCIA” (Sic)</w:t>
            </w:r>
          </w:p>
        </w:tc>
      </w:tr>
      <w:tr>
        <w:trPr>
          <w:cantSplit w:val="0"/>
          <w:trHeight w:val="460" w:hRule="atLeast"/>
          <w:tblHeader w:val="0"/>
        </w:trPr>
        <w:tc>
          <w:tcPr>
            <w:vAlign w:val="center"/>
          </w:tcPr>
          <w:p w:rsidR="00000000" w:rsidDel="00000000" w:rsidP="00000000" w:rsidRDefault="00000000" w:rsidRPr="00000000" w14:paraId="0000001F">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05537/INFOEM/IP/RR/2023</w:t>
            </w:r>
          </w:p>
        </w:tc>
        <w:tc>
          <w:tcPr>
            <w:vAlign w:val="center"/>
          </w:tcPr>
          <w:p w:rsidR="00000000" w:rsidDel="00000000" w:rsidP="00000000" w:rsidRDefault="00000000" w:rsidRPr="00000000" w14:paraId="00000020">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 ACUERDO DE INEXISTENCIA” (Sic)</w:t>
            </w:r>
          </w:p>
        </w:tc>
        <w:tc>
          <w:tcPr>
            <w:vAlign w:val="center"/>
          </w:tcPr>
          <w:p w:rsidR="00000000" w:rsidDel="00000000" w:rsidP="00000000" w:rsidRDefault="00000000" w:rsidRPr="00000000" w14:paraId="00000021">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 ACUERDO DE INEXISTENCIA” (Sic)</w:t>
            </w:r>
          </w:p>
        </w:tc>
      </w:tr>
      <w:tr>
        <w:trPr>
          <w:cantSplit w:val="0"/>
          <w:trHeight w:val="410" w:hRule="atLeast"/>
          <w:tblHeader w:val="0"/>
        </w:trPr>
        <w:tc>
          <w:tcPr>
            <w:vAlign w:val="center"/>
          </w:tcPr>
          <w:p w:rsidR="00000000" w:rsidDel="00000000" w:rsidP="00000000" w:rsidRDefault="00000000" w:rsidRPr="00000000" w14:paraId="00000022">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05568/INFOEM/IP/RR/2023</w:t>
            </w:r>
          </w:p>
        </w:tc>
        <w:tc>
          <w:tcPr>
            <w:vAlign w:val="center"/>
          </w:tcPr>
          <w:p w:rsidR="00000000" w:rsidDel="00000000" w:rsidP="00000000" w:rsidRDefault="00000000" w:rsidRPr="00000000" w14:paraId="00000023">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GENERAN ACUERDO DE INEXISTENCIA” (Sic).</w:t>
            </w:r>
          </w:p>
        </w:tc>
        <w:tc>
          <w:tcPr>
            <w:vAlign w:val="center"/>
          </w:tcPr>
          <w:p w:rsidR="00000000" w:rsidDel="00000000" w:rsidP="00000000" w:rsidRDefault="00000000" w:rsidRPr="00000000" w14:paraId="00000024">
            <w:pPr>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GENERAN ACUERDO DE INEXISTENCIA” (Sic).</w:t>
            </w:r>
          </w:p>
        </w:tc>
      </w:tr>
    </w:tbl>
    <w:p w:rsidR="00000000" w:rsidDel="00000000" w:rsidP="00000000" w:rsidRDefault="00000000" w:rsidRPr="00000000" w14:paraId="00000025">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Ahora bien, </w:t>
      </w:r>
      <w:r w:rsidDel="00000000" w:rsidR="00000000" w:rsidRPr="00000000">
        <w:rPr>
          <w:rFonts w:ascii="Palatino Linotype" w:cs="Palatino Linotype" w:eastAsia="Palatino Linotype" w:hAnsi="Palatino Linotype"/>
          <w:b w:val="1"/>
          <w:color w:val="000000"/>
          <w:sz w:val="24"/>
          <w:szCs w:val="24"/>
          <w:rtl w:val="0"/>
        </w:rPr>
        <w:t xml:space="preserve">LA PARTE RECURRENTE</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resultó</w:t>
      </w:r>
      <w:r w:rsidDel="00000000" w:rsidR="00000000" w:rsidRPr="00000000">
        <w:rPr>
          <w:rFonts w:ascii="Palatino Linotype" w:cs="Palatino Linotype" w:eastAsia="Palatino Linotype" w:hAnsi="Palatino Linotype"/>
          <w:color w:val="000000"/>
          <w:sz w:val="24"/>
          <w:szCs w:val="24"/>
          <w:rtl w:val="0"/>
        </w:rPr>
        <w:t xml:space="preserve"> omisa de emitir sus manifestaciones, por lo que respecta al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también </w:t>
      </w:r>
      <w:r w:rsidDel="00000000" w:rsidR="00000000" w:rsidRPr="00000000">
        <w:rPr>
          <w:rFonts w:ascii="Palatino Linotype" w:cs="Palatino Linotype" w:eastAsia="Palatino Linotype" w:hAnsi="Palatino Linotype"/>
          <w:sz w:val="24"/>
          <w:szCs w:val="24"/>
          <w:rtl w:val="0"/>
        </w:rPr>
        <w:t xml:space="preserve">resultó</w:t>
      </w:r>
      <w:r w:rsidDel="00000000" w:rsidR="00000000" w:rsidRPr="00000000">
        <w:rPr>
          <w:rFonts w:ascii="Palatino Linotype" w:cs="Palatino Linotype" w:eastAsia="Palatino Linotype" w:hAnsi="Palatino Linotype"/>
          <w:color w:val="000000"/>
          <w:sz w:val="24"/>
          <w:szCs w:val="24"/>
          <w:rtl w:val="0"/>
        </w:rPr>
        <w:t xml:space="preserve"> omiso de emitir su informe justificado. </w:t>
      </w:r>
    </w:p>
    <w:p w:rsidR="00000000" w:rsidDel="00000000" w:rsidP="00000000" w:rsidRDefault="00000000" w:rsidRPr="00000000" w14:paraId="00000027">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28">
      <w:pPr>
        <w:spacing w:after="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w:t>
      </w:r>
      <w:r w:rsidDel="00000000" w:rsidR="00000000" w:rsidRPr="00000000">
        <w:rPr>
          <w:rFonts w:ascii="Palatino Linotype" w:cs="Palatino Linotype" w:eastAsia="Palatino Linotype" w:hAnsi="Palatino Linotype"/>
          <w:color w:val="000000"/>
          <w:sz w:val="24"/>
          <w:szCs w:val="24"/>
          <w:rtl w:val="0"/>
        </w:rPr>
        <w:t xml:space="preserve">, el Comisionado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Ponente consideró </w:t>
      </w:r>
      <w:r w:rsidDel="00000000" w:rsidR="00000000" w:rsidRPr="00000000">
        <w:rPr>
          <w:rFonts w:ascii="Palatino Linotype" w:cs="Palatino Linotype" w:eastAsia="Palatino Linotype" w:hAnsi="Palatino Linotype"/>
          <w:sz w:val="24"/>
          <w:szCs w:val="24"/>
          <w:rtl w:val="0"/>
        </w:rPr>
        <w:t xml:space="preserve">que los motivos de inconformidad aducidos por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eran fundados, y determinó MODIFICAR las respuestas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ordenando lo siguiente:</w:t>
      </w:r>
    </w:p>
    <w:p w:rsidR="00000000" w:rsidDel="00000000" w:rsidP="00000000" w:rsidRDefault="00000000" w:rsidRPr="00000000" w14:paraId="00000029">
      <w:pPr>
        <w:spacing w:line="276" w:lineRule="auto"/>
        <w:ind w:right="90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A">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“SEGUNDO. Se ORDENA al Sujeto Obligado haga entrega a la parte Recurrente en términos del Considerando QUINTO de esta resolución, a través del Sistema de Acceso a la Información Mexiquense (SAIMEX), de lo siguiente:</w:t>
      </w:r>
    </w:p>
    <w:p w:rsidR="00000000" w:rsidDel="00000000" w:rsidP="00000000" w:rsidRDefault="00000000" w:rsidRPr="00000000" w14:paraId="0000002B">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4962"/>
        </w:tabs>
        <w:spacing w:after="0" w:line="276" w:lineRule="auto"/>
        <w:ind w:left="1211" w:right="758" w:hanging="360"/>
        <w:jc w:val="both"/>
        <w:rPr>
          <w:rFonts w:ascii="Palatino Linotype" w:cs="Palatino Linotype" w:eastAsia="Palatino Linotype" w:hAnsi="Palatino Linotype"/>
          <w:i w:val="1"/>
          <w:color w:val="000000"/>
          <w:sz w:val="24"/>
          <w:szCs w:val="24"/>
        </w:rPr>
      </w:pPr>
      <w:r w:rsidDel="00000000" w:rsidR="00000000" w:rsidRPr="00000000">
        <w:rPr>
          <w:rFonts w:ascii="Palatino Linotype" w:cs="Palatino Linotype" w:eastAsia="Palatino Linotype" w:hAnsi="Palatino Linotype"/>
          <w:i w:val="1"/>
          <w:color w:val="000000"/>
          <w:sz w:val="24"/>
          <w:szCs w:val="24"/>
          <w:rtl w:val="0"/>
        </w:rPr>
        <w:t xml:space="preserve">Gafetes o credenciales institucionales de los Delegados del Municipio de Zinacantepec de los años 2019, 2020, 2021 y 2022.</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962"/>
        </w:tabs>
        <w:spacing w:after="0" w:line="276" w:lineRule="auto"/>
        <w:ind w:left="1211" w:right="758"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2E">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 la parte Recurrente.</w:t>
      </w:r>
    </w:p>
    <w:p w:rsidR="00000000" w:rsidDel="00000000" w:rsidP="00000000" w:rsidRDefault="00000000" w:rsidRPr="00000000" w14:paraId="0000002F">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0">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referencia al punto 1, una vez realizada la búsqueda exhaustiva y razonable, para el caso de no contar con la información bastará con que lo haga del conocimiento al Recurrente.”</w:t>
      </w:r>
    </w:p>
    <w:p w:rsidR="00000000" w:rsidDel="00000000" w:rsidP="00000000" w:rsidRDefault="00000000" w:rsidRPr="00000000" w14:paraId="00000031">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2">
      <w:pPr>
        <w:spacing w:after="0" w:line="360" w:lineRule="auto"/>
        <w:jc w:val="both"/>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II. Razones del Voto Particular.</w:t>
      </w:r>
    </w:p>
    <w:p w:rsidR="00000000" w:rsidDel="00000000" w:rsidP="00000000" w:rsidRDefault="00000000" w:rsidRPr="00000000" w14:paraId="0000003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Derivado de lo anterior, la emisión del voto se centrará en que si bien se comparte el sentido de la resolución no se coincide con los argumentos señalados en la misma particularmente respecto a las consideraciones vertidas por la Ponencia Resolutora respecto a lo siguiente: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b w:val="1"/>
          <w:i w:val="1"/>
          <w:color w:val="000000"/>
        </w:rPr>
      </w:pP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b w:val="1"/>
          <w:i w:val="1"/>
          <w:color w:val="000000"/>
          <w:rtl w:val="0"/>
        </w:rPr>
        <w:t xml:space="preserve">Reglamento Orgánico Municipal de Zinacantepec</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color w:val="000000"/>
          <w:rtl w:val="0"/>
        </w:rPr>
        <w:t xml:space="preserve">Artículo 52.</w:t>
      </w:r>
      <w:r w:rsidDel="00000000" w:rsidR="00000000" w:rsidRPr="00000000">
        <w:rPr>
          <w:rFonts w:ascii="Palatino Linotype" w:cs="Palatino Linotype" w:eastAsia="Palatino Linotype" w:hAnsi="Palatino Linotype"/>
          <w:i w:val="1"/>
          <w:color w:val="000000"/>
          <w:rtl w:val="0"/>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color w:val="000000"/>
          <w:rtl w:val="0"/>
        </w:rPr>
        <w:t xml:space="preserve">Artículo 53.</w:t>
      </w:r>
      <w:r w:rsidDel="00000000" w:rsidR="00000000" w:rsidRPr="00000000">
        <w:rPr>
          <w:rFonts w:ascii="Palatino Linotype" w:cs="Palatino Linotype" w:eastAsia="Palatino Linotype" w:hAnsi="Palatino Linotype"/>
          <w:i w:val="1"/>
          <w:color w:val="000000"/>
          <w:rtl w:val="0"/>
        </w:rPr>
        <w:t xml:space="preserve"> Además de las previstas en las disposiciones normativas y administrativas en la materia, la Dirección de Administración tiene las siguientes funciones y atribuciones: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Vigilar el cumplimiento de los lineamientos sobre los procesos de selección, adquisición y mantenimiento del mobiliario y recursos materiales, así como en el reclutamiento y selección de personal;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Mantener el resguardo y actualización del Archivo de personal del Ayuntamiento;</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 Promover la implantación de sistemas y procedimientos administrativos en la Dirección de Administración;</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 Fijar políticas y estrategias para contribuir a conservar y mejorar el ambiente laboral;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 Reclutar y asignar a las diversas áreas de la Administración Pública Municipal, el personal que se requiera para llevar a cabo sus objetivos;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 Desarrollar un registro para el control de asistencias, nombramientos, remociones, renuncias, licencias, cambios de adscripción, promociones, incapacidades, vacaciones, días no laborables, y demás días de inconsistencia en los Servidores Públicos Municipales;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VII. Proveer de insumos, bienes y servicios generales que requieran las distintas áreas que conforman la Administración Pública Municipal, para su buen funcionamiento;</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VIII. Diseñar políticas para el mantenimiento de los bienes muebles e inmuebles de las diferentes áreas de la Administración Pública Municipal;</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IX. Evaluar programas, procesos y procedimientos para la elaboración y pago de nómina;</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X. Implementar estrategias y políticas en los programas de profesionalización de los Servidores Públicos Municipales;</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XI. Hacer más eficientes los recursos materiales del Municipio;</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XII. Llevar a cabo las adquisiciones de bienes, arrendamiento de bienes muebles y la contratación de servicios que requieran las distintas áreas, ajustándose en su caso las disposiciones legales de la materia;</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XIV. Integrar el programa anual de adquisiciones en coordinación con las dependencias de la Administración Pública Municipal;</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u w:val="single"/>
          <w:rtl w:val="0"/>
        </w:rPr>
        <w:t xml:space="preserve">XV. Emitir los gafetes que acrediten a los servidores públicos de la Administración Municipal;</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rtl w:val="0"/>
        </w:rPr>
        <w:t xml:space="preserve">XVI. Establecer controles del estado físico y mantenimiento del parque vehicular oficial, así como del pago de sus obligaciones fiscales y administrativas;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rtl w:val="0"/>
        </w:rPr>
        <w:t xml:space="preserve">XVII. Participar en las negociaciones socio- económicas con el Sindicato Único de los Trabajadores de los Poderes, Municipios e Instituciones Descentralizadas del Estado de México (S.U.T.E.Y.M.) y;</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rtl w:val="0"/>
        </w:rPr>
        <w:t xml:space="preserve">XVIII. Las demás que señalan las leyes, reglamentos y disposiciones jurídicas aplicables, o las que señale el Presidente Municipal.</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rtl w:val="0"/>
        </w:rPr>
        <w:t xml:space="preserve">Manual General de Organización de la Administración Pública Municipal 2022-2024</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rtl w:val="0"/>
        </w:rPr>
        <w:t xml:space="preserve">1.4.- DIRECCIÓN DE ADMINISTRACIÓN.-</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rtl w:val="0"/>
        </w:rPr>
        <w:t xml:space="preserve">Objetivo:</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rtl w:val="0"/>
        </w:rPr>
        <w:t xml:space="preserve">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 w:val="left" w:leader="none" w:pos="7770"/>
        </w:tabs>
        <w:spacing w:after="0" w:before="240" w:line="276" w:lineRule="auto"/>
        <w:ind w:left="72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rtl w:val="0"/>
        </w:rPr>
        <w:t xml:space="preserve">Funciones:</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Vigilar el cumplimiento de las disposiciones legales que regulen las relaciones entre la administración pública y sus servidores públicos;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Dirigir la administración de los recursos materiales y humanos;</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Expedir el Manual de Organización de la Dirección, así como el Manual de procedimientos para su eficiente desempeño;</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Delegar en los titulares de las unidades administrativas de la dirección, por escrito y con acuerdo del presidente municipal, las funciones que sean necesarias para el cumplimiento de las atribuciones que tiene conferidas, excepto las que por disposición de la ley o del presente reglamento deban ser directamente ejercidas por él;</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Vigilar el resguardo y actualización del archivo del personal del ayuntamiento;</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Poner a consideración del Presidente Municipal, los nombramientos, sueldos, remociones, renuncias, licencias y jubilaciones de los servidores públicos de la Administración Pública, atendiendo las disposiciones del Sistema denominado Servicio Profesional de Carrera y a la normatividad;</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Acordar, con los titulares de las Unidades Administrativas de la Dirección, los asuntos de su competencia que así lo requieran;</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Fijar políticas y estrategias para contribuir a conservar y mejorar el ambiente</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laboral;</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Supervisar el control de asistencias nombramientos, remociones, renuncias, licencias, cambios de adscripción, promociones, incapacidades, días no laborables y demás incidencias en los servidores públicos municipales;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Vigilar la elaboración de las nóminas ordinarias y extraordinarias;</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b w:val="1"/>
          <w:i w:val="1"/>
          <w:color w:val="000000"/>
          <w:u w:val="single"/>
        </w:rPr>
      </w:pPr>
      <w:r w:rsidDel="00000000" w:rsidR="00000000" w:rsidRPr="00000000">
        <w:rPr>
          <w:rFonts w:ascii="Palatino Linotype" w:cs="Palatino Linotype" w:eastAsia="Palatino Linotype" w:hAnsi="Palatino Linotype"/>
          <w:b w:val="1"/>
          <w:i w:val="1"/>
          <w:color w:val="000000"/>
          <w:u w:val="single"/>
          <w:rtl w:val="0"/>
        </w:rPr>
        <w:t xml:space="preserve">Firmar las credenciales y/o gafetes de identificación de los servidores públicos municipales, con excepción de las credenciales de los miembros del Ayuntamiento y de los que se encuentren al servicio de las Entidades;</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276" w:lineRule="auto"/>
        <w:ind w:left="1287" w:right="567"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Supervisar que el personal que demanden las unidades administrativas sea debidamente seleccionado, contratado y capacitado cuando así lo requieran las descripciones y especificaciones de los puestos, atendiendo las disposiciones de la normatividad aplicable;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76" w:lineRule="auto"/>
        <w:ind w:left="128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76" w:lineRule="auto"/>
        <w:ind w:left="1287" w:right="567"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76" w:lineRule="auto"/>
        <w:ind w:left="128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Lo cual, toma relevancia, pues conforme al Manual de Organización de la Dirección de Administración, dicha área se encarga de firmar las credenciales o gafetes de identificación de los servidores públicos municipales; además, por medio de la Subdirección de Recursos Humanos, tramita a cada servidor público municipal su gafete que sirva de identificación en el desempeño de sus actividades.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76" w:lineRule="auto"/>
        <w:ind w:left="128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Asimismo, cabe precisar que el </w:t>
      </w:r>
      <w:r w:rsidDel="00000000" w:rsidR="00000000" w:rsidRPr="00000000">
        <w:rPr>
          <w:rFonts w:ascii="Palatino Linotype" w:cs="Palatino Linotype" w:eastAsia="Palatino Linotype" w:hAnsi="Palatino Linotype"/>
          <w:b w:val="1"/>
          <w:i w:val="1"/>
          <w:color w:val="000000"/>
          <w:rtl w:val="0"/>
        </w:rPr>
        <w:t xml:space="preserve">Sujeto Obligado</w:t>
      </w:r>
      <w:r w:rsidDel="00000000" w:rsidR="00000000" w:rsidRPr="00000000">
        <w:rPr>
          <w:rFonts w:ascii="Palatino Linotype" w:cs="Palatino Linotype" w:eastAsia="Palatino Linotype" w:hAnsi="Palatino Linotype"/>
          <w:i w:val="1"/>
          <w:color w:val="000000"/>
          <w:rtl w:val="0"/>
        </w:rPr>
        <w:t xml:space="preserve"> no cumplió con el procedimiento de búsqueda, al no turnar la solicitud de información a la </w:t>
      </w:r>
      <w:r w:rsidDel="00000000" w:rsidR="00000000" w:rsidRPr="00000000">
        <w:rPr>
          <w:rFonts w:ascii="Palatino Linotype" w:cs="Palatino Linotype" w:eastAsia="Palatino Linotype" w:hAnsi="Palatino Linotype"/>
          <w:b w:val="1"/>
          <w:i w:val="1"/>
          <w:color w:val="000000"/>
          <w:rtl w:val="0"/>
        </w:rPr>
        <w:t xml:space="preserve">Dirección de Administración</w:t>
      </w:r>
      <w:r w:rsidDel="00000000" w:rsidR="00000000" w:rsidRPr="00000000">
        <w:rPr>
          <w:rFonts w:ascii="Palatino Linotype" w:cs="Palatino Linotype" w:eastAsia="Palatino Linotype" w:hAnsi="Palatino Linotype"/>
          <w:i w:val="1"/>
          <w:color w:val="000000"/>
          <w:rtl w:val="0"/>
        </w:rPr>
        <w:t xml:space="preserve">, encargada de emitir y entregar los gafetes o credenciales de identificación, a los servidores públicos del Ayuntamiento, toda vez que el Servidor Público Habilitado que dio respuesta a las solicitudes de información, fue el Secretario de Ayuntamiento. Ahora bien, dicha área </w:t>
      </w:r>
      <w:r w:rsidDel="00000000" w:rsidR="00000000" w:rsidRPr="00000000">
        <w:rPr>
          <w:rFonts w:ascii="Palatino Linotype" w:cs="Palatino Linotype" w:eastAsia="Palatino Linotype" w:hAnsi="Palatino Linotype"/>
          <w:b w:val="1"/>
          <w:i w:val="1"/>
          <w:color w:val="000000"/>
          <w:u w:val="single"/>
          <w:rtl w:val="0"/>
        </w:rPr>
        <w:t xml:space="preserve">precisó que una vez generadas las “credenciales de identificación”, de los delegados, se les hace entrega sin que se genere una copia o reproducción digital de las mismas</w:t>
      </w: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1287" w:right="567"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60">
      <w:pPr>
        <w:spacing w:after="0" w:line="360" w:lineRule="auto"/>
        <w:jc w:val="both"/>
        <w:rPr>
          <w:rFonts w:ascii="Palatino Linotype" w:cs="Palatino Linotype" w:eastAsia="Palatino Linotype" w:hAnsi="Palatino Linotype"/>
          <w:sz w:val="24"/>
          <w:szCs w:val="24"/>
          <w:shd w:fill="ff9900" w:val="clear"/>
        </w:rPr>
      </w:pPr>
      <w:r w:rsidDel="00000000" w:rsidR="00000000" w:rsidRPr="00000000">
        <w:rPr>
          <w:rFonts w:ascii="Palatino Linotype" w:cs="Palatino Linotype" w:eastAsia="Palatino Linotype" w:hAnsi="Palatino Linotype"/>
          <w:color w:val="000000"/>
          <w:sz w:val="24"/>
          <w:szCs w:val="24"/>
          <w:rtl w:val="0"/>
        </w:rPr>
        <w:t xml:space="preserve">De lo cual, la Ponencia Resolutora </w:t>
      </w:r>
      <w:r w:rsidDel="00000000" w:rsidR="00000000" w:rsidRPr="00000000">
        <w:rPr>
          <w:rFonts w:ascii="Palatino Linotype" w:cs="Palatino Linotype" w:eastAsia="Palatino Linotype" w:hAnsi="Palatino Linotype"/>
          <w:sz w:val="24"/>
          <w:szCs w:val="24"/>
          <w:rtl w:val="0"/>
        </w:rPr>
        <w:t xml:space="preserve">concluyó</w:t>
      </w:r>
      <w:r w:rsidDel="00000000" w:rsidR="00000000" w:rsidRPr="00000000">
        <w:rPr>
          <w:rFonts w:ascii="Palatino Linotype" w:cs="Palatino Linotype" w:eastAsia="Palatino Linotype" w:hAnsi="Palatino Linotype"/>
          <w:color w:val="000000"/>
          <w:sz w:val="24"/>
          <w:szCs w:val="24"/>
          <w:rtl w:val="0"/>
        </w:rPr>
        <w:t xml:space="preserve"> que </w:t>
      </w:r>
      <w:r w:rsidDel="00000000" w:rsidR="00000000" w:rsidRPr="00000000">
        <w:rPr>
          <w:rFonts w:ascii="Palatino Linotype" w:cs="Palatino Linotype" w:eastAsia="Palatino Linotype" w:hAnsi="Palatino Linotype"/>
          <w:b w:val="1"/>
          <w:color w:val="000000"/>
          <w:sz w:val="24"/>
          <w:szCs w:val="24"/>
          <w:rtl w:val="0"/>
        </w:rPr>
        <w:t xml:space="preserve">EL SUJETO OBLIGADO</w:t>
      </w:r>
      <w:r w:rsidDel="00000000" w:rsidR="00000000" w:rsidRPr="00000000">
        <w:rPr>
          <w:rFonts w:ascii="Palatino Linotype" w:cs="Palatino Linotype" w:eastAsia="Palatino Linotype" w:hAnsi="Palatino Linotype"/>
          <w:color w:val="000000"/>
          <w:sz w:val="24"/>
          <w:szCs w:val="24"/>
          <w:rtl w:val="0"/>
        </w:rPr>
        <w:t xml:space="preserve">, no cumplió con el procedimiento de búsqueda, al no turnar la solicitud de información a la Dirección de Administración, encargada de emitir y entregar los gafetes o credenciales de identificación, a los servidores públicos del Ayuntamiento, toda vez que el Servidor Público Habilitado que dio respuesta a las solicitudes de información, fue el Secretario de Ayuntamiento.</w:t>
      </w:r>
      <w:r w:rsidDel="00000000" w:rsidR="00000000" w:rsidRPr="00000000">
        <w:rPr>
          <w:rFonts w:ascii="Palatino Linotype" w:cs="Palatino Linotype" w:eastAsia="Palatino Linotype" w:hAnsi="Palatino Linotype"/>
          <w:sz w:val="24"/>
          <w:szCs w:val="24"/>
          <w:rtl w:val="0"/>
        </w:rPr>
        <w:br w:type="textWrapping"/>
      </w:r>
      <w:r w:rsidDel="00000000" w:rsidR="00000000" w:rsidRPr="00000000">
        <w:rPr>
          <w:rtl w:val="0"/>
        </w:rPr>
      </w:r>
    </w:p>
    <w:p w:rsidR="00000000" w:rsidDel="00000000" w:rsidP="00000000" w:rsidRDefault="00000000" w:rsidRPr="00000000" w14:paraId="00000061">
      <w:pPr>
        <w:spacing w:after="0" w:line="360" w:lineRule="auto"/>
        <w:jc w:val="both"/>
        <w:rPr>
          <w:rFonts w:ascii="Palatino Linotype" w:cs="Palatino Linotype" w:eastAsia="Palatino Linotype" w:hAnsi="Palatino Linotype"/>
          <w:sz w:val="24"/>
          <w:szCs w:val="24"/>
          <w:shd w:fill="ff9900" w:val="clear"/>
        </w:rPr>
      </w:pPr>
      <w:r w:rsidDel="00000000" w:rsidR="00000000" w:rsidRPr="00000000">
        <w:rPr>
          <w:rFonts w:ascii="Palatino Linotype" w:cs="Palatino Linotype" w:eastAsia="Palatino Linotype" w:hAnsi="Palatino Linotype"/>
          <w:sz w:val="24"/>
          <w:szCs w:val="24"/>
          <w:rtl w:val="0"/>
        </w:rPr>
        <w:t xml:space="preserve">En ese sentido, se logra observar que de acuerdo a lo señalado por la Ponencia Resolutora, la Dirección de Administración es la responsable de firmar las credenciales y/o gafetes de identificación de los servidores públicos municipales, y por ello determinó ordenar los gafetes o credenciales institucionales de los Delegados del Municipio de Zinacantepec de los años 2019, 2020, 2021 y 2022. </w:t>
      </w:r>
      <w:r w:rsidDel="00000000" w:rsidR="00000000" w:rsidRPr="00000000">
        <w:rPr>
          <w:rtl w:val="0"/>
        </w:rPr>
      </w:r>
    </w:p>
    <w:p w:rsidR="00000000" w:rsidDel="00000000" w:rsidP="00000000" w:rsidRDefault="00000000" w:rsidRPr="00000000" w14:paraId="0000006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obstante, los delegados municipales no son servidores públicos, son catalogados como autoridades auxiliares, de acuerdo a lo siguiente:</w:t>
      </w:r>
    </w:p>
    <w:p w:rsidR="00000000" w:rsidDel="00000000" w:rsidP="00000000" w:rsidRDefault="00000000" w:rsidRPr="00000000" w14:paraId="0000006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5">
      <w:pPr>
        <w:tabs>
          <w:tab w:val="left" w:leader="none" w:pos="4962"/>
        </w:tabs>
        <w:spacing w:after="0" w:line="276" w:lineRule="auto"/>
        <w:ind w:left="851" w:right="758"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LEY ORGÁNICA MUNICIPAL DEL ESTADO DE MÉXICO.</w:t>
      </w:r>
    </w:p>
    <w:p w:rsidR="00000000" w:rsidDel="00000000" w:rsidP="00000000" w:rsidRDefault="00000000" w:rsidRPr="00000000" w14:paraId="00000066">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67">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56.-</w:t>
      </w:r>
      <w:r w:rsidDel="00000000" w:rsidR="00000000" w:rsidRPr="00000000">
        <w:rPr>
          <w:rFonts w:ascii="Palatino Linotype" w:cs="Palatino Linotype" w:eastAsia="Palatino Linotype" w:hAnsi="Palatino Linotype"/>
          <w:i w:val="1"/>
          <w:rtl w:val="0"/>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w:t>
      </w:r>
    </w:p>
    <w:p w:rsidR="00000000" w:rsidDel="00000000" w:rsidP="00000000" w:rsidRDefault="00000000" w:rsidRPr="00000000" w14:paraId="0000006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sentido se advierte que el  Titular de la Unidad de Transparencia es el encargado de dar atención a las solicitudes de información con fundamento en los artículos 50 y 53 fracciones II, V y VI  de la Ley de Transparencia y Acceso a la Información Pública del Estado de México y Municipios,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B">
      <w:pPr>
        <w:tabs>
          <w:tab w:val="left" w:leader="none" w:pos="709"/>
        </w:tabs>
        <w:spacing w:after="0" w:line="360" w:lineRule="auto"/>
        <w:ind w:left="851" w:right="760" w:firstLine="0"/>
        <w:jc w:val="cente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6C">
      <w:pPr>
        <w:tabs>
          <w:tab w:val="left" w:leader="none" w:pos="709"/>
        </w:tabs>
        <w:spacing w:after="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50. Los sujetos obligados contarán con un área responsable para la atención de las solicitudes de información, a la que se le denominará Unidad de Transparencia. </w:t>
      </w:r>
    </w:p>
    <w:p w:rsidR="00000000" w:rsidDel="00000000" w:rsidP="00000000" w:rsidRDefault="00000000" w:rsidRPr="00000000" w14:paraId="0000006D">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51. Los sujetos obligados designaran a un responsable para atender la Unidad de Transparencia, quien fungirá como enlace entre éstos y los solicitantes. </w:t>
      </w:r>
      <w:r w:rsidDel="00000000" w:rsidR="00000000" w:rsidRPr="00000000">
        <w:rPr>
          <w:rFonts w:ascii="Palatino Linotype" w:cs="Palatino Linotype" w:eastAsia="Palatino Linotype" w:hAnsi="Palatino Linotype"/>
          <w:b w:val="1"/>
          <w:i w:val="1"/>
          <w:u w:val="single"/>
          <w:rtl w:val="0"/>
        </w:rPr>
        <w:t xml:space="preserve">Dicha Unidad será la encargada de tramitar internamente la solicitud de información</w:t>
      </w:r>
      <w:r w:rsidDel="00000000" w:rsidR="00000000" w:rsidRPr="00000000">
        <w:rPr>
          <w:rFonts w:ascii="Palatino Linotype" w:cs="Palatino Linotype" w:eastAsia="Palatino Linotype" w:hAnsi="Palatino Linotype"/>
          <w:i w:val="1"/>
          <w:rtl w:val="0"/>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00000" w:rsidDel="00000000" w:rsidP="00000000" w:rsidRDefault="00000000" w:rsidRPr="00000000" w14:paraId="0000006E">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F">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53. Las Unidades de Transparencia tendrán las siguientes funciones:</w:t>
      </w:r>
    </w:p>
    <w:p w:rsidR="00000000" w:rsidDel="00000000" w:rsidP="00000000" w:rsidRDefault="00000000" w:rsidRPr="00000000" w14:paraId="00000070">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1">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Recibir, tramitar y dar respuesta a las solicitudes de acceso a la información; </w:t>
      </w:r>
    </w:p>
    <w:p w:rsidR="00000000" w:rsidDel="00000000" w:rsidP="00000000" w:rsidRDefault="00000000" w:rsidRPr="00000000" w14:paraId="00000072">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3">
      <w:pPr>
        <w:tabs>
          <w:tab w:val="left" w:leader="none" w:pos="709"/>
        </w:tabs>
        <w:spacing w:after="240" w:before="240" w:lineRule="auto"/>
        <w:ind w:left="851" w:right="760"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b w:val="1"/>
          <w:i w:val="1"/>
          <w:u w:val="single"/>
          <w:rtl w:val="0"/>
        </w:rPr>
        <w:t xml:space="preserve">IV. Realizar, con efectividad, los trámites internos necesarios para la atención de las solicitudes de acceso a la información; </w:t>
      </w:r>
    </w:p>
    <w:p w:rsidR="00000000" w:rsidDel="00000000" w:rsidP="00000000" w:rsidRDefault="00000000" w:rsidRPr="00000000" w14:paraId="00000074">
      <w:pPr>
        <w:tabs>
          <w:tab w:val="left" w:leader="none" w:pos="709"/>
        </w:tabs>
        <w:spacing w:after="240" w:before="24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 Entregar, en su caso, a los particulares la información solicitada; </w:t>
      </w:r>
    </w:p>
    <w:p w:rsidR="00000000" w:rsidDel="00000000" w:rsidP="00000000" w:rsidRDefault="00000000" w:rsidRPr="00000000" w14:paraId="00000075">
      <w:pPr>
        <w:tabs>
          <w:tab w:val="left" w:leader="none" w:pos="709"/>
        </w:tabs>
        <w:spacing w:after="0" w:before="240" w:line="360" w:lineRule="auto"/>
        <w:ind w:left="851"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 Efectuar las notificaciones a los solicitantes;” (Sic)</w:t>
      </w:r>
    </w:p>
    <w:p w:rsidR="00000000" w:rsidDel="00000000" w:rsidP="00000000" w:rsidRDefault="00000000" w:rsidRPr="00000000" w14:paraId="00000076">
      <w:pPr>
        <w:tabs>
          <w:tab w:val="left" w:leader="none" w:pos="709"/>
        </w:tabs>
        <w:spacing w:after="0" w:line="360" w:lineRule="auto"/>
        <w:ind w:left="851" w:right="7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lo anterior, se debe señalar que aunque la solicitud de información y la respuesta estén dirigidas y atendidas por un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localizar la información que le solicite la Unidad de Transparencia; proporcionar la información que obre en los archivos y que le sea solicitada por la Unidad de Transparencia, lo anterior de conformidad con los artículos 3 fracción XXXIX, 58 y 59  de la Ley en la materia, que estipulan lo siguiente:</w:t>
      </w:r>
    </w:p>
    <w:p w:rsidR="00000000" w:rsidDel="00000000" w:rsidP="00000000" w:rsidRDefault="00000000" w:rsidRPr="00000000" w14:paraId="0000007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9">
      <w:pPr>
        <w:spacing w:after="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w:t>
      </w:r>
      <w:r w:rsidDel="00000000" w:rsidR="00000000" w:rsidRPr="00000000">
        <w:rPr>
          <w:rFonts w:ascii="Palatino Linotype" w:cs="Palatino Linotype" w:eastAsia="Palatino Linotype" w:hAnsi="Palatino Linotype"/>
          <w:i w:val="1"/>
          <w:rtl w:val="0"/>
        </w:rPr>
        <w:t xml:space="preserve"> Para los efectos de la presente Ley se entenderá por:</w:t>
      </w:r>
    </w:p>
    <w:p w:rsidR="00000000" w:rsidDel="00000000" w:rsidP="00000000" w:rsidRDefault="00000000" w:rsidRPr="00000000" w14:paraId="0000007A">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B">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XXXIX. Servidor público habilitado: </w:t>
      </w:r>
      <w:r w:rsidDel="00000000" w:rsidR="00000000" w:rsidRPr="00000000">
        <w:rPr>
          <w:rFonts w:ascii="Palatino Linotype" w:cs="Palatino Linotype" w:eastAsia="Palatino Linotype" w:hAnsi="Palatino Linotype"/>
          <w:i w:val="1"/>
          <w:rtl w:val="0"/>
        </w:rPr>
        <w:t xml:space="preserve">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00000" w:rsidDel="00000000" w:rsidP="00000000" w:rsidRDefault="00000000" w:rsidRPr="00000000" w14:paraId="0000007C">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D">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58.</w:t>
      </w:r>
      <w:r w:rsidDel="00000000" w:rsidR="00000000" w:rsidRPr="00000000">
        <w:rPr>
          <w:rFonts w:ascii="Palatino Linotype" w:cs="Palatino Linotype" w:eastAsia="Palatino Linotype" w:hAnsi="Palatino Linotype"/>
          <w:i w:val="1"/>
          <w:rtl w:val="0"/>
        </w:rPr>
        <w:t xml:space="preserve"> Los servidores públicos habilitados serán designados por el titular del sujeto obligado a propuesta del responsable de la Unidad de Transparencia.</w:t>
      </w:r>
    </w:p>
    <w:p w:rsidR="00000000" w:rsidDel="00000000" w:rsidP="00000000" w:rsidRDefault="00000000" w:rsidRPr="00000000" w14:paraId="0000007E">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59.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Los servidores públicos habilitados</w:t>
      </w:r>
      <w:r w:rsidDel="00000000" w:rsidR="00000000" w:rsidRPr="00000000">
        <w:rPr>
          <w:rFonts w:ascii="Palatino Linotype" w:cs="Palatino Linotype" w:eastAsia="Palatino Linotype" w:hAnsi="Palatino Linotype"/>
          <w:i w:val="1"/>
          <w:rtl w:val="0"/>
        </w:rPr>
        <w:t xml:space="preserve"> tendrán las funciones siguientes:</w:t>
      </w:r>
    </w:p>
    <w:p w:rsidR="00000000" w:rsidDel="00000000" w:rsidP="00000000" w:rsidRDefault="00000000" w:rsidRPr="00000000" w14:paraId="0000007F">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w:t>
      </w:r>
      <w:r w:rsidDel="00000000" w:rsidR="00000000" w:rsidRPr="00000000">
        <w:rPr>
          <w:rFonts w:ascii="Palatino Linotype" w:cs="Palatino Linotype" w:eastAsia="Palatino Linotype" w:hAnsi="Palatino Linotype"/>
          <w:b w:val="1"/>
          <w:i w:val="1"/>
          <w:u w:val="single"/>
          <w:rtl w:val="0"/>
        </w:rPr>
        <w:t xml:space="preserve">Localizar la información que le solicite la Unidad de Transparencia</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0">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w:t>
      </w:r>
      <w:r w:rsidDel="00000000" w:rsidR="00000000" w:rsidRPr="00000000">
        <w:rPr>
          <w:rFonts w:ascii="Palatino Linotype" w:cs="Palatino Linotype" w:eastAsia="Palatino Linotype" w:hAnsi="Palatino Linotype"/>
          <w:b w:val="1"/>
          <w:i w:val="1"/>
          <w:u w:val="single"/>
          <w:rtl w:val="0"/>
        </w:rPr>
        <w:t xml:space="preserve">Proporcionar la información que obre en los archivos y que le sea solicitada por la Unidad de Transparencia</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1">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Apoyar a la Unidad de Transparencia en lo que esta le solicite para el cumplimiento de sus funciones;</w:t>
      </w:r>
    </w:p>
    <w:p w:rsidR="00000000" w:rsidDel="00000000" w:rsidP="00000000" w:rsidRDefault="00000000" w:rsidRPr="00000000" w14:paraId="00000082">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Proporcionar a la Unidad de Transparencia, las modificaciones a la información pública de oficio que obre en su poder;</w:t>
      </w:r>
    </w:p>
    <w:p w:rsidR="00000000" w:rsidDel="00000000" w:rsidP="00000000" w:rsidRDefault="00000000" w:rsidRPr="00000000" w14:paraId="00000083">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 Integrar y presentar al responsable de la Unidad de Transparencia la propuesta de clasificación de información, la cual tendrá los fundamentos y argumentos en que se basa dicha propuesta;</w:t>
      </w:r>
    </w:p>
    <w:p w:rsidR="00000000" w:rsidDel="00000000" w:rsidP="00000000" w:rsidRDefault="00000000" w:rsidRPr="00000000" w14:paraId="00000084">
      <w:pPr>
        <w:spacing w:after="24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 Verificar, una vez analizado el contenido de la información, que no se encuentre en los supuestos de información clasificada; y</w:t>
      </w:r>
    </w:p>
    <w:p w:rsidR="00000000" w:rsidDel="00000000" w:rsidP="00000000" w:rsidRDefault="00000000" w:rsidRPr="00000000" w14:paraId="00000085">
      <w:pPr>
        <w:spacing w:after="0" w:before="240" w:line="276" w:lineRule="auto"/>
        <w:ind w:left="567" w:right="70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 Dar cuenta a la Unidad de Transparencia del vencimiento de los plazos de reserva.” (Sic)</w:t>
      </w:r>
    </w:p>
    <w:p w:rsidR="00000000" w:rsidDel="00000000" w:rsidP="00000000" w:rsidRDefault="00000000" w:rsidRPr="00000000" w14:paraId="00000086">
      <w:pPr>
        <w:spacing w:after="0" w:line="360" w:lineRule="auto"/>
        <w:ind w:left="567" w:right="70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8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otras palabras,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al momento de otorgar respuesta cumplió con lo que dispone el artículo 162 de la Ley de Transparencia y Acceso a la Información Pública del Estado de México y Municipios, que índica:</w:t>
      </w:r>
    </w:p>
    <w:p w:rsidR="00000000" w:rsidDel="00000000" w:rsidP="00000000" w:rsidRDefault="00000000" w:rsidRPr="00000000" w14:paraId="0000008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9">
      <w:pPr>
        <w:spacing w:after="0" w:line="276" w:lineRule="auto"/>
        <w:ind w:left="567" w:right="61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162. </w:t>
      </w:r>
      <w:r w:rsidDel="00000000" w:rsidR="00000000" w:rsidRPr="00000000">
        <w:rPr>
          <w:rFonts w:ascii="Palatino Linotype" w:cs="Palatino Linotype" w:eastAsia="Palatino Linotype" w:hAnsi="Palatino Linotype"/>
          <w:i w:val="1"/>
          <w:u w:val="single"/>
          <w:rtl w:val="0"/>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8A">
      <w:pPr>
        <w:spacing w:after="0" w:line="276" w:lineRule="auto"/>
        <w:ind w:right="618"/>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Ya que la respuesta fue otorgada por la Secretaria del Ayuntamiento, quien es la responsable con el Presidente Municipal de firmar y entregar los nombramientos a las autoridades auxiliares electos a más tardar el día en que entren en funciones que será el 15 de abril, como se demuestra a continuación:</w:t>
      </w:r>
    </w:p>
    <w:p w:rsidR="00000000" w:rsidDel="00000000" w:rsidP="00000000" w:rsidRDefault="00000000" w:rsidRPr="00000000" w14:paraId="0000008C">
      <w:pPr>
        <w:spacing w:after="0" w:line="276" w:lineRule="auto"/>
        <w:ind w:right="618"/>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8D">
      <w:pPr>
        <w:spacing w:after="0" w:line="276" w:lineRule="auto"/>
        <w:ind w:left="567" w:right="618"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LEY ORGÁNICA MUNICIPAL DEL ESTADO DE MÉXICO</w:t>
      </w:r>
    </w:p>
    <w:p w:rsidR="00000000" w:rsidDel="00000000" w:rsidP="00000000" w:rsidRDefault="00000000" w:rsidRPr="00000000" w14:paraId="0000008E">
      <w:pPr>
        <w:spacing w:after="0" w:line="276" w:lineRule="auto"/>
        <w:ind w:left="567" w:right="61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59.- (…)</w:t>
      </w:r>
    </w:p>
    <w:p w:rsidR="00000000" w:rsidDel="00000000" w:rsidP="00000000" w:rsidRDefault="00000000" w:rsidRPr="00000000" w14:paraId="0000008F">
      <w:pPr>
        <w:spacing w:after="0" w:line="276" w:lineRule="auto"/>
        <w:ind w:left="567" w:right="61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elección de los Delegados y Subdelegados se realizará en la fecha señalada en la convocatoria, entre el segundo domingo de marzo y el 30 de ese mes del primer año de gobierno del Ayuntamiento.</w:t>
      </w:r>
    </w:p>
    <w:p w:rsidR="00000000" w:rsidDel="00000000" w:rsidP="00000000" w:rsidRDefault="00000000" w:rsidRPr="00000000" w14:paraId="00000090">
      <w:pPr>
        <w:spacing w:after="0" w:line="276" w:lineRule="auto"/>
        <w:ind w:left="567" w:right="618" w:firstLine="0"/>
        <w:jc w:val="both"/>
        <w:rPr>
          <w:rFonts w:ascii="Palatino Linotype" w:cs="Palatino Linotype" w:eastAsia="Palatino Linotype" w:hAnsi="Palatino Linotype"/>
          <w:i w:val="1"/>
        </w:rPr>
      </w:pPr>
      <w:bookmarkStart w:colFirst="0" w:colLast="0" w:name="_heading=h.30j0zll" w:id="2"/>
      <w:bookmarkEnd w:id="2"/>
      <w:r w:rsidDel="00000000" w:rsidR="00000000" w:rsidRPr="00000000">
        <w:rPr>
          <w:rFonts w:ascii="Palatino Linotype" w:cs="Palatino Linotype" w:eastAsia="Palatino Linotype" w:hAnsi="Palatino Linotype"/>
          <w:i w:val="1"/>
          <w:rtl w:val="0"/>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000000" w:rsidDel="00000000" w:rsidP="00000000" w:rsidRDefault="00000000" w:rsidRPr="00000000" w14:paraId="00000091">
      <w:pPr>
        <w:spacing w:after="0" w:before="160" w:line="360" w:lineRule="auto"/>
        <w:jc w:val="both"/>
        <w:rPr>
          <w:rFonts w:ascii="Palatino Linotype" w:cs="Palatino Linotype" w:eastAsia="Palatino Linotype" w:hAnsi="Palatino Linotype"/>
          <w:sz w:val="24"/>
          <w:szCs w:val="24"/>
        </w:rPr>
      </w:pPr>
      <w:bookmarkStart w:colFirst="0" w:colLast="0" w:name="_heading=h.gjdgxs" w:id="3"/>
      <w:bookmarkEnd w:id="3"/>
      <w:r w:rsidDel="00000000" w:rsidR="00000000" w:rsidRPr="00000000">
        <w:rPr>
          <w:rFonts w:ascii="Palatino Linotype" w:cs="Palatino Linotype" w:eastAsia="Palatino Linotype" w:hAnsi="Palatino Linotype"/>
          <w:sz w:val="24"/>
          <w:szCs w:val="24"/>
          <w:rtl w:val="0"/>
        </w:rPr>
        <w:t xml:space="preserve">Es por las razones antes expuestas no comparto el estudio de la resolución dictada, y, por ende se emite el presente </w:t>
      </w:r>
      <w:r w:rsidDel="00000000" w:rsidR="00000000" w:rsidRPr="00000000">
        <w:rPr>
          <w:rFonts w:ascii="Palatino Linotype" w:cs="Palatino Linotype" w:eastAsia="Palatino Linotype" w:hAnsi="Palatino Linotype"/>
          <w:b w:val="1"/>
          <w:sz w:val="24"/>
          <w:szCs w:val="24"/>
          <w:rtl w:val="0"/>
        </w:rPr>
        <w:t xml:space="preserve">Voto Particular </w:t>
      </w:r>
      <w:r w:rsidDel="00000000" w:rsidR="00000000" w:rsidRPr="00000000">
        <w:rPr>
          <w:rFonts w:ascii="Palatino Linotype" w:cs="Palatino Linotype" w:eastAsia="Palatino Linotype" w:hAnsi="Palatino Linotype"/>
          <w:sz w:val="24"/>
          <w:szCs w:val="24"/>
          <w:rtl w:val="0"/>
        </w:rPr>
        <w:t xml:space="preserve">pues considero que se debió dar por colmada la respuesta otorgada por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76" w:lineRule="auto"/>
      <w:rPr>
        <w:rFonts w:ascii="Palatino Linotype" w:cs="Palatino Linotype" w:eastAsia="Palatino Linotype" w:hAnsi="Palatino Linotype"/>
        <w:sz w:val="24"/>
        <w:szCs w:val="24"/>
      </w:rPr>
    </w:pPr>
    <w:r w:rsidDel="00000000" w:rsidR="00000000" w:rsidRPr="00000000">
      <w:rPr>
        <w:rtl w:val="0"/>
      </w:rPr>
    </w:r>
  </w:p>
  <w:tbl>
    <w:tblPr>
      <w:tblStyle w:val="Table3"/>
      <w:tblW w:w="921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6"/>
      <w:gridCol w:w="5528"/>
      <w:tblGridChange w:id="0">
        <w:tblGrid>
          <w:gridCol w:w="3686"/>
          <w:gridCol w:w="5528"/>
        </w:tblGrid>
      </w:tblGridChange>
    </w:tblGrid>
    <w:tr>
      <w:trPr>
        <w:cantSplit w:val="0"/>
        <w:trHeight w:val="2211" w:hRule="atLeast"/>
        <w:tblHeader w:val="0"/>
      </w:trPr>
      <w:tc>
        <w:tcPr>
          <w:vAlign w:val="bottom"/>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252"/>
              <w:tab w:val="right" w:leader="none" w:pos="8504"/>
              <w:tab w:val="center" w:leader="none" w:pos="2614"/>
            </w:tabs>
            <w:ind w:left="-255" w:firstLine="0"/>
            <w:rPr>
              <w:color w:val="000000"/>
            </w:rPr>
          </w:pPr>
          <w:r w:rsidDel="00000000" w:rsidR="00000000" w:rsidRPr="00000000">
            <w:rPr>
              <w:color w:val="000000"/>
              <w:sz w:val="10"/>
              <w:szCs w:val="10"/>
            </w:rPr>
            <w:drawing>
              <wp:inline distB="0" distT="0" distL="0" distR="0">
                <wp:extent cx="1873633" cy="112654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3633" cy="112654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252"/>
              <w:tab w:val="right" w:leader="none" w:pos="8504"/>
            </w:tabs>
            <w:ind w:right="-25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252"/>
              <w:tab w:val="right" w:leader="none" w:pos="8504"/>
            </w:tabs>
            <w:ind w:left="-108" w:right="-250" w:firstLine="0"/>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Voto Particular.</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252"/>
              <w:tab w:val="right" w:leader="none" w:pos="8504"/>
            </w:tabs>
            <w:ind w:left="-108" w:right="-25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Recurso de Revisión: </w:t>
          </w:r>
          <w:r w:rsidDel="00000000" w:rsidR="00000000" w:rsidRPr="00000000">
            <w:rPr>
              <w:rFonts w:ascii="Palatino Linotype" w:cs="Palatino Linotype" w:eastAsia="Palatino Linotype" w:hAnsi="Palatino Linotype"/>
              <w:color w:val="000000"/>
              <w:rtl w:val="0"/>
            </w:rPr>
            <w:t xml:space="preserve">05535/INFOEM/IP/RR/2023 y acumulados.</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252"/>
              <w:tab w:val="right" w:leader="none" w:pos="8504"/>
            </w:tabs>
            <w:ind w:left="-108" w:right="-250" w:firstLine="0"/>
            <w:jc w:val="both"/>
            <w:rPr>
              <w:rFonts w:ascii="Palatino Linotype" w:cs="Palatino Linotype" w:eastAsia="Palatino Linotype" w:hAnsi="Palatino Linotype"/>
              <w:color w:val="000000"/>
            </w:rPr>
          </w:pPr>
          <w:r w:rsidDel="00000000" w:rsidR="00000000" w:rsidRPr="00000000">
            <w:rPr>
              <w:rtl w:val="0"/>
            </w:rPr>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a0" w:customSty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a1" w:customSty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4Ao47rz47DuRC6tcQVzEGS9gg==">CgMxLjAyCGguejMzN3lhMgloLjJ4Y3l0cGkyCWguMzBqMHpsbDIIaC5namRneHM4AHIhMWZsQzE4X1JqUDJsWHVRVGtibms2UE1qV2p3RzVISDhU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2023-12-18T18:33:00Z</dcterms:created>
  <dc:creator>USUARIO</dc:creator>
</cp:coreProperties>
</file>