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7D8" w:rsidRDefault="00722F4A">
      <w:pPr>
        <w:widowControl w:val="0"/>
        <w:pBdr>
          <w:top w:val="nil"/>
          <w:left w:val="nil"/>
          <w:bottom w:val="nil"/>
          <w:right w:val="nil"/>
          <w:between w:val="nil"/>
        </w:pBdr>
        <w:spacing w:after="0" w:line="276" w:lineRule="auto"/>
      </w:pPr>
      <w:r>
        <w:pict w14:anchorId="7F7261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0pt;height:50pt;z-index:251657216;visibility:hidden">
            <o:lock v:ext="edit" selection="t"/>
          </v:shape>
        </w:pict>
      </w:r>
      <w:r>
        <w:pict w14:anchorId="62059192">
          <v:shape id="_x0000_s1026" type="#_x0000_t136" style="position:absolute;margin-left:0;margin-top:0;width:50pt;height:50pt;z-index:251658240;visibility:hidden">
            <o:lock v:ext="edit" selection="t"/>
          </v:shape>
        </w:pict>
      </w:r>
    </w:p>
    <w:p w:rsidR="008C47D8" w:rsidRDefault="00052D54">
      <w:pPr>
        <w:spacing w:after="0" w:line="360" w:lineRule="auto"/>
        <w:ind w:right="-93"/>
        <w:jc w:val="both"/>
        <w:rPr>
          <w:rFonts w:ascii="Palatino Linotype" w:eastAsia="Palatino Linotype" w:hAnsi="Palatino Linotype" w:cs="Palatino Linotype"/>
          <w:b/>
        </w:rPr>
      </w:pPr>
      <w:r>
        <w:rPr>
          <w:rFonts w:ascii="Palatino Linotype" w:eastAsia="Palatino Linotype" w:hAnsi="Palatino Linotype" w:cs="Palatino Linotype"/>
          <w:b/>
        </w:rPr>
        <w:t>VOTO PARTICULAR QUE FORMULAN EL COMISIONADO LUIS GUSTAVO PARRA NORIEGA Y LA COMISIONADA GUADALUPE RAMÍREZ PEÑA CON RELACIÓN A LA RESOLUCIÓN EMITIDA POR EL PLENO DEL INSTITUTO DE TRANSPARENCIA, ACCESO A LA INFORMACIÓN PÚBLICA Y PROTECCIÓN DE DATOS PERSONALES DEL ESTADO DE MÉXICO Y MUNICIPIOS EN EL RECURSO DE REVISIÓN 12016/INFOEM/IP/RR/2022, PROMOVIDO EN CONTRA DEL AYUNTAMIENTO DE TEPOTZOTLÁN.</w:t>
      </w:r>
    </w:p>
    <w:p w:rsidR="008C47D8" w:rsidRDefault="008C47D8">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000000"/>
        </w:rPr>
      </w:pPr>
    </w:p>
    <w:p w:rsidR="008C47D8" w:rsidRDefault="00052D54">
      <w:pPr>
        <w:spacing w:after="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El Pleno del Instituto de Transparencia, Acceso a la Información Pública y Protección de Datos Personales del Estado de México resolvió por unanimidad de votos, la Resolución relativa al Recurso de Revisión </w:t>
      </w:r>
      <w:r>
        <w:rPr>
          <w:rFonts w:ascii="Palatino Linotype" w:eastAsia="Palatino Linotype" w:hAnsi="Palatino Linotype" w:cs="Palatino Linotype"/>
          <w:b/>
        </w:rPr>
        <w:t xml:space="preserve">12016/INFOEM/IP/RR/2022, </w:t>
      </w:r>
      <w:r>
        <w:rPr>
          <w:rFonts w:ascii="Palatino Linotype" w:eastAsia="Palatino Linotype" w:hAnsi="Palatino Linotype" w:cs="Palatino Linotype"/>
        </w:rPr>
        <w:t xml:space="preserve">presentada por el Comisionado Luis Gustavo Parra Noriega </w:t>
      </w:r>
      <w:r>
        <w:rPr>
          <w:rFonts w:ascii="Palatino Linotype" w:eastAsia="Palatino Linotype" w:hAnsi="Palatino Linotype" w:cs="Palatino Linotype"/>
          <w:b/>
        </w:rPr>
        <w:t>conforme al criterio mayoritario del Pleno</w:t>
      </w:r>
      <w:r>
        <w:rPr>
          <w:rFonts w:ascii="Palatino Linotype" w:eastAsia="Palatino Linotype" w:hAnsi="Palatino Linotype" w:cs="Palatino Linotype"/>
        </w:rPr>
        <w:t xml:space="preserve">, respecto de la cual, quienes suscriben, emiten </w:t>
      </w:r>
      <w:r>
        <w:rPr>
          <w:rFonts w:ascii="Palatino Linotype" w:eastAsia="Palatino Linotype" w:hAnsi="Palatino Linotype" w:cs="Palatino Linotype"/>
          <w:b/>
        </w:rPr>
        <w:t>VOTO PARTICULAR CONCURRENTE</w:t>
      </w:r>
      <w:r>
        <w:rPr>
          <w:rFonts w:ascii="Palatino Linotype" w:eastAsia="Palatino Linotype" w:hAnsi="Palatino Linotype" w:cs="Palatino Linotype"/>
        </w:rPr>
        <w:t>, con fundamento en los artículos 14, fracción XI, del Reglamento del Instituto de Transparencia, Acceso a la Información Pública y Protección de Personales Datos del Estado de México, así como 45 y 48, fracción I, de los Lineamientos para el funcionamiento del Pleno y las Comisiones del Instituto de Transparencia, Acceso a la Información Pública y Protección de Datos Personales del Estado de México y Municipios.</w:t>
      </w:r>
    </w:p>
    <w:p w:rsidR="008C47D8" w:rsidRDefault="008C47D8">
      <w:pPr>
        <w:spacing w:after="0" w:line="360" w:lineRule="auto"/>
        <w:jc w:val="both"/>
        <w:rPr>
          <w:rFonts w:ascii="Palatino Linotype" w:eastAsia="Palatino Linotype" w:hAnsi="Palatino Linotype" w:cs="Palatino Linotype"/>
        </w:rPr>
      </w:pPr>
    </w:p>
    <w:p w:rsidR="008C47D8" w:rsidRDefault="00052D5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través de la solicitud de acceso a la información que nos ocupa, el Particular requirió información de incidencia delictiva o reporte de incidentes de uno de enero de dos mil diez al diecinueve de mayo de dos mil veintidós, en respuesta, el Sujeto Obligado proporcionó diversos documentos como documentos en Excel que contiene el registro de incidentes delictivos del periodo correspondiente del once de septiembre de dos mil diecinueve al treinta y uno de diciembre de dos mil veintiuno, que contiene fecha, hora, descripción, situación reportada, estado en el que tuvo lugar el incidente, municipio, calle y colonia; </w:t>
      </w:r>
      <w:r>
        <w:rPr>
          <w:rFonts w:ascii="Palatino Linotype" w:eastAsia="Palatino Linotype" w:hAnsi="Palatino Linotype" w:cs="Palatino Linotype"/>
        </w:rPr>
        <w:lastRenderedPageBreak/>
        <w:t xml:space="preserve">asimismo, emitió la declaratoria de inexistencia respecto a la información faltante de los registros de apoyo o incidentes generados de  los años 2010 a 2018. </w:t>
      </w:r>
    </w:p>
    <w:p w:rsidR="008C47D8" w:rsidRDefault="008C47D8">
      <w:pPr>
        <w:spacing w:after="0" w:line="360" w:lineRule="auto"/>
        <w:jc w:val="both"/>
        <w:rPr>
          <w:rFonts w:ascii="Palatino Linotype" w:eastAsia="Palatino Linotype" w:hAnsi="Palatino Linotype" w:cs="Palatino Linotype"/>
        </w:rPr>
      </w:pPr>
    </w:p>
    <w:p w:rsidR="008C47D8" w:rsidRDefault="00052D5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lo anterior, la Ponencia </w:t>
      </w:r>
      <w:proofErr w:type="spellStart"/>
      <w:r>
        <w:rPr>
          <w:rFonts w:ascii="Palatino Linotype" w:eastAsia="Palatino Linotype" w:hAnsi="Palatino Linotype" w:cs="Palatino Linotype"/>
        </w:rPr>
        <w:t>Resolutora</w:t>
      </w:r>
      <w:proofErr w:type="spellEnd"/>
      <w:r>
        <w:rPr>
          <w:rFonts w:ascii="Palatino Linotype" w:eastAsia="Palatino Linotype" w:hAnsi="Palatino Linotype" w:cs="Palatino Linotype"/>
        </w:rPr>
        <w:t xml:space="preserve"> aplicó el criterio de actos consentidos, respecto de los documentos entregados en respuesta, por lo que, no se entró al fondo del asunto y se determinó sólo ordenar los documentos faltantes. No obstante, dentro de la resolución emitida se determinó dar vista a la Dirección General de Datos, sin embargo, como ya se señaló, el Particular no se inconformó respecto de la información entregada sólo por la falta de entrega de documentos de la Dirección de Seguridad Pública y Tránsito Municipal del H. Ayuntamiento de Tepotzotlán. </w:t>
      </w:r>
    </w:p>
    <w:p w:rsidR="008C47D8" w:rsidRDefault="008C47D8">
      <w:pPr>
        <w:spacing w:after="0" w:line="360" w:lineRule="auto"/>
        <w:jc w:val="both"/>
        <w:rPr>
          <w:rFonts w:ascii="Palatino Linotype" w:eastAsia="Palatino Linotype" w:hAnsi="Palatino Linotype" w:cs="Palatino Linotype"/>
        </w:rPr>
      </w:pPr>
    </w:p>
    <w:p w:rsidR="008C47D8" w:rsidRDefault="00052D5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es preciso mencionar que, si bien, se comparte el sentido de la Resolución emitida en virtud de que procede ordenar los documentos que dan cuenta de la información faltante, también lo es que, la vista a la Dirección General de Datos constituye el motivo para la emisión del presente Voto Particular Concurrente, toda vez, que conforme a los artículos 1°, 7°, 29, 36 fracciones II, XVI, XXI,XXII, XXVII y XXXVIII; 176, 185, 186, 188, 195, 198, 199, 200, 214, 216 y 220, fracción XIX de la Ley de Transparencia vigente en la Entidad, esta tiene por objeto establecer los principios, bases generales y procedimientos para tutelar y garantizar la transparencia y el derecho humano de acceso a la información pública en posesión de los sujetos obligados, del mismo modo precisa que este Instituto es un órgano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 responsable de garantizar el ejercicio de los derechos de acceso a la información pública conforme a los principios y bases establecidas en la Constitución </w:t>
      </w:r>
      <w:r>
        <w:rPr>
          <w:rFonts w:ascii="Palatino Linotype" w:eastAsia="Palatino Linotype" w:hAnsi="Palatino Linotype" w:cs="Palatino Linotype"/>
        </w:rPr>
        <w:lastRenderedPageBreak/>
        <w:t>Federal, Constitución Local, Ley General, así como lo previsto en esta Ley y demás disposiciones jurídicas aplicables.</w:t>
      </w:r>
    </w:p>
    <w:p w:rsidR="008C47D8" w:rsidRDefault="008C47D8">
      <w:pPr>
        <w:tabs>
          <w:tab w:val="left" w:pos="0"/>
        </w:tabs>
        <w:spacing w:after="0" w:line="360" w:lineRule="auto"/>
        <w:ind w:right="49"/>
        <w:jc w:val="both"/>
        <w:rPr>
          <w:rFonts w:ascii="Palatino Linotype" w:eastAsia="Palatino Linotype" w:hAnsi="Palatino Linotype" w:cs="Palatino Linotype"/>
        </w:rPr>
      </w:pPr>
    </w:p>
    <w:p w:rsidR="008C47D8" w:rsidRDefault="00052D54">
      <w:pPr>
        <w:shd w:val="clear" w:color="auto" w:fill="FFFFFF"/>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ese sentido, es de resaltar que el recurso de revisión es la garantía secundaria mediante la cual se pretende reparar cualquier posible afectación al derecho de acceso a la información pública, en donde las resoluciones de este Órgano Garante pueden:</w:t>
      </w:r>
    </w:p>
    <w:p w:rsidR="008C47D8" w:rsidRDefault="00052D54">
      <w:pPr>
        <w:numPr>
          <w:ilvl w:val="0"/>
          <w:numId w:val="1"/>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Desechar o sobreseer el recurso</w:t>
      </w:r>
    </w:p>
    <w:p w:rsidR="008C47D8" w:rsidRDefault="00052D54">
      <w:pPr>
        <w:numPr>
          <w:ilvl w:val="0"/>
          <w:numId w:val="1"/>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Confirma la respuesta del sujeto obligado</w:t>
      </w:r>
    </w:p>
    <w:p w:rsidR="008C47D8" w:rsidRDefault="00052D54">
      <w:pPr>
        <w:numPr>
          <w:ilvl w:val="0"/>
          <w:numId w:val="1"/>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Revocar o modificar la respuesta del sujeto obligado; y </w:t>
      </w:r>
    </w:p>
    <w:p w:rsidR="008C47D8" w:rsidRDefault="00052D54">
      <w:pPr>
        <w:numPr>
          <w:ilvl w:val="0"/>
          <w:numId w:val="1"/>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Ordenar la entrega de la información</w:t>
      </w:r>
    </w:p>
    <w:p w:rsidR="005300FF" w:rsidRDefault="005300FF">
      <w:pPr>
        <w:spacing w:after="0" w:line="360" w:lineRule="auto"/>
        <w:jc w:val="both"/>
        <w:rPr>
          <w:rFonts w:ascii="Palatino Linotype" w:eastAsia="Palatino Linotype" w:hAnsi="Palatino Linotype" w:cs="Palatino Linotype"/>
        </w:rPr>
      </w:pPr>
    </w:p>
    <w:p w:rsidR="008C47D8" w:rsidRDefault="00052D5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agregar que las resoluciones que pronuncie este Instituto deben contener cuatro aspectos importantes:</w:t>
      </w:r>
    </w:p>
    <w:p w:rsidR="008C47D8" w:rsidRDefault="00052D54">
      <w:pPr>
        <w:numPr>
          <w:ilvl w:val="0"/>
          <w:numId w:val="2"/>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Lugar, fecha, el nombre del recurrente y del tercero interesado en su caso, sujeto obligado y un extracto de los hechos cuestionados;</w:t>
      </w:r>
    </w:p>
    <w:p w:rsidR="008C47D8" w:rsidRDefault="00052D54">
      <w:pPr>
        <w:numPr>
          <w:ilvl w:val="0"/>
          <w:numId w:val="2"/>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Los preceptos en que se fundamenten y las consideraciones que las sustenten;</w:t>
      </w:r>
    </w:p>
    <w:p w:rsidR="008C47D8" w:rsidRDefault="00052D54">
      <w:pPr>
        <w:numPr>
          <w:ilvl w:val="0"/>
          <w:numId w:val="2"/>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Los alcances y efectos de la resolución, fijando con precisión, en su caso, los sujetos y órganos obligados a cumplirla; y</w:t>
      </w:r>
    </w:p>
    <w:p w:rsidR="008C47D8" w:rsidRDefault="00052D54">
      <w:pPr>
        <w:numPr>
          <w:ilvl w:val="0"/>
          <w:numId w:val="2"/>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Los puntos resolutivos.</w:t>
      </w:r>
    </w:p>
    <w:p w:rsidR="008C47D8" w:rsidRDefault="008C47D8">
      <w:pPr>
        <w:spacing w:after="0" w:line="360" w:lineRule="auto"/>
        <w:jc w:val="both"/>
        <w:rPr>
          <w:rFonts w:ascii="Palatino Linotype" w:eastAsia="Palatino Linotype" w:hAnsi="Palatino Linotype" w:cs="Palatino Linotype"/>
        </w:rPr>
      </w:pPr>
    </w:p>
    <w:p w:rsidR="008C47D8" w:rsidRDefault="00052D5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Sobre este punto, se considera de suma importancia mencionar que de la normatividad citada, se advierte que este Instituto está facultado entre otras cosas para:</w:t>
      </w:r>
    </w:p>
    <w:p w:rsidR="008C47D8" w:rsidRDefault="008C47D8">
      <w:pPr>
        <w:spacing w:after="0" w:line="360" w:lineRule="auto"/>
        <w:jc w:val="both"/>
        <w:rPr>
          <w:rFonts w:ascii="Palatino Linotype" w:eastAsia="Palatino Linotype" w:hAnsi="Palatino Linotype" w:cs="Palatino Linotype"/>
        </w:rPr>
      </w:pPr>
    </w:p>
    <w:p w:rsidR="008C47D8" w:rsidRDefault="00052D54">
      <w:pPr>
        <w:numPr>
          <w:ilvl w:val="0"/>
          <w:numId w:val="3"/>
        </w:num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Conocer y resolver los recursos de revisión interpuestos por los particulares en contra de las resoluciones de los sujetos obligados en el ámbito estatal;</w:t>
      </w:r>
    </w:p>
    <w:p w:rsidR="008C47D8" w:rsidRDefault="008C47D8">
      <w:pPr>
        <w:spacing w:after="0" w:line="360" w:lineRule="auto"/>
        <w:ind w:left="720"/>
        <w:jc w:val="both"/>
        <w:rPr>
          <w:rFonts w:ascii="Palatino Linotype" w:eastAsia="Palatino Linotype" w:hAnsi="Palatino Linotype" w:cs="Palatino Linotype"/>
          <w:i/>
          <w:sz w:val="10"/>
          <w:szCs w:val="10"/>
        </w:rPr>
      </w:pPr>
    </w:p>
    <w:p w:rsidR="008C47D8" w:rsidRDefault="00052D54">
      <w:pPr>
        <w:numPr>
          <w:ilvl w:val="0"/>
          <w:numId w:val="3"/>
        </w:num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Realizar de oficio y a petición de parte, análisis y recomendaciones o en su caso, lineamientos en relación con presuntos incumplimientos a las disposiciones de la Ley, cuando existan elementos suficientes a juicio del Pleno del Instituto;</w:t>
      </w:r>
    </w:p>
    <w:p w:rsidR="008C47D8" w:rsidRDefault="008C47D8">
      <w:pPr>
        <w:spacing w:after="0" w:line="360" w:lineRule="auto"/>
        <w:ind w:left="720"/>
        <w:jc w:val="both"/>
        <w:rPr>
          <w:rFonts w:ascii="Palatino Linotype" w:eastAsia="Palatino Linotype" w:hAnsi="Palatino Linotype" w:cs="Palatino Linotype"/>
          <w:i/>
          <w:sz w:val="10"/>
          <w:szCs w:val="10"/>
        </w:rPr>
      </w:pPr>
    </w:p>
    <w:p w:rsidR="008C47D8" w:rsidRDefault="00052D54">
      <w:pPr>
        <w:numPr>
          <w:ilvl w:val="0"/>
          <w:numId w:val="3"/>
        </w:num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Emitir comunicados públicos sobre el incumplimiento de sus resoluciones o por infracciones reiteradas a la Ley, en el ámbito de su competencia;</w:t>
      </w:r>
    </w:p>
    <w:p w:rsidR="008C47D8" w:rsidRDefault="008C47D8">
      <w:pPr>
        <w:spacing w:after="0" w:line="360" w:lineRule="auto"/>
        <w:ind w:left="720"/>
        <w:jc w:val="both"/>
        <w:rPr>
          <w:rFonts w:ascii="Palatino Linotype" w:eastAsia="Palatino Linotype" w:hAnsi="Palatino Linotype" w:cs="Palatino Linotype"/>
          <w:i/>
          <w:sz w:val="10"/>
          <w:szCs w:val="10"/>
        </w:rPr>
      </w:pPr>
    </w:p>
    <w:p w:rsidR="008C47D8" w:rsidRDefault="00052D54">
      <w:pPr>
        <w:numPr>
          <w:ilvl w:val="0"/>
          <w:numId w:val="3"/>
        </w:num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Ordenar a los sujetos obligados la ejecutoría en la entrega de información en términos de la presente Ley;</w:t>
      </w:r>
    </w:p>
    <w:p w:rsidR="008C47D8" w:rsidRDefault="008C47D8">
      <w:pPr>
        <w:spacing w:after="0" w:line="360" w:lineRule="auto"/>
        <w:ind w:left="720"/>
        <w:jc w:val="both"/>
        <w:rPr>
          <w:rFonts w:ascii="Palatino Linotype" w:eastAsia="Palatino Linotype" w:hAnsi="Palatino Linotype" w:cs="Palatino Linotype"/>
          <w:i/>
          <w:sz w:val="10"/>
          <w:szCs w:val="10"/>
        </w:rPr>
      </w:pPr>
    </w:p>
    <w:p w:rsidR="008C47D8" w:rsidRDefault="00052D54">
      <w:pPr>
        <w:numPr>
          <w:ilvl w:val="0"/>
          <w:numId w:val="3"/>
        </w:num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Imponer las medidas de apremio para asegurar el cumplimiento de sus determinaciones;</w:t>
      </w:r>
    </w:p>
    <w:p w:rsidR="008C47D8" w:rsidRDefault="008C47D8">
      <w:pPr>
        <w:spacing w:after="0" w:line="360" w:lineRule="auto"/>
        <w:ind w:left="720"/>
        <w:jc w:val="both"/>
        <w:rPr>
          <w:rFonts w:ascii="Palatino Linotype" w:eastAsia="Palatino Linotype" w:hAnsi="Palatino Linotype" w:cs="Palatino Linotype"/>
          <w:i/>
          <w:sz w:val="10"/>
          <w:szCs w:val="10"/>
        </w:rPr>
      </w:pPr>
    </w:p>
    <w:p w:rsidR="008C47D8" w:rsidRDefault="00052D54">
      <w:pPr>
        <w:numPr>
          <w:ilvl w:val="0"/>
          <w:numId w:val="3"/>
        </w:num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b/>
          <w:i/>
          <w:u w:val="single"/>
        </w:rPr>
        <w:t>Hacer del conocimiento de la instancia competente la probable responsabilidad por el incumplimiento de las obligaciones</w:t>
      </w:r>
      <w:r>
        <w:rPr>
          <w:rFonts w:ascii="Palatino Linotype" w:eastAsia="Palatino Linotype" w:hAnsi="Palatino Linotype" w:cs="Palatino Linotype"/>
          <w:i/>
        </w:rPr>
        <w:t xml:space="preserve"> previstas en la Ley y en las demás disposiciones aplicable.  </w:t>
      </w:r>
    </w:p>
    <w:p w:rsidR="008C47D8" w:rsidRDefault="008C47D8">
      <w:pPr>
        <w:spacing w:after="0" w:line="360" w:lineRule="auto"/>
        <w:jc w:val="both"/>
        <w:rPr>
          <w:rFonts w:ascii="Palatino Linotype" w:eastAsia="Palatino Linotype" w:hAnsi="Palatino Linotype" w:cs="Palatino Linotype"/>
        </w:rPr>
      </w:pPr>
    </w:p>
    <w:p w:rsidR="008C47D8" w:rsidRDefault="00052D5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Establecido lo anterior, debe tomarse en cuenta que la vista a la Dirección General de Datos de este Instituto, no debió incluirse en los resolutivos de la resolución referida, toda vez que, el Particular no se inconformó sobre la información proporcionada en respuesta, es decir, no forma parte de la “</w:t>
      </w:r>
      <w:r>
        <w:rPr>
          <w:rFonts w:ascii="Palatino Linotype" w:eastAsia="Palatino Linotype" w:hAnsi="Palatino Linotype" w:cs="Palatino Linotype"/>
          <w:i/>
        </w:rPr>
        <w:t xml:space="preserve">Litis” </w:t>
      </w:r>
      <w:r>
        <w:rPr>
          <w:rFonts w:ascii="Palatino Linotype" w:eastAsia="Palatino Linotype" w:hAnsi="Palatino Linotype" w:cs="Palatino Linotype"/>
        </w:rPr>
        <w:t>( “</w:t>
      </w:r>
      <w:r>
        <w:rPr>
          <w:rFonts w:ascii="Palatino Linotype" w:eastAsia="Palatino Linotype" w:hAnsi="Palatino Linotype" w:cs="Palatino Linotype"/>
          <w:i/>
        </w:rPr>
        <w:t xml:space="preserve">Litis”: </w:t>
      </w:r>
      <w:r>
        <w:rPr>
          <w:rFonts w:ascii="Palatino Linotype" w:eastAsia="Palatino Linotype" w:hAnsi="Palatino Linotype" w:cs="Palatino Linotype"/>
        </w:rPr>
        <w:t xml:space="preserve">vocablo latino que en idioma español se traduce como litigio, significando disputa o controversia judicial; diferencia de intereses entre dos partes, llamadas litigantes, sometidas a decisión de un Juez) y, por lo tanto, no se debió analizar la documentación entregada, al haberse invocado actos consentidos, así en el presente asunto, la vista en mención debió realizarse y tramitarse por cuerda separada, en caso de advertirse necesario.  </w:t>
      </w:r>
    </w:p>
    <w:p w:rsidR="008C47D8" w:rsidRDefault="00052D5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respecto de los actos consentidos, de conformidad con lo dispuesto en el artículo 195 de la Ley de Transparencia y Acceso a la Información Pública del Estado de México y Municipios, con relación con el diverso 195, fracción IV, del Código de Procedimientos Administrativos del Estado de México, se establece que </w:t>
      </w:r>
      <w:r>
        <w:rPr>
          <w:rFonts w:ascii="Palatino Linotype" w:eastAsia="Palatino Linotype" w:hAnsi="Palatino Linotype" w:cs="Palatino Linotype"/>
          <w:u w:val="single"/>
        </w:rPr>
        <w:t xml:space="preserve">será improcedente </w:t>
      </w:r>
      <w:r>
        <w:rPr>
          <w:rFonts w:ascii="Palatino Linotype" w:eastAsia="Palatino Linotype" w:hAnsi="Palatino Linotype" w:cs="Palatino Linotype"/>
          <w:u w:val="single"/>
        </w:rPr>
        <w:lastRenderedPageBreak/>
        <w:t>el recurso</w:t>
      </w:r>
      <w:r>
        <w:rPr>
          <w:rFonts w:ascii="Palatino Linotype" w:eastAsia="Palatino Linotype" w:hAnsi="Palatino Linotype" w:cs="Palatino Linotype"/>
        </w:rPr>
        <w:t xml:space="preserve"> contra los actos que se hayan consentido tácitamente, entendiéndose por estos cuando el recurso no se haya promovido en el plazo señalado para el efecto.</w:t>
      </w:r>
    </w:p>
    <w:p w:rsidR="008C47D8" w:rsidRDefault="008C47D8">
      <w:pPr>
        <w:spacing w:after="0" w:line="360" w:lineRule="auto"/>
        <w:jc w:val="both"/>
        <w:rPr>
          <w:rFonts w:ascii="Palatino Linotype" w:eastAsia="Palatino Linotype" w:hAnsi="Palatino Linotype" w:cs="Palatino Linotype"/>
        </w:rPr>
      </w:pPr>
    </w:p>
    <w:p w:rsidR="008C47D8" w:rsidRDefault="00052D5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misma manera resulta aplicable el criterio sostenido por el Poder Judicial de la Federación de rubro </w:t>
      </w:r>
      <w:r>
        <w:rPr>
          <w:rFonts w:ascii="Palatino Linotype" w:eastAsia="Palatino Linotype" w:hAnsi="Palatino Linotype" w:cs="Palatino Linotype"/>
          <w:b/>
        </w:rPr>
        <w:t>ACTOS CONSENTIDOS TÁCITAMENTE</w:t>
      </w:r>
      <w:r>
        <w:rPr>
          <w:rFonts w:ascii="Palatino Linotype" w:eastAsia="Palatino Linotype" w:hAnsi="Palatino Linotype" w:cs="Palatino Linotype"/>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rsidR="008C47D8" w:rsidRDefault="008C47D8">
      <w:pPr>
        <w:spacing w:after="0" w:line="360" w:lineRule="auto"/>
        <w:jc w:val="both"/>
        <w:rPr>
          <w:rFonts w:ascii="Palatino Linotype" w:eastAsia="Palatino Linotype" w:hAnsi="Palatino Linotype" w:cs="Palatino Linotype"/>
        </w:rPr>
      </w:pPr>
    </w:p>
    <w:p w:rsidR="008C47D8" w:rsidRDefault="00052D54">
      <w:pPr>
        <w:spacing w:after="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 tal como fue realizado, sin embargo, al no haber inconformidad ni estudio sobre las documentales remitidas en respuesta, resulta innecesario la vista citada.</w:t>
      </w:r>
    </w:p>
    <w:p w:rsidR="008C47D8" w:rsidRDefault="008C47D8">
      <w:pPr>
        <w:spacing w:after="0" w:line="360" w:lineRule="auto"/>
        <w:jc w:val="both"/>
        <w:rPr>
          <w:rFonts w:ascii="Palatino Linotype" w:eastAsia="Palatino Linotype" w:hAnsi="Palatino Linotype" w:cs="Palatino Linotype"/>
        </w:rPr>
      </w:pPr>
    </w:p>
    <w:p w:rsidR="008C47D8" w:rsidRDefault="00052D5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expone razones suficientes para la emisión y presentación del presente </w:t>
      </w:r>
      <w:r>
        <w:rPr>
          <w:rFonts w:ascii="Palatino Linotype" w:eastAsia="Palatino Linotype" w:hAnsi="Palatino Linotype" w:cs="Palatino Linotype"/>
          <w:b/>
        </w:rPr>
        <w:t>Voto Particular Concurrente</w:t>
      </w:r>
      <w:r>
        <w:rPr>
          <w:rFonts w:ascii="Palatino Linotype" w:eastAsia="Palatino Linotype" w:hAnsi="Palatino Linotype" w:cs="Palatino Linotype"/>
        </w:rPr>
        <w:t>, relacionado con la resolución del Recurso de Revisión referido. ------------------------------------------------------------------------------------------------------------------------</w:t>
      </w:r>
    </w:p>
    <w:p w:rsidR="008C47D8" w:rsidRDefault="008C47D8">
      <w:pPr>
        <w:spacing w:after="0" w:line="360" w:lineRule="auto"/>
        <w:jc w:val="both"/>
        <w:rPr>
          <w:rFonts w:ascii="Palatino Linotype" w:eastAsia="Palatino Linotype" w:hAnsi="Palatino Linotype" w:cs="Palatino Linotype"/>
        </w:rPr>
      </w:pPr>
    </w:p>
    <w:p w:rsidR="008C47D8" w:rsidRDefault="008C47D8">
      <w:pPr>
        <w:spacing w:after="0" w:line="360" w:lineRule="auto"/>
        <w:jc w:val="both"/>
        <w:rPr>
          <w:rFonts w:ascii="Palatino Linotype" w:eastAsia="Palatino Linotype" w:hAnsi="Palatino Linotype" w:cs="Palatino Linotype"/>
        </w:rPr>
      </w:pPr>
    </w:p>
    <w:p w:rsidR="008C47D8" w:rsidRDefault="008C47D8">
      <w:pPr>
        <w:spacing w:after="0" w:line="360" w:lineRule="auto"/>
        <w:jc w:val="both"/>
        <w:rPr>
          <w:rFonts w:ascii="Palatino Linotype" w:eastAsia="Palatino Linotype" w:hAnsi="Palatino Linotype" w:cs="Palatino Linotype"/>
        </w:rPr>
      </w:pPr>
    </w:p>
    <w:p w:rsidR="008C47D8" w:rsidRDefault="008C47D8">
      <w:pPr>
        <w:spacing w:after="0" w:line="360" w:lineRule="auto"/>
        <w:jc w:val="both"/>
      </w:pPr>
      <w:bookmarkStart w:id="1" w:name="_GoBack"/>
      <w:bookmarkEnd w:id="1"/>
    </w:p>
    <w:sectPr w:rsidR="008C47D8">
      <w:headerReference w:type="even" r:id="rId8"/>
      <w:headerReference w:type="default" r:id="rId9"/>
      <w:footerReference w:type="default" r:id="rId10"/>
      <w:headerReference w:type="first" r:id="rId11"/>
      <w:pgSz w:w="12240" w:h="15840"/>
      <w:pgMar w:top="1417" w:right="1701" w:bottom="1417" w:left="1701"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F4A" w:rsidRDefault="00722F4A">
      <w:pPr>
        <w:spacing w:after="0" w:line="240" w:lineRule="auto"/>
      </w:pPr>
      <w:r>
        <w:separator/>
      </w:r>
    </w:p>
  </w:endnote>
  <w:endnote w:type="continuationSeparator" w:id="0">
    <w:p w:rsidR="00722F4A" w:rsidRDefault="0072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7D8" w:rsidRDefault="00052D54">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C6913">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C6913">
      <w:rPr>
        <w:b/>
        <w:noProof/>
        <w:color w:val="000000"/>
        <w:sz w:val="24"/>
        <w:szCs w:val="24"/>
      </w:rPr>
      <w:t>5</w:t>
    </w:r>
    <w:r>
      <w:rPr>
        <w:b/>
        <w:color w:val="000000"/>
        <w:sz w:val="24"/>
        <w:szCs w:val="24"/>
      </w:rPr>
      <w:fldChar w:fldCharType="end"/>
    </w:r>
  </w:p>
  <w:p w:rsidR="008C47D8" w:rsidRDefault="008C47D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F4A" w:rsidRDefault="00722F4A">
      <w:pPr>
        <w:spacing w:after="0" w:line="240" w:lineRule="auto"/>
      </w:pPr>
      <w:r>
        <w:separator/>
      </w:r>
    </w:p>
  </w:footnote>
  <w:footnote w:type="continuationSeparator" w:id="0">
    <w:p w:rsidR="00722F4A" w:rsidRDefault="00722F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7D8" w:rsidRDefault="00722F4A">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41.8pt;height:81.25pt;rotation:315;z-index:-251657728;visibility:visible;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7D8" w:rsidRDefault="008C47D8">
    <w:pPr>
      <w:widowControl w:val="0"/>
      <w:pBdr>
        <w:top w:val="nil"/>
        <w:left w:val="nil"/>
        <w:bottom w:val="nil"/>
        <w:right w:val="nil"/>
        <w:between w:val="nil"/>
      </w:pBdr>
      <w:spacing w:after="0" w:line="276" w:lineRule="auto"/>
    </w:pPr>
  </w:p>
  <w:tbl>
    <w:tblPr>
      <w:tblStyle w:val="a"/>
      <w:tblW w:w="878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402"/>
      <w:gridCol w:w="5387"/>
    </w:tblGrid>
    <w:tr w:rsidR="008C47D8">
      <w:trPr>
        <w:trHeight w:val="1843"/>
      </w:trPr>
      <w:tc>
        <w:tcPr>
          <w:tcW w:w="3402" w:type="dxa"/>
          <w:vAlign w:val="bottom"/>
        </w:tcPr>
        <w:p w:rsidR="008C47D8" w:rsidRDefault="00052D54">
          <w:pPr>
            <w:pBdr>
              <w:top w:val="nil"/>
              <w:left w:val="nil"/>
              <w:bottom w:val="nil"/>
              <w:right w:val="nil"/>
              <w:between w:val="nil"/>
            </w:pBdr>
            <w:tabs>
              <w:tab w:val="center" w:pos="4252"/>
              <w:tab w:val="right" w:pos="8504"/>
              <w:tab w:val="center" w:pos="2614"/>
            </w:tabs>
            <w:ind w:left="-255"/>
            <w:rPr>
              <w:color w:val="000000"/>
            </w:rPr>
          </w:pPr>
          <w:r>
            <w:rPr>
              <w:noProof/>
              <w:lang w:val="es-MX"/>
            </w:rPr>
            <w:drawing>
              <wp:anchor distT="0" distB="0" distL="114300" distR="114300" simplePos="0" relativeHeight="251656704" behindDoc="0" locked="0" layoutInCell="1" hidden="0" allowOverlap="1">
                <wp:simplePos x="0" y="0"/>
                <wp:positionH relativeFrom="column">
                  <wp:posOffset>-329564</wp:posOffset>
                </wp:positionH>
                <wp:positionV relativeFrom="paragraph">
                  <wp:posOffset>-861059</wp:posOffset>
                </wp:positionV>
                <wp:extent cx="1873250" cy="112649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250" cy="1126490"/>
                        </a:xfrm>
                        <a:prstGeom prst="rect">
                          <a:avLst/>
                        </a:prstGeom>
                        <a:ln/>
                      </pic:spPr>
                    </pic:pic>
                  </a:graphicData>
                </a:graphic>
              </wp:anchor>
            </w:drawing>
          </w:r>
        </w:p>
        <w:p w:rsidR="008C47D8" w:rsidRDefault="008C47D8">
          <w:pPr>
            <w:pBdr>
              <w:top w:val="nil"/>
              <w:left w:val="nil"/>
              <w:bottom w:val="nil"/>
              <w:right w:val="nil"/>
              <w:between w:val="nil"/>
            </w:pBdr>
            <w:tabs>
              <w:tab w:val="center" w:pos="4252"/>
              <w:tab w:val="right" w:pos="8504"/>
              <w:tab w:val="center" w:pos="2614"/>
            </w:tabs>
            <w:ind w:left="-255"/>
            <w:rPr>
              <w:color w:val="000000"/>
            </w:rPr>
          </w:pPr>
        </w:p>
      </w:tc>
      <w:tc>
        <w:tcPr>
          <w:tcW w:w="5387" w:type="dxa"/>
          <w:vAlign w:val="center"/>
        </w:tcPr>
        <w:p w:rsidR="008C47D8" w:rsidRDefault="00052D54">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Voto Particular </w:t>
          </w:r>
        </w:p>
        <w:p w:rsidR="008C47D8" w:rsidRDefault="00052D54">
          <w:pPr>
            <w:pBdr>
              <w:top w:val="nil"/>
              <w:left w:val="nil"/>
              <w:bottom w:val="nil"/>
              <w:right w:val="nil"/>
              <w:between w:val="nil"/>
            </w:pBdr>
            <w:tabs>
              <w:tab w:val="center" w:pos="4252"/>
              <w:tab w:val="right" w:pos="8504"/>
            </w:tabs>
            <w:ind w:left="-108" w:right="37"/>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Recurso de Revisión: </w:t>
          </w:r>
          <w:r>
            <w:rPr>
              <w:rFonts w:ascii="Palatino Linotype" w:eastAsia="Palatino Linotype" w:hAnsi="Palatino Linotype" w:cs="Palatino Linotype"/>
              <w:color w:val="000000"/>
            </w:rPr>
            <w:t>12016/INFOEM/IP/RR/2022</w:t>
          </w:r>
        </w:p>
        <w:p w:rsidR="008C47D8" w:rsidRDefault="00052D54">
          <w:pPr>
            <w:pBdr>
              <w:top w:val="nil"/>
              <w:left w:val="nil"/>
              <w:bottom w:val="nil"/>
              <w:right w:val="nil"/>
              <w:between w:val="nil"/>
            </w:pBdr>
            <w:tabs>
              <w:tab w:val="center" w:pos="4252"/>
              <w:tab w:val="right" w:pos="8504"/>
            </w:tabs>
            <w:ind w:left="-108" w:right="37"/>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Ayuntamiento de Tepotzotlán</w:t>
          </w:r>
        </w:p>
        <w:p w:rsidR="008C47D8" w:rsidRDefault="00052D54">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Comisionado Ponente: </w:t>
          </w:r>
          <w:r>
            <w:rPr>
              <w:rFonts w:ascii="Palatino Linotype" w:eastAsia="Palatino Linotype" w:hAnsi="Palatino Linotype" w:cs="Palatino Linotype"/>
              <w:color w:val="000000"/>
            </w:rPr>
            <w:t>Guadalupe Ramírez Peña</w:t>
          </w:r>
        </w:p>
      </w:tc>
    </w:tr>
  </w:tbl>
  <w:p w:rsidR="008C47D8" w:rsidRDefault="008C47D8">
    <w:pPr>
      <w:pBdr>
        <w:top w:val="nil"/>
        <w:left w:val="nil"/>
        <w:bottom w:val="nil"/>
        <w:right w:val="nil"/>
        <w:between w:val="nil"/>
      </w:pBdr>
      <w:tabs>
        <w:tab w:val="center" w:pos="4252"/>
        <w:tab w:val="right" w:pos="8504"/>
      </w:tabs>
      <w:spacing w:after="0" w:line="240" w:lineRule="auto"/>
      <w:rPr>
        <w:color w:val="00000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7D8" w:rsidRDefault="00722F4A">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541.8pt;height:81.25pt;rotation:315;z-index:-251658752;visibility:visible;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834D0"/>
    <w:multiLevelType w:val="multilevel"/>
    <w:tmpl w:val="84900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4D0F29"/>
    <w:multiLevelType w:val="multilevel"/>
    <w:tmpl w:val="7C764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B994BA8"/>
    <w:multiLevelType w:val="multilevel"/>
    <w:tmpl w:val="54AEF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D8"/>
    <w:rsid w:val="00052D54"/>
    <w:rsid w:val="001B0FF9"/>
    <w:rsid w:val="003C6913"/>
    <w:rsid w:val="005300FF"/>
    <w:rsid w:val="005330F4"/>
    <w:rsid w:val="00722F4A"/>
    <w:rsid w:val="008C47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BCF0E04A-D898-4272-AC99-18EAA9F3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5170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51704"/>
    <w:rPr>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aA8nI7EuZGgYKD9Wiw/8qxSIMA==">AMUW2mUkwm3vPTtj75YtbJlNl6GDL4PQB25zoUP43dGwKKUzq0drWYF7Axr88Ub198kxEUSfJmBQFf1F5TbZC0FSbSfpBjfvFYvGiqbdYPHrw/YlVo6/RiJpK0NbUgR9DGoK+9TInxdz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1326</Words>
  <Characters>7294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INFOEM415</cp:lastModifiedBy>
  <cp:revision>4</cp:revision>
  <cp:lastPrinted>2023-02-28T00:03:00Z</cp:lastPrinted>
  <dcterms:created xsi:type="dcterms:W3CDTF">2023-02-28T00:03:00Z</dcterms:created>
  <dcterms:modified xsi:type="dcterms:W3CDTF">2025-02-10T20:48:00Z</dcterms:modified>
</cp:coreProperties>
</file>