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ind w:right="49"/>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VIGÉSIMO SEGUNDA SESIÓN ORDINARIA CELEBRADA</w:t>
      </w:r>
      <w:r w:rsidDel="00000000" w:rsidR="00000000" w:rsidRPr="00000000">
        <w:rPr>
          <w:rFonts w:ascii="Palatino Linotype" w:cs="Palatino Linotype" w:eastAsia="Palatino Linotype" w:hAnsi="Palatino Linotype"/>
          <w:b w:val="1"/>
          <w:color w:val="ff0000"/>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EL CATORCE DE JUNIO DE DOS MIL VEINTITRÉS, EN EL RECURSO DE REVISIÓN 13570/INFOEM/IP/RR/2022.</w:t>
      </w:r>
    </w:p>
    <w:p w:rsidR="00000000" w:rsidDel="00000000" w:rsidP="00000000" w:rsidRDefault="00000000" w:rsidRPr="00000000" w14:paraId="00000002">
      <w:pPr>
        <w:spacing w:after="240" w:before="24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 fundamento en lo dispuesto por el artículo 14, fracciones X y XI, del Reglamento del Instituto de Transparencia, Acceso a la Información Pública y Protección de Datos Personales del Estado de México y Municipios, la que suscribe </w:t>
      </w:r>
      <w:r w:rsidDel="00000000" w:rsidR="00000000" w:rsidRPr="00000000">
        <w:rPr>
          <w:rFonts w:ascii="Palatino Linotype" w:cs="Palatino Linotype" w:eastAsia="Palatino Linotype" w:hAnsi="Palatino Linotype"/>
          <w:b w:val="1"/>
          <w:sz w:val="24"/>
          <w:szCs w:val="24"/>
          <w:rtl w:val="0"/>
        </w:rPr>
        <w:t xml:space="preserve">GUADALUPE RAMÍREZ PEÑA </w:t>
      </w:r>
      <w:r w:rsidDel="00000000" w:rsidR="00000000" w:rsidRPr="00000000">
        <w:rPr>
          <w:rFonts w:ascii="Palatino Linotype" w:cs="Palatino Linotype" w:eastAsia="Palatino Linotype" w:hAnsi="Palatino Linotype"/>
          <w:sz w:val="24"/>
          <w:szCs w:val="24"/>
          <w:rtl w:val="0"/>
        </w:rPr>
        <w:t xml:space="preserve">emite </w:t>
      </w:r>
      <w:r w:rsidDel="00000000" w:rsidR="00000000" w:rsidRPr="00000000">
        <w:rPr>
          <w:rFonts w:ascii="Palatino Linotype" w:cs="Palatino Linotype" w:eastAsia="Palatino Linotype" w:hAnsi="Palatino Linotype"/>
          <w:b w:val="1"/>
          <w:sz w:val="24"/>
          <w:szCs w:val="24"/>
          <w:rtl w:val="0"/>
        </w:rPr>
        <w:t xml:space="preserve">VOTO PARTICULAR </w:t>
      </w:r>
      <w:r w:rsidDel="00000000" w:rsidR="00000000" w:rsidRPr="00000000">
        <w:rPr>
          <w:rFonts w:ascii="Palatino Linotype" w:cs="Palatino Linotype" w:eastAsia="Palatino Linotype" w:hAnsi="Palatino Linotype"/>
          <w:sz w:val="24"/>
          <w:szCs w:val="24"/>
          <w:rtl w:val="0"/>
        </w:rPr>
        <w:t xml:space="preserve">respecto a la resolución dictada en el recurso de revisión </w:t>
      </w:r>
      <w:r w:rsidDel="00000000" w:rsidR="00000000" w:rsidRPr="00000000">
        <w:rPr>
          <w:rFonts w:ascii="Palatino Linotype" w:cs="Palatino Linotype" w:eastAsia="Palatino Linotype" w:hAnsi="Palatino Linotype"/>
          <w:b w:val="1"/>
          <w:sz w:val="24"/>
          <w:szCs w:val="24"/>
          <w:rtl w:val="0"/>
        </w:rPr>
        <w:t xml:space="preserve">13570/INFOEM/IP/RR/2022</w:t>
      </w:r>
      <w:r w:rsidDel="00000000" w:rsidR="00000000" w:rsidRPr="00000000">
        <w:rPr>
          <w:rFonts w:ascii="Palatino Linotype" w:cs="Palatino Linotype" w:eastAsia="Palatino Linotype" w:hAnsi="Palatino Linotype"/>
          <w:sz w:val="24"/>
          <w:szCs w:val="24"/>
          <w:rtl w:val="0"/>
        </w:rPr>
        <w:t xml:space="preserve">, pronunciada por el Pleno de este Instituto ante el proyecto presentado por el Comisionado</w:t>
      </w:r>
      <w:r w:rsidDel="00000000" w:rsidR="00000000" w:rsidRPr="00000000">
        <w:rPr>
          <w:rFonts w:ascii="Palatino Linotype" w:cs="Palatino Linotype" w:eastAsia="Palatino Linotype" w:hAnsi="Palatino Linotype"/>
          <w:b w:val="1"/>
          <w:sz w:val="24"/>
          <w:szCs w:val="24"/>
          <w:rtl w:val="0"/>
        </w:rPr>
        <w:t xml:space="preserve"> José Martínez Vilchis</w:t>
      </w:r>
      <w:r w:rsidDel="00000000" w:rsidR="00000000" w:rsidRPr="00000000">
        <w:rPr>
          <w:rFonts w:ascii="Palatino Linotype" w:cs="Palatino Linotype" w:eastAsia="Palatino Linotype" w:hAnsi="Palatino Linotype"/>
          <w:sz w:val="24"/>
          <w:szCs w:val="24"/>
          <w:rtl w:val="0"/>
        </w:rPr>
        <w:t xml:space="preserve">,  que es del tenor siguiente: </w:t>
      </w:r>
    </w:p>
    <w:p w:rsidR="00000000" w:rsidDel="00000000" w:rsidP="00000000" w:rsidRDefault="00000000" w:rsidRPr="00000000" w14:paraId="00000003">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 través de la solicitud de acceso a la información que nos ocupa, la persona solicitante requirió lo siguiente:</w:t>
      </w:r>
    </w:p>
    <w:p w:rsidR="00000000" w:rsidDel="00000000" w:rsidP="00000000" w:rsidRDefault="00000000" w:rsidRPr="00000000" w14:paraId="0000000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 o los documentos donde conste el presupuesto asignado a los conceptos de telefonía fija y móvil, al uno de agosto del dos mil veintidós. </w:t>
      </w:r>
    </w:p>
    <w:p w:rsidR="00000000" w:rsidDel="00000000" w:rsidP="00000000" w:rsidRDefault="00000000" w:rsidRPr="00000000" w14:paraId="0000000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 o los documentos donde conste el presupuesto ejercido por los conceptos de telefonía fija y móvil, correspondiente a los meses de enero, febrero, marzo, abril, mayo y junio de dos mil veintidós. </w:t>
      </w:r>
    </w:p>
    <w:p w:rsidR="00000000" w:rsidDel="00000000" w:rsidP="00000000" w:rsidRDefault="00000000" w:rsidRPr="00000000" w14:paraId="0000000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 o los documentos donde conste el presupuesto asignado al concepto de combustible, al uno de agosto de dos mil veintidós. </w:t>
      </w:r>
    </w:p>
    <w:p w:rsidR="00000000" w:rsidDel="00000000" w:rsidP="00000000" w:rsidRDefault="00000000" w:rsidRPr="00000000" w14:paraId="0000000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 o los documentos donde conste el presupuesto ejercido por el concepto de combustible, correspondiente a los meses de enero, febrero, marzo, abril, mayo y junio de dos mil veintidós. </w:t>
      </w:r>
    </w:p>
    <w:p w:rsidR="00000000" w:rsidDel="00000000" w:rsidP="00000000" w:rsidRDefault="00000000" w:rsidRPr="00000000" w14:paraId="000000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Vales de gasolina y/o equivalentes, correspondiente a los meses de enero, febrero, marzo, abril, mayo y junio de dos mil veintidós. </w:t>
      </w:r>
    </w:p>
    <w:p w:rsidR="00000000" w:rsidDel="00000000" w:rsidP="00000000" w:rsidRDefault="00000000" w:rsidRPr="00000000" w14:paraId="000000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Plan anual de adquisiciones y/o equivalente, correspondiente a los ejercicios dos mil veintiuno y dos mil veintidós. </w:t>
      </w:r>
    </w:p>
    <w:p w:rsidR="00000000" w:rsidDel="00000000" w:rsidP="00000000" w:rsidRDefault="00000000" w:rsidRPr="00000000" w14:paraId="000000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Actas ordinarias y extraordinarias del Comité de Adquisiciones, del periodo comprendido del uno de enero al uno de agosto de dos mil veintidós. </w:t>
      </w:r>
    </w:p>
    <w:p w:rsidR="00000000" w:rsidDel="00000000" w:rsidP="00000000" w:rsidRDefault="00000000" w:rsidRPr="00000000" w14:paraId="000000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Padrón de proveedores, al uno de agosto de dos mil veintidós. </w:t>
      </w:r>
    </w:p>
    <w:p w:rsidR="00000000" w:rsidDel="00000000" w:rsidP="00000000" w:rsidRDefault="00000000" w:rsidRPr="00000000" w14:paraId="0000000C">
      <w:pPr>
        <w:spacing w:after="240" w:before="24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color w:val="000000"/>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  En respuesta, 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adjuntó lo siguiente: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“Acta CT-15.PDF”: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Acta del Comité de Transparencia correspondiente a la Décima Quinta Sesión Ordinaria del Comité de Transparencia, celebrada el diez de agosto de dos mil veintidós, con relación al décimo cuarto punto del orden del día se destaca que se clasifica como confidencial información a efecto de dar respuesta a la solicitud de información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00140/ELORO/IP/2022.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“MPIO_DA-739-2022.PDF”: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Oficio número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MPIO/DA/739/2022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signado por el director de Administración y dirigido a la Unidad de Transparencia, de fecha ocho de agosto de dos mil veintidós, en lo medular refiere que a efecto de dar respuesta a la solicitud de información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00140/ELORO/IP/2022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resulta necesario clasificar diversos datos personales tales como teléfono particular, dirección particular, firma de proveedor, correo electrónico, registro federal de contribuyentes, representante legal.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“00140-admin.PDF”: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Oficio número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MPIO/DA/768/2022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signado por el director de Administración y dirigido al Titular de la Unidad de Transparencia, de fecha quince de agosto de dos mil veintidós, en síntesis, refiere adjuntar plan anual de adquisiciones 2021 y 2022, actas del comité de adquisiciones 2022 y listado de proveedores en el Ayuntamiento.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“4a.Presupuesto de Egresos Global Calendarizado (PbRM-04c.pdf”: PbRM-04c</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“Presupuesto de Egreso Global Calendarizado” refleja capítulo, cuenta, concepto, calendarización y presupuesto 2022.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“00140-teso.PDF”: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Oficio número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TM/699/08/2022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signado por la Tesorera Municipal y dirigido al Titular de la Unidad de Transparencia, de fecha dieciocho de agosto de dos mil veintidós, en síntesis, expone las siguientes ideas: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 presupuesto 2022 para telefonía convencional, partida 3141, asciende a $110,400.00 (ciento diez mil cuatrocientos pesos 00/100 m.n.)</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El presupuesto 2022 para combustibles, partida 2611, asciende a $5,216,000.00 (cinco millones doscientos mil pesos 00/100 m.n.)</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Que con relación a los vales de combustible, el control lo lleva el proveedor de servicio, en este sentido, los controles municipales corresponden a instrumentos electrónicos directamente.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“Anexo admin.zip”: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Compila lo siguiente:</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“4d. Programa Anual de Adquisiciones (PbRM-06) 2022.pdf”: PbRM-06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“Programa Anual de Adquisiciones” del periodo comprendido del uno de enero al treinta y uno de diciembre de dos mil veintidós, refleja cuenta, concepto, clave programática, presupuesto autorizado, calendarización de adquisiciones.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“6.- Programa Anual de Adquisiciones (PbRM-06) 2021.pdf”:  PbRM-06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“Programa Anual de Adquisiciones” del periodo comprendido del uno de enero al treinta y uno de diciembre de dos mil veintiuno, refleja número de cuenta, nombre de la cuenta, clave programática, presupuesto autorizado, calendarización de adquisiciones.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“Actas y catalogo de proveedores.pdf”: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Compila lo siguiente: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800" w:right="0" w:hanging="36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Acta de integración del Comité de Adquisiciones, Servicios, Arrendamientos y Enajenaciones del Ayuntamiento de el oro.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800" w:right="0" w:hanging="36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Acta de la segunda sesión ordinaria del Comité de Adquisiciones y Servicios del Ayuntamiento de el oro.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800" w:right="0" w:hanging="36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Contrato de adquisición y servicios con número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DA/AD/FORTAMUNDF/05/2022.</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800" w:right="0" w:hanging="36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Contrato de adquisición y servicios con número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DA/AD/FORTAMUNDF/03/2022.</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800" w:right="0" w:hanging="36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Contrato de adquisición y servicios con número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DA/AD/FORTAMUNDF/04/2022.</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800" w:right="0" w:hanging="36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Contrato de adquisición y servicios con número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DA/AD/FORTAMUNDF/02/2022.</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800" w:right="0" w:hanging="36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Contrato de adquisición y servicios con número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DA/AD/FORTAMUNDF/01/2022.</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240" w:line="360" w:lineRule="auto"/>
        <w:ind w:left="1800" w:right="51"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Catálogo de proveedores de bienes y servicios, del 01 de enero al 31 de marzo de 2022, refleja nombre o razón social, RFC, domicilio fiscal, nombre del representante legal, actividades económicas, fecha de constitución ante fedatario público, fecha de presentación de la última declaración fiscal anual, inscripción en compramex.</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240" w:line="360" w:lineRule="auto"/>
        <w:ind w:left="1800" w:right="51"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Catálogo de proveedores de bienes y servicios, del 01 de abril al 30 de junio de 2022, refleja nombre o razón social, RFC, domicilio fiscal, nombre del representante legal, actividades económicas, fecha de constitución ante fedatario público, fecha de presentación de la última declaración fiscal anual, inscripción en compramex</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655"/>
        </w:tabs>
        <w:spacing w:after="160" w:before="24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Inconforme con la respuesta del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la parte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Recurrente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interpuso recurso de revisión, señalando como razones o motivos de inconformidad: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40" w:lineRule="auto"/>
        <w:ind w:left="851" w:right="851" w:firstLine="0"/>
        <w:jc w:val="both"/>
        <w:rPr>
          <w:rFonts w:ascii="Palatino Linotype" w:cs="Palatino Linotype" w:eastAsia="Palatino Linotype" w:hAnsi="Palatino Linotype"/>
          <w:b w:val="1"/>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“referentes a los vales o docuemento mediante el cual canjean para la dotación combustibles, manifiestan que lo lleva el provedor, situación a la que mediante el contrato debe comprobar la dotación de dicho combustibles. ademas el sujeto obligado manifiesta que su control lo lleva de manera electronica-digital, razon por la cual debe comprobar dicho suministro o dotación a los ediles.” (Sic)</w:t>
      </w:r>
      <w:r w:rsidDel="00000000" w:rsidR="00000000" w:rsidRPr="00000000">
        <w:rPr>
          <w:rtl w:val="0"/>
        </w:rPr>
      </w:r>
    </w:p>
    <w:p w:rsidR="00000000" w:rsidDel="00000000" w:rsidP="00000000" w:rsidRDefault="00000000" w:rsidRPr="00000000" w14:paraId="00000024">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 partir de tales actuaciones este Organismo Garante, aplicó el criterio de actos consentidos, ya que la inconformidad de la parte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se deriva de la omisión, por parte del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de proporcionar los vales o documentos mediane los cuales se canjea la dotación de combustible, por lo que, no se entró al fondo del asunto, y, tomando en consideración la información remitida en la etapa de manifestaciones, se determinó sólo ordenar, en versión pública, el o los documentos faltantes que den cuenta de lo solicitado, es decir, el o los documentos comprobatorios del presupuesto ejercido por concepto de combustible, correspondiente a la primera quincena de marzo, segunda quincena de marzo, primera quincena de abril y segunda quincena de junio, correspondientes al ejercicio dos mil veintidós, como se advierte en el resolutivo segundo: </w:t>
      </w:r>
    </w:p>
    <w:p w:rsidR="00000000" w:rsidDel="00000000" w:rsidP="00000000" w:rsidRDefault="00000000" w:rsidRPr="00000000" w14:paraId="00000025">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SEGUNDO.</w:t>
      </w:r>
      <w:r w:rsidDel="00000000" w:rsidR="00000000" w:rsidRPr="00000000">
        <w:rPr>
          <w:rFonts w:ascii="Palatino Linotype" w:cs="Palatino Linotype" w:eastAsia="Palatino Linotype" w:hAnsi="Palatino Linotype"/>
          <w:i w:val="1"/>
          <w:rtl w:val="0"/>
        </w:rPr>
        <w:t xml:space="preserve"> Se </w:t>
      </w:r>
      <w:r w:rsidDel="00000000" w:rsidR="00000000" w:rsidRPr="00000000">
        <w:rPr>
          <w:rFonts w:ascii="Palatino Linotype" w:cs="Palatino Linotype" w:eastAsia="Palatino Linotype" w:hAnsi="Palatino Linotype"/>
          <w:b w:val="1"/>
          <w:i w:val="1"/>
          <w:rtl w:val="0"/>
        </w:rPr>
        <w:t xml:space="preserve">ORDENA</w:t>
      </w:r>
      <w:r w:rsidDel="00000000" w:rsidR="00000000" w:rsidRPr="00000000">
        <w:rPr>
          <w:rFonts w:ascii="Palatino Linotype" w:cs="Palatino Linotype" w:eastAsia="Palatino Linotype" w:hAnsi="Palatino Linotype"/>
          <w:i w:val="1"/>
          <w:rtl w:val="0"/>
        </w:rPr>
        <w:t xml:space="preserve"> al </w:t>
      </w:r>
      <w:r w:rsidDel="00000000" w:rsidR="00000000" w:rsidRPr="00000000">
        <w:rPr>
          <w:rFonts w:ascii="Palatino Linotype" w:cs="Palatino Linotype" w:eastAsia="Palatino Linotype" w:hAnsi="Palatino Linotype"/>
          <w:b w:val="1"/>
          <w:i w:val="1"/>
          <w:rtl w:val="0"/>
        </w:rPr>
        <w:t xml:space="preserve">SUJETO OBLIGADO</w:t>
      </w:r>
      <w:r w:rsidDel="00000000" w:rsidR="00000000" w:rsidRPr="00000000">
        <w:rPr>
          <w:rFonts w:ascii="Palatino Linotype" w:cs="Palatino Linotype" w:eastAsia="Palatino Linotype" w:hAnsi="Palatino Linotype"/>
          <w:i w:val="1"/>
          <w:rtl w:val="0"/>
        </w:rPr>
        <w:t xml:space="preserve"> haga entrega al</w:t>
      </w:r>
      <w:r w:rsidDel="00000000" w:rsidR="00000000" w:rsidRPr="00000000">
        <w:rPr>
          <w:rFonts w:ascii="Palatino Linotype" w:cs="Palatino Linotype" w:eastAsia="Palatino Linotype" w:hAnsi="Palatino Linotype"/>
          <w:b w:val="1"/>
          <w:i w:val="1"/>
          <w:rtl w:val="0"/>
        </w:rPr>
        <w:t xml:space="preserve"> RECURRENTE </w:t>
      </w:r>
      <w:r w:rsidDel="00000000" w:rsidR="00000000" w:rsidRPr="00000000">
        <w:rPr>
          <w:rFonts w:ascii="Palatino Linotype" w:cs="Palatino Linotype" w:eastAsia="Palatino Linotype" w:hAnsi="Palatino Linotype"/>
          <w:i w:val="1"/>
          <w:rtl w:val="0"/>
        </w:rPr>
        <w:t xml:space="preserve">en términos del Considerando </w:t>
      </w:r>
      <w:r w:rsidDel="00000000" w:rsidR="00000000" w:rsidRPr="00000000">
        <w:rPr>
          <w:rFonts w:ascii="Palatino Linotype" w:cs="Palatino Linotype" w:eastAsia="Palatino Linotype" w:hAnsi="Palatino Linotype"/>
          <w:b w:val="1"/>
          <w:i w:val="1"/>
          <w:rtl w:val="0"/>
        </w:rPr>
        <w:t xml:space="preserve">CUARTO </w:t>
      </w:r>
      <w:r w:rsidDel="00000000" w:rsidR="00000000" w:rsidRPr="00000000">
        <w:rPr>
          <w:rFonts w:ascii="Palatino Linotype" w:cs="Palatino Linotype" w:eastAsia="Palatino Linotype" w:hAnsi="Palatino Linotype"/>
          <w:i w:val="1"/>
          <w:rtl w:val="0"/>
        </w:rPr>
        <w:t xml:space="preserve">de esta resolución</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i w:val="1"/>
          <w:rtl w:val="0"/>
        </w:rPr>
        <w:t xml:space="preserve">a través del Sistema de Acceso a la Información Mexiquense </w:t>
      </w:r>
      <w:r w:rsidDel="00000000" w:rsidR="00000000" w:rsidRPr="00000000">
        <w:rPr>
          <w:rFonts w:ascii="Palatino Linotype" w:cs="Palatino Linotype" w:eastAsia="Palatino Linotype" w:hAnsi="Palatino Linotype"/>
          <w:b w:val="1"/>
          <w:i w:val="1"/>
          <w:rtl w:val="0"/>
        </w:rPr>
        <w:t xml:space="preserve">(SAIMEX), </w:t>
      </w:r>
      <w:r w:rsidDel="00000000" w:rsidR="00000000" w:rsidRPr="00000000">
        <w:rPr>
          <w:rFonts w:ascii="Palatino Linotype" w:cs="Palatino Linotype" w:eastAsia="Palatino Linotype" w:hAnsi="Palatino Linotype"/>
          <w:i w:val="1"/>
          <w:rtl w:val="0"/>
        </w:rPr>
        <w:t xml:space="preserve">en versión pública de ser procedente, de lo siguiente: </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993"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El o los documentos comprobatorios del presupuesto ejercido por concepto de combustible, correspondiente a la primera quincena de marzo, segunda quincena de marzo, primera quincena de abril y segunda quincena de junio, correspondientes al ejercicio dos mil veintidós.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000000" w:rsidDel="00000000" w:rsidP="00000000" w:rsidRDefault="00000000" w:rsidRPr="00000000" w14:paraId="00000028">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 obstante, dentro de la resolución emitida se determinó dar vista a la Dirección General de Protección de Datos, sin embargo, la parte </w:t>
      </w:r>
      <w:r w:rsidDel="00000000" w:rsidR="00000000" w:rsidRPr="00000000">
        <w:rPr>
          <w:rFonts w:ascii="Palatino Linotype" w:cs="Palatino Linotype" w:eastAsia="Palatino Linotype" w:hAnsi="Palatino Linotype"/>
          <w:b w:val="1"/>
          <w:sz w:val="24"/>
          <w:szCs w:val="24"/>
          <w:rtl w:val="0"/>
        </w:rPr>
        <w:t xml:space="preserve">Recurrente </w:t>
      </w:r>
      <w:r w:rsidDel="00000000" w:rsidR="00000000" w:rsidRPr="00000000">
        <w:rPr>
          <w:rFonts w:ascii="Palatino Linotype" w:cs="Palatino Linotype" w:eastAsia="Palatino Linotype" w:hAnsi="Palatino Linotype"/>
          <w:sz w:val="24"/>
          <w:szCs w:val="24"/>
          <w:rtl w:val="0"/>
        </w:rPr>
        <w:t xml:space="preserve">no se inconformó respecto a la información contenida en los documentos remitidos en respuesta, sino por la información faltante, concretamente los vales o documentos que amparan la dotación de combustible.</w:t>
      </w:r>
    </w:p>
    <w:p w:rsidR="00000000" w:rsidDel="00000000" w:rsidP="00000000" w:rsidRDefault="00000000" w:rsidRPr="00000000" w14:paraId="00000029">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Aunado a lo anterior, respecto de los actos consentidos, de conformidad con lo dispuesto en el artículo 195 de la Ley de Transparencia y Acceso a la Información Pública del Estado de México y Municipios, con relación con el diverso 195, fracción IV, del Código de Procedimientos Administrativos del Estado de México, se establece que </w:t>
      </w:r>
      <w:r w:rsidDel="00000000" w:rsidR="00000000" w:rsidRPr="00000000">
        <w:rPr>
          <w:rFonts w:ascii="Palatino Linotype" w:cs="Palatino Linotype" w:eastAsia="Palatino Linotype" w:hAnsi="Palatino Linotype"/>
          <w:sz w:val="24"/>
          <w:szCs w:val="24"/>
          <w:u w:val="single"/>
          <w:rtl w:val="0"/>
        </w:rPr>
        <w:t xml:space="preserve">será improcedente el recurso</w:t>
      </w:r>
      <w:r w:rsidDel="00000000" w:rsidR="00000000" w:rsidRPr="00000000">
        <w:rPr>
          <w:rFonts w:ascii="Palatino Linotype" w:cs="Palatino Linotype" w:eastAsia="Palatino Linotype" w:hAnsi="Palatino Linotype"/>
          <w:sz w:val="24"/>
          <w:szCs w:val="24"/>
          <w:rtl w:val="0"/>
        </w:rPr>
        <w:t xml:space="preserve"> contra los actos que se hayan consentido tácitamente, entendiéndose por estos cuando el recurso no se haya promovido en el plazo señalado para el efecto.</w:t>
      </w:r>
    </w:p>
    <w:p w:rsidR="00000000" w:rsidDel="00000000" w:rsidP="00000000" w:rsidRDefault="00000000" w:rsidRPr="00000000" w14:paraId="0000002A">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la misma manera resulta aplicable el criterio sostenido por el Poder Judicial de la Federación de rubro </w:t>
      </w:r>
      <w:r w:rsidDel="00000000" w:rsidR="00000000" w:rsidRPr="00000000">
        <w:rPr>
          <w:rFonts w:ascii="Palatino Linotype" w:cs="Palatino Linotype" w:eastAsia="Palatino Linotype" w:hAnsi="Palatino Linotype"/>
          <w:b w:val="1"/>
          <w:sz w:val="24"/>
          <w:szCs w:val="24"/>
          <w:rtl w:val="0"/>
        </w:rPr>
        <w:t xml:space="preserve">ACTOS CONSENTIDOS TÁCITAMENTE</w:t>
      </w:r>
      <w:r w:rsidDel="00000000" w:rsidR="00000000" w:rsidRPr="00000000">
        <w:rPr>
          <w:rFonts w:ascii="Palatino Linotype" w:cs="Palatino Linotype" w:eastAsia="Palatino Linotype" w:hAnsi="Palatino Linotype"/>
          <w:sz w:val="24"/>
          <w:szCs w:val="24"/>
          <w:rtl w:val="0"/>
        </w:rPr>
        <w:t xml:space="preserve">,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la persona solicitante está conforme con los mismos.</w:t>
      </w:r>
    </w:p>
    <w:p w:rsidR="00000000" w:rsidDel="00000000" w:rsidP="00000000" w:rsidRDefault="00000000" w:rsidRPr="00000000" w14:paraId="0000002B">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ese sentido, en el caso de que la persona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 tal como fue realizado, sin embargo, al no haber inconformidad ni estudio sobre las documentales remitidas en respuesta, resulta innecesaria la vista citada, de acuerdo a las siguientes consideraciones.</w:t>
      </w:r>
    </w:p>
    <w:p w:rsidR="00000000" w:rsidDel="00000000" w:rsidP="00000000" w:rsidRDefault="00000000" w:rsidRPr="00000000" w14:paraId="0000002C">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Conforme a los artículos 1°, 7°, 29, 36 fracciones II, XVI, XXI,XXII, XXVII y XXXVIII; 176, 185, 186, 188, 195, 198, 199, 200, 214, 216 y 220, fracción XIX de la Ley de Transparencia vigente en la Entidad, esta tiene por objeto establecer los principios, bases generales y procedimientos para tutelar y garantizar la transparencia y el derecho humano de acceso a la información pública en posesión de los sujetos obligados, del mismo modo precisa que este Instituto es un organismo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 responsable de garantizar el ejercicio de los derechos de acceso a la información pública conforme a los principios y bases establecidas en la Constitución Federal, Constitución Local, Ley General, así como lo previsto en esta Ley y demás disposiciones jurídicas aplicables.</w:t>
      </w:r>
    </w:p>
    <w:p w:rsidR="00000000" w:rsidDel="00000000" w:rsidP="00000000" w:rsidRDefault="00000000" w:rsidRPr="00000000" w14:paraId="0000002D">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ese sentido, es de resaltar que el recurso de revisión es la garantía secundaria mediante la cual se pretende reparar cualquier posible afectación al derecho de acceso a la información pública, en donde las resoluciones de este Organismo Garante pueden:</w:t>
      </w:r>
    </w:p>
    <w:p w:rsidR="00000000" w:rsidDel="00000000" w:rsidP="00000000" w:rsidRDefault="00000000" w:rsidRPr="00000000" w14:paraId="0000002E">
      <w:pPr>
        <w:numPr>
          <w:ilvl w:val="0"/>
          <w:numId w:val="7"/>
        </w:numPr>
        <w:spacing w:after="240" w:before="240" w:line="360" w:lineRule="auto"/>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Desechar o sobreseer el recurso</w:t>
      </w:r>
    </w:p>
    <w:p w:rsidR="00000000" w:rsidDel="00000000" w:rsidP="00000000" w:rsidRDefault="00000000" w:rsidRPr="00000000" w14:paraId="0000002F">
      <w:pPr>
        <w:numPr>
          <w:ilvl w:val="0"/>
          <w:numId w:val="7"/>
        </w:numPr>
        <w:spacing w:after="240" w:before="240" w:line="360" w:lineRule="auto"/>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Confirma la respuesta del sujeto obligado</w:t>
      </w:r>
    </w:p>
    <w:p w:rsidR="00000000" w:rsidDel="00000000" w:rsidP="00000000" w:rsidRDefault="00000000" w:rsidRPr="00000000" w14:paraId="00000030">
      <w:pPr>
        <w:numPr>
          <w:ilvl w:val="0"/>
          <w:numId w:val="7"/>
        </w:numPr>
        <w:spacing w:after="240" w:before="240" w:line="360" w:lineRule="auto"/>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Revocar o modificar la respuesta del sujeto obligado; y </w:t>
      </w:r>
    </w:p>
    <w:p w:rsidR="00000000" w:rsidDel="00000000" w:rsidP="00000000" w:rsidRDefault="00000000" w:rsidRPr="00000000" w14:paraId="00000031">
      <w:pPr>
        <w:numPr>
          <w:ilvl w:val="0"/>
          <w:numId w:val="7"/>
        </w:numPr>
        <w:spacing w:after="240" w:before="240" w:line="360" w:lineRule="auto"/>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Ordenar la entrega de la información</w:t>
      </w:r>
    </w:p>
    <w:p w:rsidR="00000000" w:rsidDel="00000000" w:rsidP="00000000" w:rsidRDefault="00000000" w:rsidRPr="00000000" w14:paraId="00000032">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Cabe agregar que las resoluciones que pronuncie este Instituto deben contener cuatro aspectos importantes:</w:t>
      </w:r>
    </w:p>
    <w:p w:rsidR="00000000" w:rsidDel="00000000" w:rsidP="00000000" w:rsidRDefault="00000000" w:rsidRPr="00000000" w14:paraId="00000033">
      <w:pPr>
        <w:numPr>
          <w:ilvl w:val="0"/>
          <w:numId w:val="8"/>
        </w:numPr>
        <w:spacing w:after="240" w:before="240" w:line="360" w:lineRule="auto"/>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Lugar, fecha, el nombre del recurrente y del tercero interesado en su caso, sujeto obligado y un extracto de los hechos cuestionados;</w:t>
      </w:r>
    </w:p>
    <w:p w:rsidR="00000000" w:rsidDel="00000000" w:rsidP="00000000" w:rsidRDefault="00000000" w:rsidRPr="00000000" w14:paraId="00000034">
      <w:pPr>
        <w:numPr>
          <w:ilvl w:val="0"/>
          <w:numId w:val="8"/>
        </w:numPr>
        <w:spacing w:after="240" w:before="240" w:line="360" w:lineRule="auto"/>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Los preceptos en que se fundamenten y las consideraciones que las sustenten;</w:t>
      </w:r>
    </w:p>
    <w:p w:rsidR="00000000" w:rsidDel="00000000" w:rsidP="00000000" w:rsidRDefault="00000000" w:rsidRPr="00000000" w14:paraId="00000035">
      <w:pPr>
        <w:numPr>
          <w:ilvl w:val="0"/>
          <w:numId w:val="8"/>
        </w:numPr>
        <w:spacing w:after="240" w:before="240" w:line="360" w:lineRule="auto"/>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Los alcances y efectos de la resolución, fijando con precisión, en su caso, los sujetos y órganos obligados a cumplirla; y</w:t>
      </w:r>
    </w:p>
    <w:p w:rsidR="00000000" w:rsidDel="00000000" w:rsidP="00000000" w:rsidRDefault="00000000" w:rsidRPr="00000000" w14:paraId="00000036">
      <w:pPr>
        <w:numPr>
          <w:ilvl w:val="0"/>
          <w:numId w:val="8"/>
        </w:numPr>
        <w:spacing w:after="240" w:before="240" w:line="360" w:lineRule="auto"/>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Los puntos resolutivos.</w:t>
      </w:r>
    </w:p>
    <w:p w:rsidR="00000000" w:rsidDel="00000000" w:rsidP="00000000" w:rsidRDefault="00000000" w:rsidRPr="00000000" w14:paraId="00000037">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Sobre este punto, se considera de suma importancia mencionar que, de la normatividad citada, se advierte que este Instituto está facultado entre otras cosas para:</w:t>
      </w:r>
    </w:p>
    <w:p w:rsidR="00000000" w:rsidDel="00000000" w:rsidP="00000000" w:rsidRDefault="00000000" w:rsidRPr="00000000" w14:paraId="00000038">
      <w:pPr>
        <w:numPr>
          <w:ilvl w:val="0"/>
          <w:numId w:val="6"/>
        </w:numPr>
        <w:spacing w:after="0" w:line="360" w:lineRule="auto"/>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Conocer y resolver los recursos de revisión interpuestos por los particulares en contra de las resoluciones de los sujetos obligados en el ámbito estatal;</w:t>
      </w:r>
    </w:p>
    <w:p w:rsidR="00000000" w:rsidDel="00000000" w:rsidP="00000000" w:rsidRDefault="00000000" w:rsidRPr="00000000" w14:paraId="00000039">
      <w:pPr>
        <w:numPr>
          <w:ilvl w:val="0"/>
          <w:numId w:val="6"/>
        </w:numPr>
        <w:spacing w:after="0" w:line="360" w:lineRule="auto"/>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Realizar de oficio y a petición de parte, análisis y recomendaciones o en su caso, lineamientos en relación con presuntos incumplimientos a las disposiciones de la Ley, cuando existan elementos suficientes a juicio del Pleno del Instituto;</w:t>
      </w:r>
    </w:p>
    <w:p w:rsidR="00000000" w:rsidDel="00000000" w:rsidP="00000000" w:rsidRDefault="00000000" w:rsidRPr="00000000" w14:paraId="0000003A">
      <w:pPr>
        <w:numPr>
          <w:ilvl w:val="0"/>
          <w:numId w:val="6"/>
        </w:numPr>
        <w:spacing w:after="0" w:line="360" w:lineRule="auto"/>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Emitir comunicados públicos sobre el incumplimiento de sus resoluciones o por infracciones reiteradas a la Ley, en el ámbito de su competencia;</w:t>
      </w:r>
    </w:p>
    <w:p w:rsidR="00000000" w:rsidDel="00000000" w:rsidP="00000000" w:rsidRDefault="00000000" w:rsidRPr="00000000" w14:paraId="0000003B">
      <w:pPr>
        <w:numPr>
          <w:ilvl w:val="0"/>
          <w:numId w:val="6"/>
        </w:numPr>
        <w:spacing w:after="0" w:line="360" w:lineRule="auto"/>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Ordenar a los sujetos obligados la ejecutoría en la entrega de información en términos de la presente Ley;</w:t>
      </w:r>
    </w:p>
    <w:p w:rsidR="00000000" w:rsidDel="00000000" w:rsidP="00000000" w:rsidRDefault="00000000" w:rsidRPr="00000000" w14:paraId="0000003C">
      <w:pPr>
        <w:numPr>
          <w:ilvl w:val="0"/>
          <w:numId w:val="6"/>
        </w:numPr>
        <w:spacing w:after="0" w:line="360" w:lineRule="auto"/>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Imponer las medidas de apremio para asegurar el cumplimiento de sus determinaciones;</w:t>
      </w:r>
    </w:p>
    <w:p w:rsidR="00000000" w:rsidDel="00000000" w:rsidP="00000000" w:rsidRDefault="00000000" w:rsidRPr="00000000" w14:paraId="0000003D">
      <w:pPr>
        <w:numPr>
          <w:ilvl w:val="0"/>
          <w:numId w:val="6"/>
        </w:numPr>
        <w:spacing w:after="0" w:line="360" w:lineRule="auto"/>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u w:val="single"/>
          <w:rtl w:val="0"/>
        </w:rPr>
        <w:t xml:space="preserve">Hacer del conocimiento de la instancia competente la probable responsabilidad por el incumplimiento de las obligaciones</w:t>
      </w:r>
      <w:r w:rsidDel="00000000" w:rsidR="00000000" w:rsidRPr="00000000">
        <w:rPr>
          <w:rFonts w:ascii="Palatino Linotype" w:cs="Palatino Linotype" w:eastAsia="Palatino Linotype" w:hAnsi="Palatino Linotype"/>
          <w:sz w:val="24"/>
          <w:szCs w:val="24"/>
          <w:rtl w:val="0"/>
        </w:rPr>
        <w:t xml:space="preserve"> previstas en la Ley y en las demás disposiciones aplicable.  </w:t>
      </w:r>
    </w:p>
    <w:p w:rsidR="00000000" w:rsidDel="00000000" w:rsidP="00000000" w:rsidRDefault="00000000" w:rsidRPr="00000000" w14:paraId="0000003E">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Establecido lo anterior, debe tomarse en cuenta que la vista a la Dirección General de Datos de este Instituto, no debió incluirse en los resolutivos de la resolución referida, toda vez que, la parte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no se inconformó sobre la información proporcionada en respuesta, es decir, no forma parte de la “</w:t>
      </w:r>
      <w:r w:rsidDel="00000000" w:rsidR="00000000" w:rsidRPr="00000000">
        <w:rPr>
          <w:rFonts w:ascii="Palatino Linotype" w:cs="Palatino Linotype" w:eastAsia="Palatino Linotype" w:hAnsi="Palatino Linotype"/>
          <w:i w:val="1"/>
          <w:sz w:val="24"/>
          <w:szCs w:val="24"/>
          <w:rtl w:val="0"/>
        </w:rPr>
        <w:t xml:space="preserve">Litis” </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i w:val="1"/>
          <w:sz w:val="24"/>
          <w:szCs w:val="24"/>
          <w:rtl w:val="0"/>
        </w:rPr>
        <w:t xml:space="preserve">Litis”: </w:t>
      </w:r>
      <w:r w:rsidDel="00000000" w:rsidR="00000000" w:rsidRPr="00000000">
        <w:rPr>
          <w:rFonts w:ascii="Palatino Linotype" w:cs="Palatino Linotype" w:eastAsia="Palatino Linotype" w:hAnsi="Palatino Linotype"/>
          <w:sz w:val="24"/>
          <w:szCs w:val="24"/>
          <w:rtl w:val="0"/>
        </w:rPr>
        <w:t xml:space="preserve">vocablo latino que en idioma español se traduce como litigio, significando disputa o controversia judicial; diferencia de intereses entre dos partes, llamadas litigantes, sometidas a decisión de un Juez) y, por lo tanto, no se debió analizar la documentación entregada, al haberse invocado actos consentidos.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bookmarkStart w:colFirst="0" w:colLast="0" w:name="_heading=h.tyjcwt" w:id="0"/>
      <w:bookmarkEnd w:id="0"/>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segundo lugar, si bien la suscrita coincide en que los documentos que se ordenan atenderían el requerimiento de información de la parte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Recurrente,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también se considera que el o los documentos comprobatorios del presupuesto ejercido por concepto de combustible, pueden contener datos que deben clasificarse como información reservada, concretamente respecto del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número de placa de los vehículos</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si este se vincula con el servidor público que lo tiene bajo su uso.</w:t>
      </w:r>
    </w:p>
    <w:p w:rsidR="00000000" w:rsidDel="00000000" w:rsidP="00000000" w:rsidRDefault="00000000" w:rsidRPr="00000000" w14:paraId="00000040">
      <w:pPr>
        <w:spacing w:after="240" w:before="240" w:line="360" w:lineRule="auto"/>
        <w:ind w:right="142"/>
        <w:jc w:val="both"/>
        <w:rPr>
          <w:rFonts w:ascii="Times New Roman" w:cs="Times New Roman" w:eastAsia="Times New Roman" w:hAnsi="Times New Roman"/>
          <w:sz w:val="24"/>
          <w:szCs w:val="24"/>
        </w:rPr>
      </w:pPr>
      <w:r w:rsidDel="00000000" w:rsidR="00000000" w:rsidRPr="00000000">
        <w:rPr>
          <w:rFonts w:ascii="Palatino Linotype" w:cs="Palatino Linotype" w:eastAsia="Palatino Linotype" w:hAnsi="Palatino Linotype"/>
          <w:sz w:val="24"/>
          <w:szCs w:val="24"/>
          <w:rtl w:val="0"/>
        </w:rPr>
        <w:t xml:space="preserve">En ese sentido, se considera que toda vez, que los datos de identificación de los vehículos, concretamente respecto del número de placa vinculado con el nombre del servidor público que lo tiene bajo su uso, se trata de información que hace plenamente identificable a un vehículo, siendo altamente posible identificar también a sus tripulantes. </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240" w:before="240" w:line="360" w:lineRule="auto"/>
        <w:ind w:right="142"/>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Lo anterior, conforme a lo establecido en la Ley de Transparencia y Acceso a la Información Pública del Estado de México y Municipios, ya que prevé que la clasificación de la información es el proceso mediante el cual el Sujeto Obligado determina que la información en su poder, actualiza alguno de los supuestos de reserva o confidencialidad.</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240" w:before="240" w:line="360" w:lineRule="auto"/>
        <w:ind w:right="142"/>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el entendido de que la clasificación de la información se llevará a cabo en el momento en que se reciba una solicitud de acceso a la información, se determine mediante resolución de autoridad competente o se generen versiones públicas para dar cumplimiento a las obligaciones de transparencia previstas en la ley.</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240" w:before="240" w:line="360" w:lineRule="auto"/>
        <w:ind w:right="142"/>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Así, excepcionalmente por razones de interés público, se clasificará como reservada aquella información pública que encuadre en alguno de los supuestos previstos en el artículo 140 de la Ley de la materia, y que para el caso concreto se actualiza el previsto en la fracción IV, esto es ponga en riesgo la vida, seguridad o la salud de una persona física.</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240" w:before="240" w:line="360" w:lineRule="auto"/>
        <w:ind w:right="142"/>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tanto que se clasificará como información confidencial, entre otras y atendiendo al caso que nos ocupa, la información privada, datos personales concernientes a una persona física o jurídico colectiva identificada o identificable.</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240" w:before="240" w:line="360" w:lineRule="auto"/>
        <w:ind w:right="142"/>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acuerdo con lo anterior y conforme a las actuaciones que integran el expediente electrónico, se estima que la información que pudieran entregar al momento de dar cumplimiento a la presente resolución es susceptible de contener datos de identificación de vehículos que son utilizados por servidores públicos adscritos al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para el desarrollo de sus funciones; información que a criterio de la mayoría de los integrantes del Pleno, se trata de datos que deben dejarse visibles, criterio que contradice el que ahora se sostiene.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240" w:before="240" w:line="360" w:lineRule="auto"/>
        <w:ind w:right="142"/>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 de precisar que considero que el número de placas es reservado si se vincula con el nombre del servidor público que lo tiene bajo su uso, toda vez que los vehículos, con independencia de que sean particulares o pertenezcan al parque vehicular del Sujeto Obligado y son utilizados para el desarrollo de las actividades de su personal que ostentan cargos de Dirección, mandos medios y/o superiores, que, a diferencia de cualquier otro vehículo utilitario, en ellos asisten a eventos públicos derivados de sus funciones y se trasladan de sus oficinas a sus domicilios.</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240" w:before="240" w:line="360" w:lineRule="auto"/>
        <w:ind w:right="142"/>
        <w:jc w:val="both"/>
        <w:rPr>
          <w:rFonts w:ascii="Palatino Linotype" w:cs="Palatino Linotype" w:eastAsia="Palatino Linotype" w:hAnsi="Palatino Linotype"/>
          <w:b w:val="1"/>
          <w:sz w:val="24"/>
          <w:szCs w:val="24"/>
          <w:u w:val="single"/>
        </w:rPr>
      </w:pPr>
      <w:r w:rsidDel="00000000" w:rsidR="00000000" w:rsidRPr="00000000">
        <w:rPr>
          <w:rFonts w:ascii="Palatino Linotype" w:cs="Palatino Linotype" w:eastAsia="Palatino Linotype" w:hAnsi="Palatino Linotype"/>
          <w:sz w:val="24"/>
          <w:szCs w:val="24"/>
          <w:rtl w:val="0"/>
        </w:rPr>
        <w:t xml:space="preserve">Por lo que, proporcionar la información de identificación de un vehículo como el número de placas si se vincula con el nombre del servidor público que lo tiene bajo su uso, </w:t>
      </w:r>
      <w:r w:rsidDel="00000000" w:rsidR="00000000" w:rsidRPr="00000000">
        <w:rPr>
          <w:rFonts w:ascii="Palatino Linotype" w:cs="Palatino Linotype" w:eastAsia="Palatino Linotype" w:hAnsi="Palatino Linotype"/>
          <w:b w:val="1"/>
          <w:sz w:val="24"/>
          <w:szCs w:val="24"/>
          <w:u w:val="single"/>
          <w:rtl w:val="0"/>
        </w:rPr>
        <w:t xml:space="preserve">aun perteneciendo al servicio público, atenta contra la seguridad de los servidores públicos que en ellos se trasladan, máxime de aquellos que a nivel Estatal representan a la autoridad; incluso, se pone en riesgo a su familia, al vulnerar su esfera privada.</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240" w:before="240" w:line="360" w:lineRule="auto"/>
        <w:ind w:right="142"/>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Aunado a las condiciones socioeconómicas por las que atraviesa el país, en el que han proliferado grupos delictivos, que pudieran utilizar esa información para vulnerar la vida, seguridad o salud de dicho funcionario, de sus familias o entorno social, aumentando, incluso, el riesgo de que personas ajenas a los intereses institucionales intenten realizar actos para inhibir o entrometerse en la función pública, situación que puede corroborarse con la incidencia delictiva, que publica el Secretariado Ejecutivo del Sistema Nacional de Seguridad Pública, en el que en lo toral éste concentra la ocurrencia de delitos registrados en Carpetas de Investigación, reportadas por las Procuradurías de Justicia y las Fiscalías Generales de las entidades federativas, en el caso del fuero común y la Fiscalía General de la República en el fuero federal.</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240" w:before="240" w:line="360" w:lineRule="auto"/>
        <w:ind w:right="142"/>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Sirve de apoyo a lo anterior, el Criterio 9/2008 que sustenta por unanimidad de votos, el Comité de Acceso a la Información y de Protección de Datos Personales de la Suprema Corte de Justicia de la Nación, que cuenta con el siguiente rubro </w:t>
      </w:r>
      <w:r w:rsidDel="00000000" w:rsidR="00000000" w:rsidRPr="00000000">
        <w:rPr>
          <w:rFonts w:ascii="Palatino Linotype" w:cs="Palatino Linotype" w:eastAsia="Palatino Linotype" w:hAnsi="Palatino Linotype"/>
          <w:b w:val="1"/>
          <w:sz w:val="24"/>
          <w:szCs w:val="24"/>
          <w:rtl w:val="0"/>
        </w:rPr>
        <w:t xml:space="preserve">SERVIDORES PÚBLICOS DE LA SUPREMA CORTE DE JUSTICIA DE LA NACIÓN. LA INFORMACIÓN RELATIVA A LOS VEHÍCULOS QUE LES SON ASIGNADOS ES PÚBLICA SALVO POR LO QUE SE REFIERE A LOS DATOS QUE PERMITAN IDENTIFICAR CUÁL CORRESPONDE A CADA UNO DE ELLOS, </w:t>
      </w:r>
      <w:r w:rsidDel="00000000" w:rsidR="00000000" w:rsidRPr="00000000">
        <w:rPr>
          <w:rFonts w:ascii="Palatino Linotype" w:cs="Palatino Linotype" w:eastAsia="Palatino Linotype" w:hAnsi="Palatino Linotype"/>
          <w:sz w:val="24"/>
          <w:szCs w:val="24"/>
          <w:rtl w:val="0"/>
        </w:rPr>
        <w:t xml:space="preserve">la cual señala:</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ind w:left="851" w:right="900" w:firstLine="0"/>
        <w:jc w:val="both"/>
        <w:rPr>
          <w:rFonts w:ascii="Palatino Linotype" w:cs="Palatino Linotype" w:eastAsia="Palatino Linotype" w:hAnsi="Palatino Linotype"/>
          <w:i w:val="1"/>
        </w:rPr>
      </w:pPr>
      <w:bookmarkStart w:colFirst="0" w:colLast="0" w:name="_heading=h.3znysh7" w:id="1"/>
      <w:bookmarkEnd w:id="1"/>
      <w:r w:rsidDel="00000000" w:rsidR="00000000" w:rsidRPr="00000000">
        <w:rPr>
          <w:rFonts w:ascii="Palatino Linotype" w:cs="Palatino Linotype" w:eastAsia="Palatino Linotype" w:hAnsi="Palatino Linotype"/>
          <w:i w:val="1"/>
          <w:rtl w:val="0"/>
        </w:rPr>
        <w:t xml:space="preserve">“La asignación de vehículos a los servidores públicos de la Suprema Corte de Justicia de la Nación constituye un apoyo que se otorga para coadyuvar en el desempeño de sus funciones y cumplimiento de sus responsabilidades; además, tal apoyo se sujeta al presupuesto autorizado y se ejerce en afectación al mismo. En este sentido, los registros administrativos en que consten los datos inherentes a la asignación de vehículos a dichos servidores públicos (marcas y modelos de autos asignados, así como las fechas de asignación y el kilometraje registrado al momento de la misma), en razón del ejercicio de su cargo, son públicos, en términos de lo dispuesto en los artículos 2° y 7°, fracciones IV y IX, de la Ley Federal de Transparencia y Acceso a la Información Pública Gubernamental. No obstante, </w:t>
      </w:r>
      <w:r w:rsidDel="00000000" w:rsidR="00000000" w:rsidRPr="00000000">
        <w:rPr>
          <w:rFonts w:ascii="Palatino Linotype" w:cs="Palatino Linotype" w:eastAsia="Palatino Linotype" w:hAnsi="Palatino Linotype"/>
          <w:b w:val="1"/>
          <w:i w:val="1"/>
          <w:rtl w:val="0"/>
        </w:rPr>
        <w:t xml:space="preserve">la naturaleza pública de esta información no debe entenderse de manera absoluta, ya que encuentra su excepción respecto del dato consistente en el nombre de los mencionados servidores públicos, pues al relacionarse con los datos del vehículo o vehículos de su asignación, constituye un dato relevante y trascendente en su vida privada, pues los autos que se les otorgan son usados por ellos en apoyo del ejercicio de sus funciones y responsabilidades, las cuales pueden desarrollarse conjuntamente con sus actividades personales y/o privadas</w:t>
      </w:r>
      <w:r w:rsidDel="00000000" w:rsidR="00000000" w:rsidRPr="00000000">
        <w:rPr>
          <w:rFonts w:ascii="Palatino Linotype" w:cs="Palatino Linotype" w:eastAsia="Palatino Linotype" w:hAnsi="Palatino Linotype"/>
          <w:i w:val="1"/>
          <w:rtl w:val="0"/>
        </w:rPr>
        <w:t xml:space="preserve">. Por lo tanto, el dato de su nombre relacionado con el de los vehículos de su asignación constituye un dato personal que trasciende a su vida privada que debe ser objeto de protección, ya que su difusión pondría en riesgo el derecho fundamental a la vida privada.”</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360" w:lineRule="auto"/>
        <w:ind w:left="567" w:right="616" w:firstLine="0"/>
        <w:jc w:val="both"/>
        <w:rPr>
          <w:rFonts w:ascii="Palatino Linotype" w:cs="Palatino Linotype" w:eastAsia="Palatino Linotype" w:hAnsi="Palatino Linotype"/>
          <w:i w:val="1"/>
          <w:sz w:val="23"/>
          <w:szCs w:val="23"/>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360" w:lineRule="auto"/>
        <w:ind w:right="139"/>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Del criterio en cita, se advierte que no debe proporcionarse el número de placa de los vehículos oficiales que utilizan los servidores públicos si se vincula con el nombre del servidor público que lo tiene bajo su uso, por hacerlos identificables y trascender a su vida privada, garantizando con ello su protección. </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360" w:lineRule="auto"/>
        <w:ind w:right="139"/>
        <w:jc w:val="both"/>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360" w:lineRule="auto"/>
        <w:ind w:right="139"/>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Es por las razones expuestas se emite el presente Voto Particular, pues considero que era procedente la reserva del número de placa de los vehículos si se vincula con el nombre del servidor público que lo tiene bajo su uso, en los documentos que se determinaron ordenar al </w:t>
      </w:r>
      <w:r w:rsidDel="00000000" w:rsidR="00000000" w:rsidRPr="00000000">
        <w:rPr>
          <w:rFonts w:ascii="Palatino Linotype" w:cs="Palatino Linotype" w:eastAsia="Palatino Linotype" w:hAnsi="Palatino Linotype"/>
          <w:b w:val="1"/>
          <w:sz w:val="23"/>
          <w:szCs w:val="23"/>
          <w:rtl w:val="0"/>
        </w:rPr>
        <w:t xml:space="preserve">Sujeto Obligado</w:t>
      </w:r>
      <w:r w:rsidDel="00000000" w:rsidR="00000000" w:rsidRPr="00000000">
        <w:rPr>
          <w:rFonts w:ascii="Palatino Linotype" w:cs="Palatino Linotype" w:eastAsia="Palatino Linotype" w:hAnsi="Palatino Linotype"/>
          <w:sz w:val="23"/>
          <w:szCs w:val="23"/>
          <w:rtl w:val="0"/>
        </w:rPr>
        <w:t xml:space="preserve">,</w:t>
      </w:r>
      <w:r w:rsidDel="00000000" w:rsidR="00000000" w:rsidRPr="00000000">
        <w:rPr>
          <w:rFonts w:ascii="Palatino Linotype" w:cs="Palatino Linotype" w:eastAsia="Palatino Linotype" w:hAnsi="Palatino Linotype"/>
          <w:b w:val="1"/>
          <w:sz w:val="23"/>
          <w:szCs w:val="23"/>
          <w:rtl w:val="0"/>
        </w:rPr>
        <w:t xml:space="preserve"> </w:t>
      </w:r>
      <w:r w:rsidDel="00000000" w:rsidR="00000000" w:rsidRPr="00000000">
        <w:rPr>
          <w:rFonts w:ascii="Palatino Linotype" w:cs="Palatino Linotype" w:eastAsia="Palatino Linotype" w:hAnsi="Palatino Linotype"/>
          <w:sz w:val="23"/>
          <w:szCs w:val="23"/>
          <w:rtl w:val="0"/>
        </w:rPr>
        <w:t xml:space="preserve">al corresponder con información que, por su naturaleza, trasciende en su vida privada, cuyo ámbito de protección es mucho más amplio, al ponderar los derechos que se protegen con la reserva, como la vida, integridad personal, el pleno ejercicio del servicio público, contra el acceso a la información de un particular, y en mi criterio resulta proporcional clasificar esta información.</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360" w:lineRule="auto"/>
        <w:ind w:right="139"/>
        <w:jc w:val="both"/>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360" w:lineRule="auto"/>
        <w:ind w:right="139"/>
        <w:jc w:val="both"/>
        <w:rPr>
          <w:rFonts w:ascii="Palatino Linotype" w:cs="Palatino Linotype" w:eastAsia="Palatino Linotype" w:hAnsi="Palatino Linotype"/>
          <w:sz w:val="23"/>
          <w:szCs w:val="23"/>
        </w:rPr>
      </w:pPr>
      <w:bookmarkStart w:colFirst="0" w:colLast="0" w:name="_heading=h.2et92p0" w:id="2"/>
      <w:bookmarkEnd w:id="2"/>
      <w:r w:rsidDel="00000000" w:rsidR="00000000" w:rsidRPr="00000000">
        <w:rPr>
          <w:rFonts w:ascii="Palatino Linotype" w:cs="Palatino Linotype" w:eastAsia="Palatino Linotype" w:hAnsi="Palatino Linotype"/>
          <w:sz w:val="23"/>
          <w:szCs w:val="23"/>
          <w:rtl w:val="0"/>
        </w:rPr>
        <w:t xml:space="preserve">Es por todo lo vertido en líneas anteriores que la suscrita no comparte este punto del estudio de la resolución, y formula el presente </w:t>
      </w:r>
      <w:r w:rsidDel="00000000" w:rsidR="00000000" w:rsidRPr="00000000">
        <w:rPr>
          <w:rFonts w:ascii="Palatino Linotype" w:cs="Palatino Linotype" w:eastAsia="Palatino Linotype" w:hAnsi="Palatino Linotype"/>
          <w:b w:val="1"/>
          <w:sz w:val="23"/>
          <w:szCs w:val="23"/>
          <w:rtl w:val="0"/>
        </w:rPr>
        <w:t xml:space="preserve">voto particular</w:t>
      </w:r>
      <w:r w:rsidDel="00000000" w:rsidR="00000000" w:rsidRPr="00000000">
        <w:rPr>
          <w:rFonts w:ascii="Palatino Linotype" w:cs="Palatino Linotype" w:eastAsia="Palatino Linotype" w:hAnsi="Palatino Linotype"/>
          <w:sz w:val="23"/>
          <w:szCs w:val="23"/>
          <w:rtl w:val="0"/>
        </w:rPr>
        <w:t xml:space="preserve">.</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360" w:lineRule="auto"/>
        <w:ind w:right="139"/>
        <w:jc w:val="both"/>
        <w:rPr>
          <w:rFonts w:ascii="Palatino Linotype" w:cs="Palatino Linotype" w:eastAsia="Palatino Linotype" w:hAnsi="Palatino Linotype"/>
          <w:sz w:val="23"/>
          <w:szCs w:val="23"/>
        </w:rPr>
      </w:pPr>
      <w:bookmarkStart w:colFirst="0" w:colLast="0" w:name="_heading=h.4bror2rpiahy" w:id="3"/>
      <w:bookmarkEnd w:id="3"/>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360" w:lineRule="auto"/>
        <w:ind w:right="139"/>
        <w:jc w:val="both"/>
        <w:rPr>
          <w:rFonts w:ascii="Palatino Linotype" w:cs="Palatino Linotype" w:eastAsia="Palatino Linotype" w:hAnsi="Palatino Linotype"/>
          <w:sz w:val="23"/>
          <w:szCs w:val="23"/>
        </w:rPr>
      </w:pPr>
      <w:bookmarkStart w:colFirst="0" w:colLast="0" w:name="_heading=h.lnu39zkxuh2h" w:id="4"/>
      <w:bookmarkEnd w:id="4"/>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360" w:lineRule="auto"/>
        <w:ind w:right="139"/>
        <w:jc w:val="both"/>
        <w:rPr>
          <w:rFonts w:ascii="Palatino Linotype" w:cs="Palatino Linotype" w:eastAsia="Palatino Linotype" w:hAnsi="Palatino Linotype"/>
          <w:sz w:val="23"/>
          <w:szCs w:val="23"/>
        </w:rPr>
      </w:pPr>
      <w:bookmarkStart w:colFirst="0" w:colLast="0" w:name="_heading=h.b09wd2ts2rng" w:id="5"/>
      <w:bookmarkEnd w:id="5"/>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360" w:lineRule="auto"/>
        <w:ind w:right="139"/>
        <w:jc w:val="both"/>
        <w:rPr>
          <w:rFonts w:ascii="Palatino Linotype" w:cs="Palatino Linotype" w:eastAsia="Palatino Linotype" w:hAnsi="Palatino Linotype"/>
          <w:sz w:val="23"/>
          <w:szCs w:val="23"/>
        </w:rPr>
      </w:pPr>
      <w:bookmarkStart w:colFirst="0" w:colLast="0" w:name="_heading=h.w02vjg6yq0tc" w:id="6"/>
      <w:bookmarkEnd w:id="6"/>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360" w:lineRule="auto"/>
        <w:ind w:right="139"/>
        <w:jc w:val="both"/>
        <w:rPr>
          <w:rFonts w:ascii="Palatino Linotype" w:cs="Palatino Linotype" w:eastAsia="Palatino Linotype" w:hAnsi="Palatino Linotype"/>
          <w:sz w:val="23"/>
          <w:szCs w:val="23"/>
        </w:rPr>
      </w:pPr>
      <w:bookmarkStart w:colFirst="0" w:colLast="0" w:name="_heading=h.ebnbvlblc8ic" w:id="7"/>
      <w:bookmarkEnd w:id="7"/>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360" w:lineRule="auto"/>
        <w:ind w:right="139"/>
        <w:jc w:val="both"/>
        <w:rPr>
          <w:rFonts w:ascii="Palatino Linotype" w:cs="Palatino Linotype" w:eastAsia="Palatino Linotype" w:hAnsi="Palatino Linotype"/>
          <w:sz w:val="23"/>
          <w:szCs w:val="23"/>
        </w:rPr>
      </w:pPr>
      <w:bookmarkStart w:colFirst="0" w:colLast="0" w:name="_heading=h.l8czy6twisn0" w:id="8"/>
      <w:bookmarkEnd w:id="8"/>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360" w:lineRule="auto"/>
        <w:ind w:right="139"/>
        <w:jc w:val="both"/>
        <w:rPr>
          <w:rFonts w:ascii="Palatino Linotype" w:cs="Palatino Linotype" w:eastAsia="Palatino Linotype" w:hAnsi="Palatino Linotype"/>
          <w:sz w:val="23"/>
          <w:szCs w:val="23"/>
        </w:rPr>
      </w:pPr>
      <w:bookmarkStart w:colFirst="0" w:colLast="0" w:name="_heading=h.ousq7itvcc92" w:id="9"/>
      <w:bookmarkEnd w:id="9"/>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360" w:lineRule="auto"/>
        <w:ind w:right="139"/>
        <w:jc w:val="both"/>
        <w:rPr>
          <w:rFonts w:ascii="Palatino Linotype" w:cs="Palatino Linotype" w:eastAsia="Palatino Linotype" w:hAnsi="Palatino Linotype"/>
          <w:sz w:val="23"/>
          <w:szCs w:val="23"/>
        </w:rPr>
      </w:pPr>
      <w:bookmarkStart w:colFirst="0" w:colLast="0" w:name="_heading=h.6vzhv8pxw24n" w:id="10"/>
      <w:bookmarkEnd w:id="10"/>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360" w:lineRule="auto"/>
        <w:ind w:right="139"/>
        <w:jc w:val="both"/>
        <w:rPr>
          <w:rFonts w:ascii="Palatino Linotype" w:cs="Palatino Linotype" w:eastAsia="Palatino Linotype" w:hAnsi="Palatino Linotype"/>
          <w:sz w:val="23"/>
          <w:szCs w:val="23"/>
        </w:rPr>
      </w:pPr>
      <w:bookmarkStart w:colFirst="0" w:colLast="0" w:name="_heading=h.gzzbmqd3go3g" w:id="11"/>
      <w:bookmarkEnd w:id="11"/>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360" w:lineRule="auto"/>
        <w:ind w:right="139"/>
        <w:jc w:val="both"/>
        <w:rPr>
          <w:rFonts w:ascii="Palatino Linotype" w:cs="Palatino Linotype" w:eastAsia="Palatino Linotype" w:hAnsi="Palatino Linotype"/>
          <w:sz w:val="23"/>
          <w:szCs w:val="23"/>
        </w:rPr>
      </w:pPr>
      <w:bookmarkStart w:colFirst="0" w:colLast="0" w:name="_heading=h.dh4q3a7hbut9" w:id="12"/>
      <w:bookmarkEnd w:id="12"/>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360" w:lineRule="auto"/>
        <w:ind w:right="139"/>
        <w:jc w:val="both"/>
        <w:rPr>
          <w:rFonts w:ascii="Palatino Linotype" w:cs="Palatino Linotype" w:eastAsia="Palatino Linotype" w:hAnsi="Palatino Linotype"/>
          <w:sz w:val="23"/>
          <w:szCs w:val="23"/>
        </w:rPr>
      </w:pPr>
      <w:bookmarkStart w:colFirst="0" w:colLast="0" w:name="_heading=h.wg6cu7nrwjmn" w:id="13"/>
      <w:bookmarkEnd w:id="13"/>
      <w:r w:rsidDel="00000000" w:rsidR="00000000" w:rsidRPr="00000000">
        <w:rPr>
          <w:rtl w:val="0"/>
        </w:rPr>
      </w:r>
    </w:p>
    <w:p w:rsidR="00000000" w:rsidDel="00000000" w:rsidP="00000000" w:rsidRDefault="00000000" w:rsidRPr="00000000" w14:paraId="0000005C">
      <w:pPr>
        <w:spacing w:after="0" w:line="360" w:lineRule="auto"/>
        <w:ind w:right="139"/>
        <w:jc w:val="both"/>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5D">
      <w:pPr>
        <w:spacing w:after="0" w:line="360" w:lineRule="auto"/>
        <w:ind w:right="139"/>
        <w:jc w:val="both"/>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5E">
      <w:pPr>
        <w:spacing w:after="0" w:line="360" w:lineRule="auto"/>
        <w:ind w:right="139"/>
        <w:jc w:val="both"/>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5F">
      <w:pPr>
        <w:spacing w:after="0" w:line="360" w:lineRule="auto"/>
        <w:ind w:right="139"/>
        <w:jc w:val="both"/>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60">
      <w:pPr>
        <w:spacing w:after="0" w:line="360" w:lineRule="auto"/>
        <w:ind w:right="139"/>
        <w:jc w:val="both"/>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61">
      <w:pPr>
        <w:spacing w:after="0" w:line="360" w:lineRule="auto"/>
        <w:ind w:right="139"/>
        <w:jc w:val="both"/>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62">
      <w:pPr>
        <w:spacing w:after="0" w:line="360" w:lineRule="auto"/>
        <w:ind w:right="139"/>
        <w:jc w:val="both"/>
        <w:rPr>
          <w:rFonts w:ascii="Palatino Linotype" w:cs="Palatino Linotype" w:eastAsia="Palatino Linotype" w:hAnsi="Palatino Linotype"/>
          <w:sz w:val="23"/>
          <w:szCs w:val="23"/>
        </w:rPr>
      </w:pPr>
      <w:r w:rsidDel="00000000" w:rsidR="00000000" w:rsidRPr="00000000">
        <w:rPr>
          <w:rtl w:val="0"/>
        </w:rPr>
      </w:r>
    </w:p>
    <w:sectPr>
      <w:headerReference r:id="rId7" w:type="default"/>
      <w:pgSz w:h="15840" w:w="12240" w:orient="portrait"/>
      <w:pgMar w:bottom="2778" w:top="2438" w:left="1701" w:right="1701" w:header="1134"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VOTO PARTICULAR</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-404671</wp:posOffset>
          </wp:positionV>
          <wp:extent cx="1873250" cy="1126490"/>
          <wp:effectExtent b="0" l="0" r="0" t="0"/>
          <wp:wrapNone/>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73250" cy="1126490"/>
                  </a:xfrm>
                  <a:prstGeom prst="rect"/>
                  <a:ln/>
                </pic:spPr>
              </pic:pic>
            </a:graphicData>
          </a:graphic>
        </wp:anchor>
      </w:drawing>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RECURSO DE REVISIÓN: 13570/INFOEM/IP/RR/2022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35"/>
      <w:numFmt w:val="bullet"/>
      <w:lvlText w:val="-"/>
      <w:lvlJc w:val="left"/>
      <w:pPr>
        <w:ind w:left="1080" w:hanging="360"/>
      </w:pPr>
      <w:rPr>
        <w:rFonts w:ascii="Palatino Linotype" w:cs="Palatino Linotype" w:eastAsia="Palatino Linotype" w:hAnsi="Palatino Linotype"/>
        <w:b w:val="1"/>
        <w:color w:val="00000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o"/>
      <w:lvlJc w:val="left"/>
      <w:pPr>
        <w:ind w:left="1800" w:hanging="360"/>
      </w:pPr>
      <w:rPr>
        <w:rFonts w:ascii="Courier New" w:cs="Courier New" w:eastAsia="Courier New" w:hAnsi="Courier New"/>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link w:val="Ttulo2Car"/>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Encabezado">
    <w:name w:val="header"/>
    <w:basedOn w:val="Normal"/>
    <w:link w:val="EncabezadoCar"/>
    <w:uiPriority w:val="99"/>
    <w:unhideWhenUsed w:val="1"/>
    <w:rsid w:val="002D2C6A"/>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2D2C6A"/>
  </w:style>
  <w:style w:type="paragraph" w:styleId="Piedepgina">
    <w:name w:val="footer"/>
    <w:basedOn w:val="Normal"/>
    <w:link w:val="PiedepginaCar"/>
    <w:uiPriority w:val="99"/>
    <w:unhideWhenUsed w:val="1"/>
    <w:rsid w:val="002D2C6A"/>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2D2C6A"/>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C61D31"/>
    <w:rPr>
      <w:rFonts w:ascii="Times New Roman" w:cs="Times New Roman" w:eastAsia="Times New Roman" w:hAnsi="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C61D31"/>
    <w:pPr>
      <w:spacing w:after="0" w:line="240" w:lineRule="auto"/>
      <w:ind w:left="708"/>
    </w:pPr>
    <w:rPr>
      <w:rFonts w:ascii="Times New Roman" w:cs="Times New Roman" w:eastAsia="Times New Roman" w:hAnsi="Times New Roman"/>
      <w:lang w:val="es-ES"/>
    </w:rPr>
  </w:style>
  <w:style w:type="character" w:styleId="Ttulo2Car" w:customStyle="1">
    <w:name w:val="Título 2 Car"/>
    <w:basedOn w:val="Fuentedeprrafopredeter"/>
    <w:link w:val="Ttulo2"/>
    <w:rsid w:val="00C61D31"/>
    <w:rPr>
      <w:b w:val="1"/>
      <w:sz w:val="36"/>
      <w:szCs w:val="36"/>
    </w:rPr>
  </w:style>
  <w:style w:type="character" w:styleId="apple-converted-space" w:customStyle="1">
    <w:name w:val="apple-converted-space"/>
    <w:basedOn w:val="Fuentedeprrafopredeter"/>
    <w:rsid w:val="00C61D31"/>
  </w:style>
  <w:style w:type="character" w:styleId="s10" w:customStyle="1">
    <w:name w:val="s10"/>
    <w:basedOn w:val="Fuentedeprrafopredeter"/>
    <w:rsid w:val="00C61D31"/>
  </w:style>
  <w:style w:type="character" w:styleId="Hipervnculo">
    <w:name w:val="Hyperlink"/>
    <w:basedOn w:val="Fuentedeprrafopredeter"/>
    <w:uiPriority w:val="99"/>
    <w:unhideWhenUsed w:val="1"/>
    <w:rsid w:val="003979B0"/>
    <w:rPr>
      <w:color w:val="0000ff" w:themeColor="hyperlink"/>
      <w:u w:val="single"/>
    </w:rPr>
  </w:style>
  <w:style w:type="character" w:styleId="Mencinsinresolver1" w:customStyle="1">
    <w:name w:val="Mención sin resolver1"/>
    <w:basedOn w:val="Fuentedeprrafopredeter"/>
    <w:uiPriority w:val="99"/>
    <w:semiHidden w:val="1"/>
    <w:unhideWhenUsed w:val="1"/>
    <w:rsid w:val="003979B0"/>
    <w:rPr>
      <w:color w:val="605e5c"/>
      <w:shd w:color="auto" w:fill="e1dfdd" w:val="clear"/>
    </w:rPr>
  </w:style>
  <w:style w:type="table" w:styleId="Tablaconcuadrcula">
    <w:name w:val="Table Grid"/>
    <w:basedOn w:val="Tablanormal"/>
    <w:uiPriority w:val="59"/>
    <w:rsid w:val="00FE2E89"/>
    <w:pPr>
      <w:spacing w:after="0" w:line="240" w:lineRule="auto"/>
    </w:pPr>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1"/>
    <w:pPr>
      <w:spacing w:after="0" w:line="240" w:lineRule="auto"/>
    </w:pPr>
    <w:rPr>
      <w:rFonts w:ascii="Cambria" w:cs="Cambria" w:eastAsia="Cambria" w:hAnsi="Cambria"/>
    </w:rPr>
    <w:tblPr>
      <w:tblStyleRowBandSize w:val="1"/>
      <w:tblStyleColBandSize w:val="1"/>
      <w:tblCellMar>
        <w:left w:w="108.0" w:type="dxa"/>
        <w:right w:w="108.0" w:type="dxa"/>
      </w:tblCellMar>
    </w:tblPr>
  </w:style>
  <w:style w:type="paragraph" w:styleId="infoemcitas" w:customStyle="1">
    <w:name w:val="infoem citas"/>
    <w:basedOn w:val="Normal"/>
    <w:qFormat w:val="1"/>
    <w:rsid w:val="00AE3336"/>
    <w:pPr>
      <w:spacing w:before="240" w:line="360" w:lineRule="auto"/>
      <w:ind w:left="851" w:right="851"/>
      <w:jc w:val="both"/>
    </w:pPr>
    <w:rPr>
      <w:rFonts w:ascii="Palatino Linotype" w:hAnsi="Palatino Linotype" w:cstheme="minorBidi" w:eastAsiaTheme="minorHAnsi"/>
      <w:i w:val="1"/>
      <w:lang w:eastAsia="en-US"/>
    </w:rPr>
  </w:style>
  <w:style w:type="paragraph" w:styleId="Citas" w:customStyle="1">
    <w:name w:val="Citas"/>
    <w:basedOn w:val="Normal"/>
    <w:qFormat w:val="1"/>
    <w:rsid w:val="00AE3336"/>
    <w:pPr>
      <w:spacing w:before="240" w:line="360" w:lineRule="auto"/>
      <w:ind w:left="851" w:right="851"/>
      <w:jc w:val="both"/>
    </w:pPr>
    <w:rPr>
      <w:rFonts w:ascii="Palatino Linotype" w:cs="Arial" w:hAnsi="Palatino Linotype" w:eastAsiaTheme="minorHAnsi"/>
      <w:i w:val="1"/>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Z8COOFUfC2IJU9PkmWZASauGiw==">CgMxLjAyCGgudHlqY3d0MgloLjN6bnlzaDcyCWguMmV0OTJwMDIOaC40YnJvcjJycGlhaHkyDmgubG51Mzl6a3h1aDJoMg5oLmIwOXdkMnRzMnJuZzIOaC53MDJ2amc2eXEwdGMyDmguZWJuYnZsYmxjOGljMg5oLmw4Y3p5NnR3aXNuMDIOaC5vdXNxN2l0dmNjOTIyDmguNnZ6aHY4cHh3MjRuMg5oLmd6emJtcWQzZ28zZzIOaC5kaDRxM2E3aGJ1dDkyDmgud2c2Y3U3bnJ3am1uOAByITEtdUYxUUJ3LWlKSk1BenRmeHBVS1NKVWpQVW5pa01h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2023-06-19T02:28:00Z</dcterms:created>
  <dc:creator>Soni</dc:creator>
</cp:coreProperties>
</file>