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both"/>
        <w:rPr>
          <w:rFonts w:ascii="Palatino Linotype" w:cs="Palatino Linotype" w:eastAsia="Palatino Linotype" w:hAnsi="Palatino Linotype"/>
          <w:b w:val="1"/>
          <w:color w:val="ff0000"/>
        </w:rPr>
      </w:pPr>
      <w:bookmarkStart w:colFirst="0" w:colLast="0" w:name="_heading=h.gjdgxs" w:id="0"/>
      <w:bookmarkEnd w:id="0"/>
      <w:r w:rsidDel="00000000" w:rsidR="00000000" w:rsidRPr="00000000">
        <w:rPr>
          <w:rFonts w:ascii="Palatino Linotype" w:cs="Palatino Linotype" w:eastAsia="Palatino Linotype" w:hAnsi="Palatino Linotype"/>
          <w:b w:val="1"/>
          <w:rtl w:val="0"/>
        </w:rPr>
        <w:t xml:space="preserve">VOTO PARTICULAR QUE FORMULA LA COMISIONADA GUADALUPE RAMÍREZ PEÑA, EN RELACIÓN CON LA RESOLUCIÓN DICTADA POR EL PLENO DEL INSTITUTO DE TRANSPARENCIA, ACCESO A LA INFORMACIÓN PÚBLICA Y PROTECCIÓN DE DATOS PERSONALES DEL ESTADO DE MÉXICO Y MUNICIPIOS, EN LA TRIGÉSIMA SEXTA SESIÓN ORDINARIA DEL CUATRO DE OCTUBRE DE DOS MIL VEINTITRÉS, EN EL RECURSO DE REVISIÓN 01705/INFOEM/IP/RR/2023.</w:t>
      </w:r>
      <w:r w:rsidDel="00000000" w:rsidR="00000000" w:rsidRPr="00000000">
        <w:rPr>
          <w:rtl w:val="0"/>
        </w:rPr>
      </w:r>
    </w:p>
    <w:p w:rsidR="00000000" w:rsidDel="00000000" w:rsidP="00000000" w:rsidRDefault="00000000" w:rsidRPr="00000000" w14:paraId="00000002">
      <w:pPr>
        <w:spacing w:after="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3">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fundamento en lo dispuesto por el artículo 14, fracciones X y XI, del Reglamento del Instituto de Transparencia, Acceso a la Información Pública y Protección de Datos Personales del Estado de México, la suscrita emite </w:t>
      </w:r>
      <w:r w:rsidDel="00000000" w:rsidR="00000000" w:rsidRPr="00000000">
        <w:rPr>
          <w:rFonts w:ascii="Palatino Linotype" w:cs="Palatino Linotype" w:eastAsia="Palatino Linotype" w:hAnsi="Palatino Linotype"/>
          <w:b w:val="1"/>
          <w:rtl w:val="0"/>
        </w:rPr>
        <w:t xml:space="preserve">VOTO PARTICULAR </w:t>
      </w:r>
      <w:r w:rsidDel="00000000" w:rsidR="00000000" w:rsidRPr="00000000">
        <w:rPr>
          <w:rFonts w:ascii="Palatino Linotype" w:cs="Palatino Linotype" w:eastAsia="Palatino Linotype" w:hAnsi="Palatino Linotype"/>
          <w:rtl w:val="0"/>
        </w:rPr>
        <w:t xml:space="preserve">respecto a la resolución dictada en el recurso de revisión número </w:t>
      </w:r>
      <w:r w:rsidDel="00000000" w:rsidR="00000000" w:rsidRPr="00000000">
        <w:rPr>
          <w:rFonts w:ascii="Palatino Linotype" w:cs="Palatino Linotype" w:eastAsia="Palatino Linotype" w:hAnsi="Palatino Linotype"/>
          <w:b w:val="1"/>
          <w:rtl w:val="0"/>
        </w:rPr>
        <w:t xml:space="preserve">01705/INFOEM/IP/RR/2023</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pronunciada por el Pleno de este Instituto ante el proyecto presentado por el </w:t>
      </w:r>
      <w:r w:rsidDel="00000000" w:rsidR="00000000" w:rsidRPr="00000000">
        <w:rPr>
          <w:rFonts w:ascii="Palatino Linotype" w:cs="Palatino Linotype" w:eastAsia="Palatino Linotype" w:hAnsi="Palatino Linotype"/>
          <w:b w:val="1"/>
          <w:rtl w:val="0"/>
        </w:rPr>
        <w:t xml:space="preserve">Comisionado Presidente José Martínez Vilchis</w:t>
      </w:r>
      <w:r w:rsidDel="00000000" w:rsidR="00000000" w:rsidRPr="00000000">
        <w:rPr>
          <w:rFonts w:ascii="Palatino Linotype" w:cs="Palatino Linotype" w:eastAsia="Palatino Linotype" w:hAnsi="Palatino Linotype"/>
          <w:rtl w:val="0"/>
        </w:rPr>
        <w:t xml:space="preserve">, el cual es al tenor siguiente:</w:t>
      </w:r>
    </w:p>
    <w:p w:rsidR="00000000" w:rsidDel="00000000" w:rsidP="00000000" w:rsidRDefault="00000000" w:rsidRPr="00000000" w14:paraId="00000004">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5">
      <w:pPr>
        <w:numPr>
          <w:ilvl w:val="0"/>
          <w:numId w:val="2"/>
        </w:numPr>
        <w:spacing w:after="0" w:line="360" w:lineRule="auto"/>
        <w:ind w:left="567" w:hanging="141"/>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Antecedentes.</w:t>
      </w:r>
    </w:p>
    <w:p w:rsidR="00000000" w:rsidDel="00000000" w:rsidP="00000000" w:rsidRDefault="00000000" w:rsidRPr="00000000" w14:paraId="00000006">
      <w:pPr>
        <w:spacing w:after="0" w:line="360" w:lineRule="auto"/>
        <w:ind w:left="567"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asunto que nos ocupa, la parte Recurrente solicitó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le proporcionara la siguiente información: </w:t>
      </w:r>
    </w:p>
    <w:p w:rsidR="00000000" w:rsidDel="00000000" w:rsidP="00000000" w:rsidRDefault="00000000" w:rsidRPr="00000000" w14:paraId="0000000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tabs>
          <w:tab w:val="left" w:leader="none" w:pos="5647"/>
        </w:tabs>
        <w:spacing w:after="0" w:line="24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“Solicito de la manera más atenta se me indique el sueldo del presidente, regidores, síndico, mandos medios, mandos superiores, policía primero, policía segundo, policía tercero, así como de los auxiliares administrativos que laboran dentro de este Sujeto Obligado.”</w:t>
      </w:r>
    </w:p>
    <w:p w:rsidR="00000000" w:rsidDel="00000000" w:rsidP="00000000" w:rsidRDefault="00000000" w:rsidRPr="00000000" w14:paraId="0000000A">
      <w:pPr>
        <w:spacing w:after="0"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B">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Sujeto Obligado refirió lo que se describe a continuación:</w:t>
      </w:r>
    </w:p>
    <w:p w:rsidR="00000000" w:rsidDel="00000000" w:rsidP="00000000" w:rsidRDefault="00000000" w:rsidRPr="00000000" w14:paraId="0000000C">
      <w:pPr>
        <w:spacing w:after="0" w:line="276" w:lineRule="auto"/>
        <w:ind w:left="567" w:right="706"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D">
      <w:pPr>
        <w:tabs>
          <w:tab w:val="left" w:leader="none" w:pos="5647"/>
        </w:tabs>
        <w:spacing w:after="0" w:line="276"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“Suscribe Lic. Maria Concepción Cruz Villafaña en mi carácter de Directora de la Unidad de Transparencia del H. Ayuntamiento de Tezoyuca realizo lo pertinente para dar una debida contestación pero hasta el momento no he recibido respuesta ya que sigue en tramite su solicitud”</w:t>
      </w:r>
    </w:p>
    <w:p w:rsidR="00000000" w:rsidDel="00000000" w:rsidP="00000000" w:rsidRDefault="00000000" w:rsidRPr="00000000" w14:paraId="0000000E">
      <w:pPr>
        <w:tabs>
          <w:tab w:val="left" w:leader="none" w:pos="5647"/>
        </w:tabs>
        <w:spacing w:after="0" w:line="36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0F">
      <w:pPr>
        <w:tabs>
          <w:tab w:val="left" w:leader="none" w:pos="5647"/>
        </w:tabs>
        <w:spacing w:after="0" w:line="360" w:lineRule="auto"/>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El sujeto obligado no adjuntó a su respuesta archivo electrónico alguno.</w:t>
      </w:r>
      <w:r w:rsidDel="00000000" w:rsidR="00000000" w:rsidRPr="00000000">
        <w:rPr>
          <w:rtl w:val="0"/>
        </w:rPr>
      </w:r>
    </w:p>
    <w:p w:rsidR="00000000" w:rsidDel="00000000" w:rsidP="00000000" w:rsidRDefault="00000000" w:rsidRPr="00000000" w14:paraId="00000010">
      <w:pPr>
        <w:tabs>
          <w:tab w:val="left" w:leader="none" w:pos="5647"/>
        </w:tabs>
        <w:spacing w:after="0" w:line="360" w:lineRule="auto"/>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1">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la parte Solicitante presentó su medio de impugnación, a través del cual refirió lo siguiente: </w:t>
      </w:r>
    </w:p>
    <w:p w:rsidR="00000000" w:rsidDel="00000000" w:rsidP="00000000" w:rsidRDefault="00000000" w:rsidRPr="00000000" w14:paraId="00000012">
      <w:pPr>
        <w:spacing w:after="0" w:line="276" w:lineRule="auto"/>
        <w:ind w:left="567" w:right="423"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tabs>
          <w:tab w:val="left" w:leader="none" w:pos="2550"/>
        </w:tabs>
        <w:spacing w:after="0" w:line="276" w:lineRule="auto"/>
        <w:ind w:left="567" w:right="423"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rtl w:val="0"/>
        </w:rPr>
        <w:t xml:space="preserve">Acto Impugnado: </w:t>
      </w:r>
      <w:r w:rsidDel="00000000" w:rsidR="00000000" w:rsidRPr="00000000">
        <w:rPr>
          <w:rFonts w:ascii="Palatino Linotype" w:cs="Palatino Linotype" w:eastAsia="Palatino Linotype" w:hAnsi="Palatino Linotype"/>
          <w:i w:val="1"/>
          <w:rtl w:val="0"/>
        </w:rPr>
        <w:t xml:space="preserve">“no se me entrega la información solicitada.” (sic)</w:t>
      </w:r>
    </w:p>
    <w:p w:rsidR="00000000" w:rsidDel="00000000" w:rsidP="00000000" w:rsidRDefault="00000000" w:rsidRPr="00000000" w14:paraId="00000014">
      <w:pPr>
        <w:tabs>
          <w:tab w:val="left" w:leader="none" w:pos="2550"/>
        </w:tabs>
        <w:spacing w:after="0" w:line="276" w:lineRule="auto"/>
        <w:ind w:left="567" w:right="423"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5">
      <w:pPr>
        <w:spacing w:after="0" w:line="276" w:lineRule="auto"/>
        <w:ind w:left="567" w:right="423"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Razones o Motivos de inconformidad: </w:t>
      </w:r>
      <w:r w:rsidDel="00000000" w:rsidR="00000000" w:rsidRPr="00000000">
        <w:rPr>
          <w:rFonts w:ascii="Palatino Linotype" w:cs="Palatino Linotype" w:eastAsia="Palatino Linotype" w:hAnsi="Palatino Linotype"/>
          <w:i w:val="1"/>
          <w:rtl w:val="0"/>
        </w:rPr>
        <w:t xml:space="preserve">“Dentro de mi solicitud de información donde requiero el sueldo de los integrantes del Ayuntamiento, así como el de los policías, no se me es entregada, sin mas que decir de la ineptitud de este sujeto obligado a través de su Titular de Transparencia interpongo mi recurso de revisión ya que se están violando con todo el dolo mis derechos de acceso a la información consagrados en la constitución política federal y estatal”</w:t>
      </w:r>
      <w:r w:rsidDel="00000000" w:rsidR="00000000" w:rsidRPr="00000000">
        <w:rPr>
          <w:rtl w:val="0"/>
        </w:rPr>
      </w:r>
    </w:p>
    <w:p w:rsidR="00000000" w:rsidDel="00000000" w:rsidP="00000000" w:rsidRDefault="00000000" w:rsidRPr="00000000" w14:paraId="00000016">
      <w:pPr>
        <w:spacing w:after="0"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17">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partes fueron omisas en rendir manifestaciones. </w:t>
      </w:r>
    </w:p>
    <w:p w:rsidR="00000000" w:rsidDel="00000000" w:rsidP="00000000" w:rsidRDefault="00000000" w:rsidRPr="00000000" w14:paraId="00000018">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las cosas, la Ponencia Resolutora una vez analizadas las constancias que obran en el expediente electrónico del SAIMEX, determinó </w:t>
      </w:r>
      <w:r w:rsidDel="00000000" w:rsidR="00000000" w:rsidRPr="00000000">
        <w:rPr>
          <w:rFonts w:ascii="Palatino Linotype" w:cs="Palatino Linotype" w:eastAsia="Palatino Linotype" w:hAnsi="Palatino Linotype"/>
          <w:b w:val="1"/>
          <w:rtl w:val="0"/>
        </w:rPr>
        <w:t xml:space="preserve">REVOCAR </w:t>
      </w:r>
      <w:r w:rsidDel="00000000" w:rsidR="00000000" w:rsidRPr="00000000">
        <w:rPr>
          <w:rFonts w:ascii="Palatino Linotype" w:cs="Palatino Linotype" w:eastAsia="Palatino Linotype" w:hAnsi="Palatino Linotype"/>
          <w:rtl w:val="0"/>
        </w:rPr>
        <w:t xml:space="preserve">la respuesta y determinó </w:t>
      </w:r>
      <w:r w:rsidDel="00000000" w:rsidR="00000000" w:rsidRPr="00000000">
        <w:rPr>
          <w:rFonts w:ascii="Palatino Linotype" w:cs="Palatino Linotype" w:eastAsia="Palatino Linotype" w:hAnsi="Palatino Linotype"/>
          <w:b w:val="1"/>
          <w:rtl w:val="0"/>
        </w:rPr>
        <w:t xml:space="preserve">ORDENAR </w:t>
      </w:r>
      <w:r w:rsidDel="00000000" w:rsidR="00000000" w:rsidRPr="00000000">
        <w:rPr>
          <w:rFonts w:ascii="Palatino Linotype" w:cs="Palatino Linotype" w:eastAsia="Palatino Linotype" w:hAnsi="Palatino Linotype"/>
          <w:rtl w:val="0"/>
        </w:rPr>
        <w:t xml:space="preserve">la siguiente información:</w:t>
      </w:r>
    </w:p>
    <w:p w:rsidR="00000000" w:rsidDel="00000000" w:rsidP="00000000" w:rsidRDefault="00000000" w:rsidRPr="00000000" w14:paraId="0000001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tabs>
          <w:tab w:val="left" w:leader="none" w:pos="8647"/>
        </w:tabs>
        <w:spacing w:after="0" w:line="276" w:lineRule="auto"/>
        <w:ind w:left="720" w:right="51"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color w:val="000000"/>
          <w:rtl w:val="0"/>
        </w:rPr>
        <w:t xml:space="preserve">Documento donde conste el sueldo del presidente municipal, regidores, síndico, mandos medios, mandos superiores, </w:t>
      </w:r>
      <w:r w:rsidDel="00000000" w:rsidR="00000000" w:rsidRPr="00000000">
        <w:rPr>
          <w:rFonts w:ascii="Palatino Linotype" w:cs="Palatino Linotype" w:eastAsia="Palatino Linotype" w:hAnsi="Palatino Linotype"/>
          <w:b w:val="1"/>
          <w:color w:val="000000"/>
          <w:rtl w:val="0"/>
        </w:rPr>
        <w:t xml:space="preserve">policías así como de los auxiliares administrativos que laboran dentro de este Sujeto Obligado</w:t>
      </w:r>
      <w:r w:rsidDel="00000000" w:rsidR="00000000" w:rsidRPr="00000000">
        <w:rPr>
          <w:rFonts w:ascii="Palatino Linotype" w:cs="Palatino Linotype" w:eastAsia="Palatino Linotype" w:hAnsi="Palatino Linotype"/>
          <w:color w:val="000000"/>
          <w:rtl w:val="0"/>
        </w:rPr>
        <w:t xml:space="preserve">, lo anterior de la segunda quincena de enero y primera quincena de febrero de dos mil veintitrés.</w:t>
      </w:r>
    </w:p>
    <w:p w:rsidR="00000000" w:rsidDel="00000000" w:rsidP="00000000" w:rsidRDefault="00000000" w:rsidRPr="00000000" w14:paraId="0000001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rPr>
      </w:pPr>
      <w:bookmarkStart w:colFirst="0" w:colLast="0" w:name="_heading=h.3hestacsg4px" w:id="1"/>
      <w:bookmarkEnd w:id="1"/>
      <w:r w:rsidDel="00000000" w:rsidR="00000000" w:rsidRPr="00000000">
        <w:rPr>
          <w:rFonts w:ascii="Palatino Linotype" w:cs="Palatino Linotype" w:eastAsia="Palatino Linotype" w:hAnsi="Palatino Linotype"/>
          <w:b w:val="1"/>
          <w:rtl w:val="0"/>
        </w:rPr>
        <w:t xml:space="preserve">Razones del Voto Particular.</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este orden de ideas, resulta importante señalar que coincido con los términos generales planteados en la Resolución toda vez que por regla general la publicidad de las remuneraciones a las que se hacen acreedores los servidores públicos en el  ejercicio de la función pública, se encuentran establecidas como una obligación de transparencia común, tanto en la Ley General como en la Ley Local, y de manera específica, el artículo 92, fracción VIII de la Ley de Transparencia y Acceso a la Información Pública del Estado de México y Municipios; no obstante lo anterior, considero que dicha regla está sujeta a claro régimen de excepción, la cual concretamente se aprecia en el caso de las remuneraciones de personal que se encuentra adscrito a instituciones de seguridad pública con funciones operativas en atención a los consideraciones que a continuación se exponen. </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Sobre este punto, debemos partir desde la máxima establecida en nuestro texto Constitucional Federal pues el artículo 21 en su párrafo noveno reconoce que la seguridad pública es una función del Estado a cargo de la Federación, las Entidades Federativas y </w:t>
      </w:r>
      <w:r w:rsidDel="00000000" w:rsidR="00000000" w:rsidRPr="00000000">
        <w:rPr>
          <w:rFonts w:ascii="Palatino Linotype" w:cs="Palatino Linotype" w:eastAsia="Palatino Linotype" w:hAnsi="Palatino Linotype"/>
          <w:b w:val="1"/>
          <w:color w:val="000000"/>
          <w:rtl w:val="0"/>
        </w:rPr>
        <w:t xml:space="preserve">los Municipios</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b w:val="1"/>
          <w:color w:val="000000"/>
          <w:rtl w:val="0"/>
        </w:rPr>
        <w:t xml:space="preserve">cuyos fines son salvaguardar la vida, las libertades, la integridad y el patrimonio de las personas, así como contribuir a la generación y preservación del orden público y la paz social</w:t>
      </w:r>
      <w:r w:rsidDel="00000000" w:rsidR="00000000" w:rsidRPr="00000000">
        <w:rPr>
          <w:rFonts w:ascii="Palatino Linotype" w:cs="Palatino Linotype" w:eastAsia="Palatino Linotype" w:hAnsi="Palatino Linotype"/>
          <w:color w:val="000000"/>
          <w:rtl w:val="0"/>
        </w:rPr>
        <w:t xml:space="preserve">. Asimismo, señala que la actuación de las instituciones de seguridad pública se regirá por los principios de legalidad, objetividad, eficiencia, profesionalismo, honradez y respeto a los derechos humanos.</w:t>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Dicha circunstancia es replicada por la Ley de Seguridad del Estado de México en su artículo 1, fracciones II, III y V, las cuales señalan que dicho ordenamiento es de orden público, de interés social y de observancia general en todo el territorio del Estado de México y tiene por objeto establecer las bases de coordinación del Estado y los Municipios con la Federación, las Entidades Federativas, Municipios y Alcaldías de la Ciudad de México; integrar el Sistema Estatal de Seguridad Pública, que a su vez contribuirá con el Sistema Nacional de Seguridad Pública; para la construcción de las bases para una plena seguridad ciudadana.</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suerte que con lo señalado hasta este punto se advierte que la finalidad de la función de seguridad pública indudablemente tienen como eje central a la persona humana y, por ende, contribuyen al establecimiento de la seguridad ciudadana, la cual tiene por objeto proteger a las personas; asegurar el ejercicio de su ciudadanía, sus libertades y derechos fundamentales; establecer espacios de participación social corresponsable y armónica; propiciar la solución pacífica de los conflictos interpersonales y sociales; fortalecer a las instituciones, y propiciar condiciones durables que permitan a los ciudadanos desarrollar sus capacidades, en un ambiente de paz y democracia.</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acreditado el objeto de la seguridad pública, así como los sujetos encargados de ejecutar las acciones para consumar esta función, podemos observar con claridad la importancia de los elementos operativos que ejecutan estas acciones encaminadas a preservar el orden dentro de la dinámica social y podemos partir de este punto para determinar el riesgo de la divulgación de esta información y por ende, la procedencia de su clasificación como información reservada. </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momento podemos vislumbrar que el artículo 81, fracción II de la Ley de Seguridad del Estado de México dispone de manera expresa que toda información para la seguridad pública generada o en poder de Instituciones de Seguridad Pública o de cualquier instancia del Sistema Estatal debe clasificarse, sirve de referencia la siguiente cita:</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81.-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ind w:left="567" w:right="99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u w:val="single"/>
          <w:rtl w:val="0"/>
        </w:rPr>
        <w:t xml:space="preserve">II. Aquella cuya revelación pueda ser utilizada para actualizar o potenciar una amenaza a la seguridad pública o a las instituciones del Estado de México ;</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360" w:lineRule="auto"/>
        <w:ind w:left="567" w:right="990" w:firstLine="0"/>
        <w:jc w:val="both"/>
        <w:rPr>
          <w:rFonts w:ascii="Palatino Linotype" w:cs="Palatino Linotype" w:eastAsia="Palatino Linotype" w:hAnsi="Palatino Linotype"/>
          <w:b w:val="1"/>
          <w:i w:val="1"/>
          <w:u w:val="single"/>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armonía con esta disposición normativa, la Ley General de Transparencia y Acceso a la Información Pública, en su artículo 113, fracción I señala que deberá reservarse la información que con su publicación se comprometa a la seguridad pública y cuente con un efecto demostrable, posteriormente el artículo 140 fracción I de la Ley de Transparencia Local replica esta circunstancia de reserva, que señalan: </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284"/>
        </w:tabs>
        <w:spacing w:after="0" w:line="240" w:lineRule="auto"/>
        <w:ind w:left="567" w:right="709" w:firstLine="0"/>
        <w:jc w:val="both"/>
        <w:rPr>
          <w:rFonts w:ascii="Palatino Linotype" w:cs="Palatino Linotype" w:eastAsia="Palatino Linotype" w:hAnsi="Palatino Linotype"/>
          <w:i w:val="1"/>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284"/>
        </w:tabs>
        <w:spacing w:after="0" w:line="240" w:lineRule="auto"/>
        <w:ind w:left="567"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“Artículo 113. Como información reservada podrá clasificarse aquella cuya publicación: </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284"/>
        </w:tabs>
        <w:spacing w:after="0" w:line="240" w:lineRule="auto"/>
        <w:ind w:left="567" w:right="709"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I. Comprometa la seguridad nacional, la seguridad pública o la defensa nacional y cuente con un propósito genuino y un efecto demostrable;</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284"/>
        </w:tabs>
        <w:spacing w:after="0" w:line="240" w:lineRule="auto"/>
        <w:ind w:left="567" w:right="709"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w:t>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left" w:leader="none" w:pos="284"/>
        </w:tabs>
        <w:spacing w:after="0" w:line="240" w:lineRule="auto"/>
        <w:ind w:left="567" w:right="709" w:firstLine="0"/>
        <w:jc w:val="both"/>
        <w:rPr>
          <w:rFonts w:ascii="Palatino Linotype" w:cs="Palatino Linotype" w:eastAsia="Palatino Linotype" w:hAnsi="Palatino Linotype"/>
          <w:i w:val="1"/>
          <w:color w:val="000000"/>
        </w:rPr>
      </w:pPr>
      <w:r w:rsidDel="00000000" w:rsidR="00000000" w:rsidRPr="00000000">
        <w:rPr>
          <w:rFonts w:ascii="Palatino Linotype" w:cs="Palatino Linotype" w:eastAsia="Palatino Linotype" w:hAnsi="Palatino Linotype"/>
          <w:i w:val="1"/>
          <w:color w:val="000000"/>
          <w:rtl w:val="0"/>
        </w:rPr>
        <w:t xml:space="preserve">Artículo 140. El acceso a la información pública será restringido excepcionalmente, cuando por razones de interés público, ésta sea clasificada como reservada, conforme a los criterios siguientes: </w:t>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tabs>
          <w:tab w:val="left" w:leader="none" w:pos="284"/>
        </w:tabs>
        <w:spacing w:after="0" w:line="240" w:lineRule="auto"/>
        <w:ind w:left="567" w:right="709" w:firstLine="0"/>
        <w:jc w:val="both"/>
        <w:rPr>
          <w:rFonts w:ascii="Palatino Linotype" w:cs="Palatino Linotype" w:eastAsia="Palatino Linotype" w:hAnsi="Palatino Linotype"/>
          <w:b w:val="1"/>
          <w:i w:val="1"/>
          <w:color w:val="000000"/>
        </w:rPr>
      </w:pPr>
      <w:r w:rsidDel="00000000" w:rsidR="00000000" w:rsidRPr="00000000">
        <w:rPr>
          <w:rFonts w:ascii="Palatino Linotype" w:cs="Palatino Linotype" w:eastAsia="Palatino Linotype" w:hAnsi="Palatino Linotype"/>
          <w:b w:val="1"/>
          <w:i w:val="1"/>
          <w:color w:val="000000"/>
          <w:rtl w:val="0"/>
        </w:rPr>
        <w:t xml:space="preserve">Comprometa la seguridad pública y cuente con un propósito genuino y un efecto demostrable…”</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Posteriormente los Lineamientos Generales en Materia de Clasificación y Desclasificación de la Información, así como para la Elaboración de Versiones Públicas, publicados el 16 de abril de 2016 y reformados el 18 de noviembre de 2022 señalan en su numeral décimo octavo que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crucial señalar que estos Lineamientos señalan </w:t>
      </w:r>
      <w:r w:rsidDel="00000000" w:rsidR="00000000" w:rsidRPr="00000000">
        <w:rPr>
          <w:rFonts w:ascii="Palatino Linotype" w:cs="Palatino Linotype" w:eastAsia="Palatino Linotype" w:hAnsi="Palatino Linotype"/>
          <w:b w:val="1"/>
          <w:u w:val="single"/>
          <w:rtl w:val="0"/>
        </w:rPr>
        <w:t xml:space="preserve">que es susceptible de considerarse como reservada aquella que revele datos que pudieran ser aprovechados para conocer la capacidad de reacción de las instituciones encargadas de la seguridad pública</w:t>
      </w:r>
      <w:r w:rsidDel="00000000" w:rsidR="00000000" w:rsidRPr="00000000">
        <w:rPr>
          <w:rFonts w:ascii="Palatino Linotype" w:cs="Palatino Linotype" w:eastAsia="Palatino Linotype" w:hAnsi="Palatino Linotype"/>
          <w:rtl w:val="0"/>
        </w:rPr>
        <w:t xml:space="preserve">, sus planes, estrategias, tecnología, información, sistemas de comunicaciones.</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Hasta este punto tenemos que los instrumentos normativos que debemos observar en estricto sentido disponen puntualmente la reserva de información para los casos en los que se revele información que pueda ser empleada para conocer la capacidad de reacción, es decir, todo lo relativo a servidores públicos operativos que integran las instituciones de seguridad pública, ya que su divulgación podría ser utilizada para actualizar o potenciar una amenaza para la seguridad pública de la sociedad; teniendo esto en cuenta y trasladando estas premisas al caso particular se estima que con la entrega de información de los servidores públicos con funciones operativas adscritos a instituciones de seguridad pública, revela información actualizada sobre el número de policías operativos en activo a la fecha de la solicitud de información y en consecuencia su estado de fuerza vigente, lo cual no sólo contraviene lo dispuesto expresamente por las disposiciones previamente insertadas, sino que, además, pone en riesgo los valores jurídicos y los principios bajo los cuales de las instituciones de seguridad pública se debe regir como son la legalidad, objetividad, eficiencia, profesionalismo, honradez y respeto a los derechos humanos reconocidos en la Constitución General.</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D">
      <w:pPr>
        <w:spacing w:after="0" w:line="360" w:lineRule="auto"/>
        <w:ind w:right="-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la reserva del personal operativo procede por dos circunstancias:</w:t>
      </w:r>
    </w:p>
    <w:p w:rsidR="00000000" w:rsidDel="00000000" w:rsidP="00000000" w:rsidRDefault="00000000" w:rsidRPr="00000000" w14:paraId="0000003E">
      <w:pPr>
        <w:spacing w:after="0" w:line="360" w:lineRule="auto"/>
        <w:ind w:right="-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F">
      <w:pPr>
        <w:spacing w:after="0" w:line="360" w:lineRule="auto"/>
        <w:ind w:left="567" w:right="70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Se identifica en términos concretos cómo es que la información requerida podría comprometer el ejercicio de sus facultades constitucionales y, con ello, la seguridad pública, en virtud de que: </w:t>
      </w:r>
    </w:p>
    <w:p w:rsidR="00000000" w:rsidDel="00000000" w:rsidP="00000000" w:rsidRDefault="00000000" w:rsidRPr="00000000" w14:paraId="00000040">
      <w:pPr>
        <w:spacing w:after="0" w:line="360" w:lineRule="auto"/>
        <w:ind w:left="567" w:right="70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la información podría ser aprovechada por los grupos criminales para conocer la capacidad de reacción </w:t>
      </w:r>
    </w:p>
    <w:p w:rsidR="00000000" w:rsidDel="00000000" w:rsidP="00000000" w:rsidRDefault="00000000" w:rsidRPr="00000000" w14:paraId="00000041">
      <w:pPr>
        <w:spacing w:after="0" w:line="360" w:lineRule="auto"/>
        <w:ind w:left="567" w:right="706" w:firstLine="0"/>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rtl w:val="0"/>
        </w:rPr>
        <w:t xml:space="preserve">b) Con dicha información se revelarían a detalle las características funcionales del personal y con ello, su organización para el cumplimiento de sus funciones; y;</w:t>
      </w:r>
    </w:p>
    <w:p w:rsidR="00000000" w:rsidDel="00000000" w:rsidP="00000000" w:rsidRDefault="00000000" w:rsidRPr="00000000" w14:paraId="00000042">
      <w:pPr>
        <w:spacing w:after="0" w:line="360" w:lineRule="auto"/>
        <w:ind w:left="567" w:right="706" w:firstLine="0"/>
        <w:jc w:val="both"/>
        <w:rPr>
          <w:rFonts w:ascii="Palatino Linotype" w:cs="Palatino Linotype" w:eastAsia="Palatino Linotype" w:hAnsi="Palatino Linotype"/>
          <w:highlight w:val="yellow"/>
        </w:rPr>
      </w:pPr>
      <w:r w:rsidDel="00000000" w:rsidR="00000000" w:rsidRPr="00000000">
        <w:rPr>
          <w:rFonts w:ascii="Palatino Linotype" w:cs="Palatino Linotype" w:eastAsia="Palatino Linotype" w:hAnsi="Palatino Linotype"/>
          <w:rtl w:val="0"/>
        </w:rPr>
        <w:t xml:space="preserve">2. Existe una relación causal general entre la entrega de la información y la afectación a la seguridad pública, pues los grupos criminales estarían en posibilidad de obstaculizar o bloquear actividades encaminadas a preservar el orden dentro de la dinámica social.</w:t>
      </w:r>
      <w:r w:rsidDel="00000000" w:rsidR="00000000" w:rsidRPr="00000000">
        <w:rPr>
          <w:rtl w:val="0"/>
        </w:rPr>
      </w:r>
    </w:p>
    <w:p w:rsidR="00000000" w:rsidDel="00000000" w:rsidP="00000000" w:rsidRDefault="00000000" w:rsidRPr="00000000" w14:paraId="00000043">
      <w:pPr>
        <w:spacing w:after="0" w:line="360" w:lineRule="auto"/>
        <w:ind w:left="567" w:right="706"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entre mayor información se dé a conocer respecto del </w:t>
      </w:r>
      <w:r w:rsidDel="00000000" w:rsidR="00000000" w:rsidRPr="00000000">
        <w:rPr>
          <w:rFonts w:ascii="Palatino Linotype" w:cs="Palatino Linotype" w:eastAsia="Palatino Linotype" w:hAnsi="Palatino Linotype"/>
          <w:b w:val="1"/>
          <w:i w:val="1"/>
          <w:rtl w:val="0"/>
        </w:rPr>
        <w:t xml:space="preserve">estado de fuerza </w:t>
      </w:r>
      <w:r w:rsidDel="00000000" w:rsidR="00000000" w:rsidRPr="00000000">
        <w:rPr>
          <w:rFonts w:ascii="Palatino Linotype" w:cs="Palatino Linotype" w:eastAsia="Palatino Linotype" w:hAnsi="Palatino Linotype"/>
          <w:rtl w:val="0"/>
        </w:rPr>
        <w:t xml:space="preserve">con que cuentan el Estado y Municipios, mayor es la probabilidad de que la información pueda implementarse como medio para actualizar o potenciar una amenaza en contra de la seguridad pública de los mismos. </w:t>
      </w:r>
    </w:p>
    <w:p w:rsidR="00000000" w:rsidDel="00000000" w:rsidP="00000000" w:rsidRDefault="00000000" w:rsidRPr="00000000" w14:paraId="00000044">
      <w:pPr>
        <w:spacing w:after="0" w:line="360" w:lineRule="auto"/>
        <w:ind w:right="13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5">
      <w:pPr>
        <w:spacing w:after="0" w:line="360" w:lineRule="auto"/>
        <w:ind w:right="13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pasa inadvertido para la suscrita que en los casos en los que se publiciten diversas notas o documentos en los que se dé a conocer información estadística sobre el número de elementos de policía con los que cuentan los ayuntamientos, esta información no se encuentra actualizada a la fecha de la solicitud, aunado a que no se hace una distinción entre el número de personal operativo y administrativo. </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En consecuencia, la información de los elementos operativos adscrito a instituciones de seguridad pública,  deben recibir un tratamiento de carácter excepcional, y esto es en razón de que,  son los responsables de procurar el orden, la estabilidad y la defensa de la sociedad a la que pertenecen, por lo que, se estima que al proporcionar dicha información se revela el número de servidores públicos operativos con funciones de seguridad pública activos en el Sujeto obligado; información con la que se da a conocer el estado de fuerza y la capacidad de reacción del órgano público.</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49">
      <w:pPr>
        <w:spacing w:after="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 suscrita considera que es de vital importancia señalar que para los casos en los que los particulares deseen conocer las remuneraciones de los elementos operativos de las instituciones de seguridad pública, estas se pueden otorgar mediante el tabulador de sueldos, pues en este soporte se asientan los puestos funcionales y las remuneraciones, lo anterior encuentra sustento en el Instructivo del módulo 4 para la entrega del informe trimestral 2022, en dicho documento obran los siguientes elementos:</w:t>
      </w:r>
    </w:p>
    <w:p w:rsidR="00000000" w:rsidDel="00000000" w:rsidP="00000000" w:rsidRDefault="00000000" w:rsidRPr="00000000" w14:paraId="0000004A">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B">
      <w:pPr>
        <w:spacing w:after="0"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-269871</wp:posOffset>
            </wp:positionH>
            <wp:positionV relativeFrom="paragraph">
              <wp:posOffset>278765</wp:posOffset>
            </wp:positionV>
            <wp:extent cx="5669280" cy="5453380"/>
            <wp:effectExtent b="0" l="0" r="0" t="0"/>
            <wp:wrapTopAndBottom distB="0" distT="0"/>
            <wp:docPr id="23731340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669280" cy="5453380"/>
                    </a:xfrm>
                    <a:prstGeom prst="rect"/>
                    <a:ln/>
                  </pic:spPr>
                </pic:pic>
              </a:graphicData>
            </a:graphic>
          </wp:anchor>
        </w:drawing>
      </w:r>
    </w:p>
    <w:p w:rsidR="00000000" w:rsidDel="00000000" w:rsidP="00000000" w:rsidRDefault="00000000" w:rsidRPr="00000000" w14:paraId="0000004C">
      <w:pPr>
        <w:spacing w:after="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120"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-88896</wp:posOffset>
            </wp:positionH>
            <wp:positionV relativeFrom="paragraph">
              <wp:posOffset>19050</wp:posOffset>
            </wp:positionV>
            <wp:extent cx="5572760" cy="7069455"/>
            <wp:effectExtent b="0" l="0" r="0" t="0"/>
            <wp:wrapTopAndBottom distB="0" distT="0"/>
            <wp:docPr id="23731340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572760" cy="7069455"/>
                    </a:xfrm>
                    <a:prstGeom prst="rect"/>
                    <a:ln/>
                  </pic:spPr>
                </pic:pic>
              </a:graphicData>
            </a:graphic>
          </wp:anchor>
        </w:drawing>
      </w:r>
    </w:p>
    <w:p w:rsidR="00000000" w:rsidDel="00000000" w:rsidP="00000000" w:rsidRDefault="00000000" w:rsidRPr="00000000" w14:paraId="0000004E">
      <w:pPr>
        <w:spacing w:after="240" w:before="240" w:line="360" w:lineRule="auto"/>
        <w:ind w:right="13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manera que con la consulta de este documento podrá visualizarse con claridad el cargo y la remuneración sin conocer el estado de fuerza de las entidades públicas y así no se restringe el derecho de acceso a la información de los particulares; es por todo lo anteriormente expuesto que considero que en las líneas argumentativas que anteceden, se acreditó de manera fehaciente que esta información debe ser reservada pues su entrega revela datos que pudieran ser aprovechados para conocer la capacidad de reacción de las instituciones encargadas de la seguridad pública y </w:t>
      </w:r>
      <w:r w:rsidDel="00000000" w:rsidR="00000000" w:rsidRPr="00000000">
        <w:rPr>
          <w:rFonts w:ascii="Palatino Linotype" w:cs="Palatino Linotype" w:eastAsia="Palatino Linotype" w:hAnsi="Palatino Linotype"/>
          <w:b w:val="1"/>
          <w:u w:val="single"/>
          <w:rtl w:val="0"/>
        </w:rPr>
        <w:t xml:space="preserve">facilitaría a las cédulas delictivas el neutralizar las acciones implementadas o por implementar para la preservación de la paz pública, afectando así su estado de fuerza, o bien les permita </w:t>
      </w:r>
      <w:r w:rsidDel="00000000" w:rsidR="00000000" w:rsidRPr="00000000">
        <w:rPr>
          <w:rFonts w:ascii="Palatino Linotype" w:cs="Palatino Linotype" w:eastAsia="Palatino Linotype" w:hAnsi="Palatino Linotype"/>
          <w:rtl w:val="0"/>
        </w:rPr>
        <w:t xml:space="preserve">realizar actos para amenazar, inhibir, extorsionar o corromper las funciones del personal operativo, lo que causaría una vulneración a la Seguridad Municipal, por lo tanto la suscrita no comparte las consideraciones vertidas en la resolución respecto del tratamiento que se le da a la información relativa a elementos operativos de instituciones de seguridad pública, y  por ende formula el presente voto particular. </w:t>
      </w:r>
    </w:p>
    <w:p w:rsidR="00000000" w:rsidDel="00000000" w:rsidP="00000000" w:rsidRDefault="00000000" w:rsidRPr="00000000" w14:paraId="0000004F">
      <w:pPr>
        <w:spacing w:after="240" w:before="240" w:line="360" w:lineRule="auto"/>
        <w:ind w:right="139"/>
        <w:jc w:val="both"/>
        <w:rPr>
          <w:rFonts w:ascii="Palatino Linotype" w:cs="Palatino Linotype" w:eastAsia="Palatino Linotype" w:hAnsi="Palatino Linotype"/>
        </w:rPr>
        <w:sectPr>
          <w:headerReference r:id="rId9" w:type="default"/>
          <w:headerReference r:id="rId10" w:type="even"/>
          <w:footerReference r:id="rId11" w:type="default"/>
          <w:pgSz w:h="15840" w:w="12240" w:orient="portrait"/>
          <w:pgMar w:bottom="2836" w:top="1871" w:left="1985" w:right="1327" w:header="709" w:footer="586"/>
          <w:pgNumType w:start="1"/>
        </w:sectPr>
      </w:pPr>
      <w:r w:rsidDel="00000000" w:rsidR="00000000" w:rsidRPr="00000000">
        <w:rPr>
          <w:rtl w:val="0"/>
        </w:rPr>
      </w:r>
    </w:p>
    <w:p w:rsidR="00000000" w:rsidDel="00000000" w:rsidP="00000000" w:rsidRDefault="00000000" w:rsidRPr="00000000" w14:paraId="00000050">
      <w:pPr>
        <w:spacing w:after="0" w:line="360" w:lineRule="auto"/>
        <w:ind w:right="423"/>
        <w:jc w:val="both"/>
        <w:rPr>
          <w:rFonts w:ascii="Palatino Linotype" w:cs="Palatino Linotype" w:eastAsia="Palatino Linotype" w:hAnsi="Palatino Linotype"/>
        </w:rPr>
      </w:pPr>
      <w:r w:rsidDel="00000000" w:rsidR="00000000" w:rsidRPr="00000000">
        <w:rPr>
          <w:rtl w:val="0"/>
        </w:rPr>
      </w:r>
    </w:p>
    <w:sectPr>
      <w:headerReference r:id="rId12" w:type="default"/>
      <w:type w:val="nextPage"/>
      <w:pgSz w:h="15840" w:w="12240" w:orient="portrait"/>
      <w:pgMar w:bottom="2836" w:top="1871" w:left="1985" w:right="1327" w:header="709" w:footer="58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Times New Roman" w:cs="Times New Roman" w:eastAsia="Times New Roman" w:hAnsi="Times New Roman"/>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mc:AlternateContent>
        <mc:Choice Requires="wpg">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30143760" cy="30143760"/>
              <wp:effectExtent b="0" l="0" r="0" t="0"/>
              <wp:wrapNone/>
              <wp:docPr id="237313407" name=""/>
              <a:graphic>
                <a:graphicData uri="http://schemas.microsoft.com/office/word/2010/wordprocessingShape">
                  <wps:wsp>
                    <wps:cNvSpPr/>
                    <wps:cNvPr id="2" name="Shape 2"/>
                    <wps:spPr>
                      <a:xfrm rot="-2700000">
                        <a:off x="2440875" y="2945610"/>
                        <a:ext cx="5810250" cy="166878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ed7d31"/>
                              <w:sz w:val="144"/>
                              <w:vertAlign w:val="baseline"/>
                            </w:rPr>
                            <w:t xml:space="preserve">VOTO DISIDENTE</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align>center</wp:align>
              </wp:positionH>
              <wp:positionV relativeFrom="margin">
                <wp:align>center</wp:align>
              </wp:positionV>
              <wp:extent cx="30143760" cy="30143760"/>
              <wp:effectExtent b="0" l="0" r="0" t="0"/>
              <wp:wrapNone/>
              <wp:docPr id="23731340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30143760" cy="3014376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-666746</wp:posOffset>
          </wp:positionH>
          <wp:positionV relativeFrom="paragraph">
            <wp:posOffset>-366391</wp:posOffset>
          </wp:positionV>
          <wp:extent cx="7510628" cy="9883775"/>
          <wp:effectExtent b="0" l="0" r="0" t="0"/>
          <wp:wrapNone/>
          <wp:docPr id="237313410"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510628" cy="9883775"/>
                  </a:xfrm>
                  <a:prstGeom prst="rect"/>
                  <a:ln/>
                </pic:spPr>
              </pic:pic>
            </a:graphicData>
          </a:graphic>
        </wp:anchor>
      </w:drawing>
    </w:r>
  </w:p>
  <w:p w:rsidR="00000000" w:rsidDel="00000000" w:rsidP="00000000" w:rsidRDefault="00000000" w:rsidRPr="00000000" w14:paraId="0000005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b w:val="1"/>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VOTO PARTICULAR </w:t>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left="2552" w:firstLine="0"/>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   RECURSOS DE REVISIÓN 01705/INFOEM/IP/RR/2023 </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color w:val="000000"/>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rFonts w:ascii="Palatino Linotype" w:cs="Palatino Linotype" w:eastAsia="Palatino Linotype" w:hAnsi="Palatino Linotype"/>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1712" w:hanging="720.0000000000001"/>
      </w:pPr>
      <w:rPr/>
    </w:lvl>
    <w:lvl w:ilvl="1">
      <w:start w:val="1"/>
      <w:numFmt w:val="lowerLetter"/>
      <w:lvlText w:val="%2."/>
      <w:lvlJc w:val="left"/>
      <w:pPr>
        <w:ind w:left="2072" w:hanging="360"/>
      </w:pPr>
      <w:rPr/>
    </w:lvl>
    <w:lvl w:ilvl="2">
      <w:start w:val="1"/>
      <w:numFmt w:val="lowerRoman"/>
      <w:lvlText w:val="%3."/>
      <w:lvlJc w:val="right"/>
      <w:pPr>
        <w:ind w:left="2792" w:hanging="180"/>
      </w:pPr>
      <w:rPr/>
    </w:lvl>
    <w:lvl w:ilvl="3">
      <w:start w:val="1"/>
      <w:numFmt w:val="decimal"/>
      <w:lvlText w:val="%4."/>
      <w:lvlJc w:val="left"/>
      <w:pPr>
        <w:ind w:left="3512" w:hanging="360"/>
      </w:pPr>
      <w:rPr/>
    </w:lvl>
    <w:lvl w:ilvl="4">
      <w:start w:val="1"/>
      <w:numFmt w:val="lowerLetter"/>
      <w:lvlText w:val="%5."/>
      <w:lvlJc w:val="left"/>
      <w:pPr>
        <w:ind w:left="4232" w:hanging="360"/>
      </w:pPr>
      <w:rPr/>
    </w:lvl>
    <w:lvl w:ilvl="5">
      <w:start w:val="1"/>
      <w:numFmt w:val="lowerRoman"/>
      <w:lvlText w:val="%6."/>
      <w:lvlJc w:val="right"/>
      <w:pPr>
        <w:ind w:left="4952" w:hanging="180"/>
      </w:pPr>
      <w:rPr/>
    </w:lvl>
    <w:lvl w:ilvl="6">
      <w:start w:val="1"/>
      <w:numFmt w:val="decimal"/>
      <w:lvlText w:val="%7."/>
      <w:lvlJc w:val="left"/>
      <w:pPr>
        <w:ind w:left="5672" w:hanging="360"/>
      </w:pPr>
      <w:rPr/>
    </w:lvl>
    <w:lvl w:ilvl="7">
      <w:start w:val="1"/>
      <w:numFmt w:val="lowerLetter"/>
      <w:lvlText w:val="%8."/>
      <w:lvlJc w:val="left"/>
      <w:pPr>
        <w:ind w:left="6392" w:hanging="360"/>
      </w:pPr>
      <w:rPr/>
    </w:lvl>
    <w:lvl w:ilvl="8">
      <w:start w:val="1"/>
      <w:numFmt w:val="lowerRoman"/>
      <w:lvlText w:val="%9."/>
      <w:lvlJc w:val="right"/>
      <w:pPr>
        <w:ind w:left="7112"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607BA"/>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0607BA"/>
    <w:pPr>
      <w:tabs>
        <w:tab w:val="center" w:pos="4419"/>
        <w:tab w:val="right" w:pos="8838"/>
      </w:tabs>
      <w:spacing w:after="0" w:line="240" w:lineRule="auto"/>
    </w:pPr>
    <w:rPr>
      <w:rFonts w:ascii="Times New Roman" w:cs="Times New Roman" w:eastAsia="Times New Roman" w:hAnsi="Times New Roman"/>
      <w:sz w:val="24"/>
      <w:szCs w:val="24"/>
      <w:lang w:eastAsia="es-ES"/>
    </w:rPr>
  </w:style>
  <w:style w:type="character" w:styleId="EncabezadoCar" w:customStyle="1">
    <w:name w:val="Encabezado Car"/>
    <w:basedOn w:val="Fuentedeprrafopredeter"/>
    <w:link w:val="Encabezado"/>
    <w:uiPriority w:val="99"/>
    <w:rsid w:val="000607BA"/>
    <w:rPr>
      <w:rFonts w:ascii="Times New Roman" w:cs="Times New Roman" w:eastAsia="Times New Roman" w:hAnsi="Times New Roman"/>
      <w:sz w:val="24"/>
      <w:szCs w:val="24"/>
      <w:lang w:eastAsia="es-ES" w:val="es-ES"/>
    </w:rPr>
  </w:style>
  <w:style w:type="paragraph" w:styleId="Piedepgina">
    <w:name w:val="footer"/>
    <w:basedOn w:val="Normal"/>
    <w:link w:val="PiedepginaCar"/>
    <w:uiPriority w:val="99"/>
    <w:unhideWhenUsed w:val="1"/>
    <w:rsid w:val="000607BA"/>
    <w:pPr>
      <w:tabs>
        <w:tab w:val="center" w:pos="4419"/>
        <w:tab w:val="right" w:pos="8838"/>
      </w:tabs>
      <w:spacing w:after="0" w:line="240" w:lineRule="auto"/>
    </w:pPr>
    <w:rPr>
      <w:rFonts w:ascii="Times New Roman" w:cs="Times New Roman" w:eastAsia="Times New Roman" w:hAnsi="Times New Roman"/>
      <w:sz w:val="24"/>
      <w:szCs w:val="24"/>
      <w:lang w:eastAsia="es-ES"/>
    </w:rPr>
  </w:style>
  <w:style w:type="character" w:styleId="PiedepginaCar" w:customStyle="1">
    <w:name w:val="Pie de página Car"/>
    <w:basedOn w:val="Fuentedeprrafopredeter"/>
    <w:link w:val="Piedepgina"/>
    <w:uiPriority w:val="99"/>
    <w:rsid w:val="000607BA"/>
    <w:rPr>
      <w:rFonts w:ascii="Times New Roman" w:cs="Times New Roman" w:eastAsia="Times New Roman" w:hAnsi="Times New Roman"/>
      <w:sz w:val="24"/>
      <w:szCs w:val="24"/>
      <w:lang w:eastAsia="es-ES" w:val="es-ES"/>
    </w:rPr>
  </w:style>
  <w:style w:type="paragraph" w:styleId="NormalWeb">
    <w:name w:val="Normal (Web)"/>
    <w:basedOn w:val="Normal"/>
    <w:uiPriority w:val="99"/>
    <w:rsid w:val="000607BA"/>
    <w:pPr>
      <w:spacing w:after="100" w:afterAutospacing="1" w:before="100" w:beforeAutospacing="1" w:line="240" w:lineRule="auto"/>
    </w:pPr>
    <w:rPr>
      <w:rFonts w:ascii="Times New Roman" w:cs="Times New Roman" w:eastAsia="Times New Roman" w:hAnsi="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val="1"/>
    <w:rsid w:val="000607BA"/>
    <w:pPr>
      <w:spacing w:after="0" w:line="240" w:lineRule="auto"/>
      <w:ind w:left="720"/>
      <w:contextualSpacing w:val="1"/>
    </w:pPr>
    <w:rPr>
      <w:rFonts w:ascii="Times New Roman" w:cs="Times New Roman" w:hAnsi="Times New Roman"/>
      <w:sz w:val="24"/>
      <w:szCs w:val="24"/>
      <w:lang w:eastAsia="es-ES"/>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0607BA"/>
    <w:rPr>
      <w:rFonts w:ascii="Times New Roman" w:cs="Times New Roman" w:eastAsia="Calibri" w:hAnsi="Times New Roman"/>
      <w:sz w:val="24"/>
      <w:szCs w:val="24"/>
      <w:lang w:eastAsia="es-ES" w:val="es-ES"/>
    </w:rPr>
  </w:style>
  <w:style w:type="paragraph" w:styleId="Textodeglobo">
    <w:name w:val="Balloon Text"/>
    <w:basedOn w:val="Normal"/>
    <w:link w:val="TextodegloboCar"/>
    <w:uiPriority w:val="99"/>
    <w:semiHidden w:val="1"/>
    <w:unhideWhenUsed w:val="1"/>
    <w:rsid w:val="00456467"/>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456467"/>
    <w:rPr>
      <w:rFonts w:ascii="Segoe UI" w:cs="Segoe UI" w:hAnsi="Segoe UI"/>
      <w:sz w:val="18"/>
      <w:szCs w:val="18"/>
    </w:rPr>
  </w:style>
  <w:style w:type="character" w:styleId="apple-converted-space" w:customStyle="1">
    <w:name w:val="apple-converted-space"/>
    <w:basedOn w:val="Fuentedeprrafopredeter"/>
    <w:rsid w:val="002618A9"/>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921613"/>
    <w:pPr>
      <w:spacing w:after="0" w:line="240" w:lineRule="auto"/>
    </w:pPr>
    <w:rPr>
      <w:sz w:val="20"/>
      <w:szCs w:val="20"/>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1613"/>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921613"/>
    <w:rPr>
      <w:vertAlign w:val="superscript"/>
    </w:rPr>
  </w:style>
  <w:style w:type="character" w:styleId="Hipervnculo">
    <w:name w:val="Hyperlink"/>
    <w:basedOn w:val="Fuentedeprrafopredeter"/>
    <w:uiPriority w:val="99"/>
    <w:semiHidden w:val="1"/>
    <w:unhideWhenUsed w:val="1"/>
    <w:rsid w:val="00696A57"/>
    <w:rPr>
      <w:color w:val="0000ff"/>
      <w:u w:val="singl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Tablaconcuadrcula">
    <w:name w:val="Table Grid"/>
    <w:basedOn w:val="Tablanormal"/>
    <w:uiPriority w:val="59"/>
    <w:rsid w:val="00CF5F43"/>
    <w:pPr>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inespaciado">
    <w:name w:val="No Spacing"/>
    <w:aliases w:val="Francesa,INAI,fundamentos"/>
    <w:link w:val="SinespaciadoCar"/>
    <w:uiPriority w:val="1"/>
    <w:qFormat w:val="1"/>
    <w:rsid w:val="003B565F"/>
    <w:pPr>
      <w:spacing w:after="0" w:line="240" w:lineRule="auto"/>
    </w:pPr>
    <w:rPr>
      <w:rFonts w:ascii="Times New Roman" w:cs="Times New Roman" w:eastAsia="Times New Roman" w:hAnsi="Times New Roman"/>
      <w:sz w:val="24"/>
      <w:szCs w:val="24"/>
      <w:lang w:eastAsia="es-ES" w:val="es-MX"/>
    </w:rPr>
  </w:style>
  <w:style w:type="character" w:styleId="SinespaciadoCar" w:customStyle="1">
    <w:name w:val="Sin espaciado Car"/>
    <w:aliases w:val="Francesa Car,INAI Car,fundamentos Car"/>
    <w:link w:val="Sinespaciado"/>
    <w:uiPriority w:val="1"/>
    <w:qFormat w:val="1"/>
    <w:locked w:val="1"/>
    <w:rsid w:val="003B565F"/>
    <w:rPr>
      <w:rFonts w:ascii="Times New Roman" w:cs="Times New Roman" w:eastAsia="Times New Roman" w:hAnsi="Times New Roman"/>
      <w:sz w:val="24"/>
      <w:szCs w:val="24"/>
      <w:lang w:eastAsia="es-ES" w:val="es-MX"/>
    </w:rPr>
  </w:style>
  <w:style w:type="table" w:styleId="Tablaconcuadrcula1" w:customStyle="1">
    <w:name w:val="Tabla con cuadrícula1"/>
    <w:basedOn w:val="Tablanormal"/>
    <w:next w:val="Tablaconcuadrcula"/>
    <w:uiPriority w:val="39"/>
    <w:rsid w:val="001A1BDB"/>
    <w:pPr>
      <w:spacing w:after="0" w:line="240" w:lineRule="auto"/>
    </w:pPr>
    <w:rPr>
      <w:rFonts w:asciiTheme="minorHAnsi" w:cstheme="minorBidi" w:eastAsiaTheme="minorHAnsi" w:hAnsiTheme="minorHAnsi"/>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 w:customStyle="1">
    <w:basedOn w:val="TableNormal2"/>
    <w:pPr>
      <w:spacing w:after="0" w:line="240" w:lineRule="auto"/>
    </w:pPr>
    <w:tblPr>
      <w:tblStyleRowBandSize w:val="1"/>
      <w:tblStyleColBandSize w:val="1"/>
      <w:tblCellMar>
        <w:left w:w="108.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header" Target="header3.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Z5f8xog7wZCSHB1Wpl91ryAjCQ==">CgMxLjAyCGguZ2pkZ3hzMg5oLjNoZXN0YWNzZzRweDIJaC4zMGowemxsOAByITFPYVFMYS1QU2NwU0p5RHdKSVE4ejZXWk1PaWx1LVNodg==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2023-10-17T20:06:00Z</dcterms:created>
  <dc:creator>USUARIO</dc:creator>
</cp:coreProperties>
</file>