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33B71" w14:textId="737CEA26" w:rsidR="00F90EAD" w:rsidRDefault="00F90EAD" w:rsidP="00F90EAD">
      <w:pPr>
        <w:pBdr>
          <w:top w:val="nil"/>
          <w:left w:val="nil"/>
          <w:bottom w:val="nil"/>
          <w:right w:val="nil"/>
          <w:between w:val="nil"/>
        </w:pBdr>
        <w:tabs>
          <w:tab w:val="center" w:pos="4252"/>
          <w:tab w:val="right" w:pos="8504"/>
        </w:tabs>
        <w:spacing w:after="0" w:line="360" w:lineRule="auto"/>
        <w:ind w:right="57"/>
        <w:contextualSpacing/>
        <w:jc w:val="both"/>
        <w:rPr>
          <w:rFonts w:ascii="Palatino Linotype" w:eastAsia="Palatino Linotype" w:hAnsi="Palatino Linotype" w:cs="Palatino Linotype"/>
          <w:b/>
          <w:color w:val="000000"/>
        </w:rPr>
      </w:pPr>
      <w:bookmarkStart w:id="0" w:name="_Hlk137142425"/>
      <w:r w:rsidRPr="009602AD">
        <w:rPr>
          <w:rFonts w:ascii="Palatino Linotype" w:eastAsia="Palatino Linotype" w:hAnsi="Palatino Linotype" w:cs="Palatino Linotype"/>
          <w:b/>
          <w:color w:val="000000"/>
        </w:rPr>
        <w:t>VOTO</w:t>
      </w:r>
      <w:r>
        <w:rPr>
          <w:rFonts w:ascii="Palatino Linotype" w:eastAsia="Palatino Linotype" w:hAnsi="Palatino Linotype" w:cs="Palatino Linotype"/>
          <w:b/>
          <w:color w:val="000000"/>
        </w:rPr>
        <w:t xml:space="preserve"> </w:t>
      </w:r>
      <w:r w:rsidR="00B93084">
        <w:rPr>
          <w:rFonts w:ascii="Palatino Linotype" w:eastAsia="Palatino Linotype" w:hAnsi="Palatino Linotype" w:cs="Palatino Linotype"/>
          <w:b/>
          <w:color w:val="000000"/>
        </w:rPr>
        <w:t>PARTICULAR</w:t>
      </w:r>
      <w:r w:rsidRPr="009602AD">
        <w:rPr>
          <w:rFonts w:ascii="Palatino Linotype" w:eastAsia="Palatino Linotype" w:hAnsi="Palatino Linotype" w:cs="Palatino Linotype"/>
          <w:b/>
          <w:color w:val="000000"/>
        </w:rPr>
        <w:t xml:space="preserve"> QUE FORMULA EL COMISIONADO LUIS GUSTAVO PARRA NORIEGA, A LA RESOLUCIÓN DEL RECURSO DE REVISIÓN </w:t>
      </w:r>
      <w:r w:rsidR="00587EB5">
        <w:rPr>
          <w:rFonts w:ascii="Palatino Linotype" w:eastAsia="Palatino Linotype" w:hAnsi="Palatino Linotype" w:cs="Palatino Linotype"/>
          <w:b/>
          <w:color w:val="000000"/>
        </w:rPr>
        <w:t>03445</w:t>
      </w:r>
      <w:r w:rsidRPr="009602AD">
        <w:rPr>
          <w:rFonts w:ascii="Palatino Linotype" w:eastAsia="Palatino Linotype" w:hAnsi="Palatino Linotype" w:cs="Palatino Linotype"/>
          <w:b/>
          <w:color w:val="000000"/>
        </w:rPr>
        <w:t>/INFOEM/IP/RR/202</w:t>
      </w:r>
      <w:r w:rsidR="00587EB5">
        <w:rPr>
          <w:rFonts w:ascii="Palatino Linotype" w:eastAsia="Palatino Linotype" w:hAnsi="Palatino Linotype" w:cs="Palatino Linotype"/>
          <w:b/>
          <w:color w:val="000000"/>
        </w:rPr>
        <w:t>3</w:t>
      </w:r>
      <w:r w:rsidRPr="009602AD">
        <w:rPr>
          <w:rFonts w:ascii="Palatino Linotype" w:eastAsia="Palatino Linotype" w:hAnsi="Palatino Linotype" w:cs="Palatino Linotype"/>
          <w:b/>
          <w:color w:val="000000"/>
        </w:rPr>
        <w:t xml:space="preserve">, PROMOVIDO EN CONTRA </w:t>
      </w:r>
      <w:r>
        <w:rPr>
          <w:rFonts w:ascii="Palatino Linotype" w:eastAsia="Palatino Linotype" w:hAnsi="Palatino Linotype" w:cs="Palatino Linotype"/>
          <w:b/>
          <w:color w:val="000000"/>
        </w:rPr>
        <w:t xml:space="preserve">DEL </w:t>
      </w:r>
      <w:r w:rsidR="00587EB5">
        <w:rPr>
          <w:rFonts w:ascii="Palatino Linotype" w:hAnsi="Palatino Linotype"/>
          <w:b/>
        </w:rPr>
        <w:t>AYUNTAMIENTO DE SAN ANTONIO LA ISLA</w:t>
      </w:r>
      <w:r>
        <w:rPr>
          <w:rFonts w:ascii="Palatino Linotype" w:hAnsi="Palatino Linotype"/>
          <w:b/>
        </w:rPr>
        <w:t>.</w:t>
      </w:r>
    </w:p>
    <w:p w14:paraId="04BC4B86" w14:textId="77777777" w:rsidR="00F90EAD" w:rsidRDefault="00F90EAD" w:rsidP="00F90EAD">
      <w:pPr>
        <w:pBdr>
          <w:top w:val="nil"/>
          <w:left w:val="nil"/>
          <w:bottom w:val="nil"/>
          <w:right w:val="nil"/>
          <w:between w:val="nil"/>
        </w:pBdr>
        <w:tabs>
          <w:tab w:val="center" w:pos="4252"/>
          <w:tab w:val="right" w:pos="8504"/>
        </w:tabs>
        <w:spacing w:after="0" w:line="360" w:lineRule="auto"/>
        <w:contextualSpacing/>
        <w:jc w:val="both"/>
        <w:rPr>
          <w:rFonts w:ascii="Palatino Linotype" w:eastAsia="Palatino Linotype" w:hAnsi="Palatino Linotype" w:cs="Palatino Linotype"/>
          <w:color w:val="000000"/>
        </w:rPr>
      </w:pPr>
    </w:p>
    <w:p w14:paraId="46AA159E" w14:textId="5B058436" w:rsidR="00F90EAD" w:rsidRDefault="00F90EAD" w:rsidP="00F90EAD">
      <w:pPr>
        <w:tabs>
          <w:tab w:val="left" w:pos="1843"/>
        </w:tabs>
        <w:spacing w:after="0" w:line="360" w:lineRule="auto"/>
        <w:contextualSpacing/>
        <w:jc w:val="both"/>
        <w:rPr>
          <w:rFonts w:ascii="Palatino Linotype" w:eastAsia="Palatino Linotype" w:hAnsi="Palatino Linotype" w:cs="Palatino Linotype"/>
          <w:b/>
        </w:rPr>
      </w:pPr>
      <w:r>
        <w:rPr>
          <w:rFonts w:ascii="Palatino Linotype" w:eastAsia="Palatino Linotype" w:hAnsi="Palatino Linotype" w:cs="Palatino Linotype"/>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eastAsia="Palatino Linotype" w:hAnsi="Palatino Linotype" w:cs="Palatino Linotype"/>
          <w:b/>
        </w:rPr>
        <w:t xml:space="preserve">Voto </w:t>
      </w:r>
      <w:r w:rsidR="00B93084">
        <w:rPr>
          <w:rFonts w:ascii="Palatino Linotype" w:eastAsia="Palatino Linotype" w:hAnsi="Palatino Linotype" w:cs="Palatino Linotype"/>
          <w:b/>
        </w:rPr>
        <w:t>Particular</w:t>
      </w:r>
      <w:r>
        <w:rPr>
          <w:rFonts w:ascii="Palatino Linotype" w:eastAsia="Palatino Linotype" w:hAnsi="Palatino Linotype" w:cs="Palatino Linotype"/>
        </w:rPr>
        <w:t xml:space="preserve"> por no compartir las consideraciones que sustentan la Resolución del Recurso de Revisión </w:t>
      </w:r>
      <w:r w:rsidR="00587EB5">
        <w:rPr>
          <w:rFonts w:ascii="Palatino Linotype" w:eastAsia="Palatino Linotype" w:hAnsi="Palatino Linotype" w:cs="Palatino Linotype"/>
          <w:b/>
        </w:rPr>
        <w:t>03445</w:t>
      </w:r>
      <w:r>
        <w:rPr>
          <w:rFonts w:ascii="Palatino Linotype" w:eastAsia="Palatino Linotype" w:hAnsi="Palatino Linotype" w:cs="Palatino Linotype"/>
          <w:b/>
        </w:rPr>
        <w:t>/INFOEM/IP/RR/202</w:t>
      </w:r>
      <w:r w:rsidR="00587EB5">
        <w:rPr>
          <w:rFonts w:ascii="Palatino Linotype" w:eastAsia="Palatino Linotype" w:hAnsi="Palatino Linotype" w:cs="Palatino Linotype"/>
          <w:b/>
        </w:rPr>
        <w:t>3</w:t>
      </w:r>
      <w:r>
        <w:rPr>
          <w:rFonts w:ascii="Palatino Linotype" w:eastAsia="Palatino Linotype" w:hAnsi="Palatino Linotype" w:cs="Palatino Linotype"/>
          <w:b/>
        </w:rPr>
        <w:t>.</w:t>
      </w:r>
    </w:p>
    <w:p w14:paraId="060C223F" w14:textId="77777777" w:rsidR="00F90EAD" w:rsidRDefault="00F90EAD" w:rsidP="00F90EAD">
      <w:pPr>
        <w:tabs>
          <w:tab w:val="left" w:pos="1843"/>
        </w:tabs>
        <w:spacing w:after="0" w:line="360" w:lineRule="auto"/>
        <w:contextualSpacing/>
        <w:jc w:val="both"/>
        <w:rPr>
          <w:rFonts w:ascii="Palatino Linotype" w:eastAsia="Palatino Linotype" w:hAnsi="Palatino Linotype" w:cs="Palatino Linotype"/>
        </w:rPr>
      </w:pPr>
    </w:p>
    <w:p w14:paraId="1A8A882E" w14:textId="62D03F29" w:rsidR="00F90EAD" w:rsidRDefault="00F90EAD" w:rsidP="00F90EAD">
      <w:pPr>
        <w:spacing w:after="0" w:line="360" w:lineRule="auto"/>
        <w:contextualSpacing/>
        <w:jc w:val="both"/>
        <w:rPr>
          <w:rFonts w:ascii="Palatino Linotype" w:hAnsi="Palatino Linotype"/>
        </w:rPr>
      </w:pPr>
      <w:r>
        <w:rPr>
          <w:rFonts w:ascii="Palatino Linotype" w:eastAsia="Palatino Linotype" w:hAnsi="Palatino Linotype" w:cs="Palatino Linotype"/>
        </w:rPr>
        <w:t xml:space="preserve">Como se desprende de la Resolución en comento, el Particular </w:t>
      </w:r>
      <w:r w:rsidR="00587EB5">
        <w:rPr>
          <w:rFonts w:ascii="Palatino Linotype" w:eastAsia="Palatino Linotype" w:hAnsi="Palatino Linotype" w:cs="Palatino Linotype"/>
        </w:rPr>
        <w:t>requirió</w:t>
      </w:r>
      <w:r w:rsidR="00B93084">
        <w:rPr>
          <w:rFonts w:ascii="Palatino Linotype" w:eastAsia="Palatino Linotype" w:hAnsi="Palatino Linotype" w:cs="Palatino Linotype"/>
        </w:rPr>
        <w:t xml:space="preserve"> saber por qué se realizaba e</w:t>
      </w:r>
      <w:r w:rsidR="00587EB5">
        <w:rPr>
          <w:rFonts w:ascii="Palatino Linotype" w:eastAsia="Palatino Linotype" w:hAnsi="Palatino Linotype" w:cs="Palatino Linotype"/>
        </w:rPr>
        <w:t>l cobro de servicios deportivos</w:t>
      </w:r>
      <w:r w:rsidR="00C53F74">
        <w:rPr>
          <w:rFonts w:ascii="Palatino Linotype" w:eastAsia="Palatino Linotype" w:hAnsi="Palatino Linotype" w:cs="Palatino Linotype"/>
        </w:rPr>
        <w:t xml:space="preserve"> a los usuarios </w:t>
      </w:r>
      <w:r w:rsidR="000174C3">
        <w:rPr>
          <w:rFonts w:ascii="Palatino Linotype" w:eastAsia="Palatino Linotype" w:hAnsi="Palatino Linotype" w:cs="Palatino Linotype"/>
        </w:rPr>
        <w:t>de</w:t>
      </w:r>
      <w:r w:rsidR="00C53F74">
        <w:rPr>
          <w:rFonts w:ascii="Palatino Linotype" w:eastAsia="Palatino Linotype" w:hAnsi="Palatino Linotype" w:cs="Palatino Linotype"/>
        </w:rPr>
        <w:t xml:space="preserve"> l</w:t>
      </w:r>
      <w:r w:rsidR="000174C3">
        <w:rPr>
          <w:rFonts w:ascii="Palatino Linotype" w:eastAsia="Palatino Linotype" w:hAnsi="Palatino Linotype" w:cs="Palatino Linotype"/>
        </w:rPr>
        <w:t>o</w:t>
      </w:r>
      <w:r w:rsidR="00C53F74">
        <w:rPr>
          <w:rFonts w:ascii="Palatino Linotype" w:eastAsia="Palatino Linotype" w:hAnsi="Palatino Linotype" w:cs="Palatino Linotype"/>
        </w:rPr>
        <w:t xml:space="preserve">s </w:t>
      </w:r>
      <w:r w:rsidR="000174C3">
        <w:rPr>
          <w:rFonts w:ascii="Palatino Linotype" w:eastAsia="Palatino Linotype" w:hAnsi="Palatino Linotype" w:cs="Palatino Linotype"/>
        </w:rPr>
        <w:t xml:space="preserve">espacios públicos </w:t>
      </w:r>
      <w:r w:rsidR="00B93084">
        <w:rPr>
          <w:rFonts w:ascii="Palatino Linotype" w:eastAsia="Palatino Linotype" w:hAnsi="Palatino Linotype" w:cs="Palatino Linotype"/>
        </w:rPr>
        <w:t>por parte de</w:t>
      </w:r>
      <w:r w:rsidR="000174C3">
        <w:rPr>
          <w:rFonts w:ascii="Palatino Linotype" w:eastAsia="Palatino Linotype" w:hAnsi="Palatino Linotype" w:cs="Palatino Linotype"/>
        </w:rPr>
        <w:t>l entrenador</w:t>
      </w:r>
      <w:r>
        <w:rPr>
          <w:rFonts w:ascii="Palatino Linotype" w:hAnsi="Palatino Linotype"/>
        </w:rPr>
        <w:t>,</w:t>
      </w:r>
      <w:r w:rsidR="000174C3">
        <w:rPr>
          <w:rFonts w:ascii="Palatino Linotype" w:hAnsi="Palatino Linotype"/>
        </w:rPr>
        <w:t xml:space="preserve"> del cobro que se realiza a vendedores en dichos espacios, además de saber el destino de dichos recursos, a </w:t>
      </w:r>
      <w:r>
        <w:rPr>
          <w:rFonts w:ascii="Palatino Linotype" w:hAnsi="Palatino Linotype"/>
        </w:rPr>
        <w:t xml:space="preserve">en respuesta, el Sujeto Obligado precisó que </w:t>
      </w:r>
      <w:r w:rsidR="00C53F74">
        <w:rPr>
          <w:rFonts w:ascii="Palatino Linotype" w:hAnsi="Palatino Linotype"/>
        </w:rPr>
        <w:t>la</w:t>
      </w:r>
      <w:r w:rsidR="00587EB5">
        <w:rPr>
          <w:rFonts w:ascii="Palatino Linotype" w:hAnsi="Palatino Linotype"/>
        </w:rPr>
        <w:t xml:space="preserve"> solicitud consistía en un derecho de petición</w:t>
      </w:r>
      <w:r>
        <w:rPr>
          <w:rFonts w:ascii="Palatino Linotype" w:hAnsi="Palatino Linotype"/>
        </w:rPr>
        <w:t xml:space="preserve">; </w:t>
      </w:r>
      <w:r w:rsidR="00B45BB9">
        <w:rPr>
          <w:rFonts w:ascii="Palatino Linotype" w:hAnsi="Palatino Linotype"/>
        </w:rPr>
        <w:t>a</w:t>
      </w:r>
      <w:r>
        <w:rPr>
          <w:rFonts w:ascii="Palatino Linotype" w:hAnsi="Palatino Linotype"/>
        </w:rPr>
        <w:t>nte dicha circunstancia</w:t>
      </w:r>
      <w:r w:rsidR="00B45BB9">
        <w:rPr>
          <w:rFonts w:ascii="Palatino Linotype" w:hAnsi="Palatino Linotype"/>
        </w:rPr>
        <w:t>,</w:t>
      </w:r>
      <w:r>
        <w:rPr>
          <w:rFonts w:ascii="Palatino Linotype" w:hAnsi="Palatino Linotype"/>
        </w:rPr>
        <w:t xml:space="preserve"> el Particular se inconformó porque no se le entregó la información requerida. </w:t>
      </w:r>
    </w:p>
    <w:p w14:paraId="4F971684" w14:textId="77777777" w:rsidR="00F90EAD" w:rsidRDefault="00F90EAD" w:rsidP="00F90EAD">
      <w:pPr>
        <w:spacing w:after="0" w:line="360" w:lineRule="auto"/>
        <w:contextualSpacing/>
        <w:jc w:val="both"/>
        <w:rPr>
          <w:rFonts w:ascii="Palatino Linotype" w:hAnsi="Palatino Linotype"/>
        </w:rPr>
      </w:pPr>
    </w:p>
    <w:p w14:paraId="72479C91" w14:textId="1B2EB3C9" w:rsidR="00F90EAD" w:rsidRDefault="00F90EAD" w:rsidP="00F90EAD">
      <w:pPr>
        <w:spacing w:after="0" w:line="360" w:lineRule="auto"/>
        <w:contextualSpacing/>
        <w:jc w:val="both"/>
        <w:rPr>
          <w:rFonts w:ascii="Palatino Linotype" w:hAnsi="Palatino Linotype"/>
        </w:rPr>
      </w:pPr>
      <w:r>
        <w:rPr>
          <w:rFonts w:ascii="Palatino Linotype" w:hAnsi="Palatino Linotype"/>
        </w:rPr>
        <w:t xml:space="preserve">Conforme a lo anterior, este Instituto determinó </w:t>
      </w:r>
      <w:r w:rsidR="00C53F74">
        <w:rPr>
          <w:rFonts w:ascii="Palatino Linotype" w:hAnsi="Palatino Linotype"/>
        </w:rPr>
        <w:t>sobreseer el Recurso de Revisión al actualizarse la causal de improcedencia establecida en la fracción IV</w:t>
      </w:r>
      <w:r w:rsidR="00B45BB9">
        <w:rPr>
          <w:rFonts w:ascii="Palatino Linotype" w:hAnsi="Palatino Linotype"/>
        </w:rPr>
        <w:t>,</w:t>
      </w:r>
      <w:r w:rsidR="00C53F74">
        <w:rPr>
          <w:rFonts w:ascii="Palatino Linotype" w:hAnsi="Palatino Linotype"/>
        </w:rPr>
        <w:t xml:space="preserve"> del artículo 192</w:t>
      </w:r>
      <w:r w:rsidR="00B45BB9">
        <w:rPr>
          <w:rFonts w:ascii="Palatino Linotype" w:hAnsi="Palatino Linotype"/>
        </w:rPr>
        <w:t>,</w:t>
      </w:r>
      <w:r w:rsidR="00E33581">
        <w:rPr>
          <w:rFonts w:ascii="Palatino Linotype" w:hAnsi="Palatino Linotype"/>
        </w:rPr>
        <w:t xml:space="preserve"> de la </w:t>
      </w:r>
      <w:r w:rsidR="00E33581">
        <w:rPr>
          <w:rFonts w:ascii="Palatino Linotype" w:hAnsi="Palatino Linotype"/>
        </w:rPr>
        <w:lastRenderedPageBreak/>
        <w:t>Ley de la materia</w:t>
      </w:r>
      <w:r>
        <w:rPr>
          <w:rFonts w:ascii="Palatino Linotype" w:hAnsi="Palatino Linotype"/>
        </w:rPr>
        <w:t>, al considerar que</w:t>
      </w:r>
      <w:r w:rsidR="00C53F74">
        <w:rPr>
          <w:rFonts w:ascii="Palatino Linotype" w:hAnsi="Palatino Linotype"/>
        </w:rPr>
        <w:t xml:space="preserve"> el requerimiento informativo se trataba de una consulta en términos del artículo 191 fracción IV de la Ley </w:t>
      </w:r>
      <w:r w:rsidR="00E33581">
        <w:rPr>
          <w:rFonts w:ascii="Palatino Linotype" w:hAnsi="Palatino Linotype"/>
        </w:rPr>
        <w:t>referida</w:t>
      </w:r>
      <w:r>
        <w:rPr>
          <w:rFonts w:ascii="Palatino Linotype" w:hAnsi="Palatino Linotype"/>
        </w:rPr>
        <w:t>.</w:t>
      </w:r>
    </w:p>
    <w:p w14:paraId="404E65FB" w14:textId="77777777" w:rsidR="00F90EAD" w:rsidRDefault="00F90EAD" w:rsidP="00F90EAD">
      <w:pPr>
        <w:spacing w:after="0" w:line="360" w:lineRule="auto"/>
        <w:contextualSpacing/>
        <w:jc w:val="both"/>
        <w:rPr>
          <w:rFonts w:ascii="Palatino Linotype" w:hAnsi="Palatino Linotype"/>
        </w:rPr>
      </w:pPr>
    </w:p>
    <w:p w14:paraId="6A857637" w14:textId="7F525879" w:rsidR="00425B5F" w:rsidRPr="00E753BB" w:rsidRDefault="00425B5F" w:rsidP="00425B5F">
      <w:pPr>
        <w:spacing w:after="0" w:line="360" w:lineRule="auto"/>
        <w:jc w:val="both"/>
        <w:rPr>
          <w:rFonts w:ascii="Palatino Linotype" w:hAnsi="Palatino Linotype"/>
          <w:bCs/>
        </w:rPr>
      </w:pPr>
      <w:r>
        <w:rPr>
          <w:rFonts w:ascii="Palatino Linotype" w:hAnsi="Palatino Linotype"/>
          <w:color w:val="000000" w:themeColor="text1"/>
        </w:rPr>
        <w:t>Así</w:t>
      </w:r>
      <w:r w:rsidR="000174C3">
        <w:rPr>
          <w:rFonts w:ascii="Palatino Linotype" w:hAnsi="Palatino Linotype"/>
          <w:color w:val="000000" w:themeColor="text1"/>
        </w:rPr>
        <w:t>,</w:t>
      </w:r>
      <w:r>
        <w:rPr>
          <w:rFonts w:ascii="Palatino Linotype" w:hAnsi="Palatino Linotype"/>
          <w:color w:val="000000" w:themeColor="text1"/>
        </w:rPr>
        <w:t xml:space="preserve"> </w:t>
      </w:r>
      <w:r w:rsidR="000174C3">
        <w:rPr>
          <w:rFonts w:ascii="Palatino Linotype" w:hAnsi="Palatino Linotype"/>
          <w:color w:val="000000" w:themeColor="text1"/>
        </w:rPr>
        <w:t xml:space="preserve">resulta necesario precisar que, </w:t>
      </w:r>
      <w:r w:rsidR="00620CB3">
        <w:rPr>
          <w:rFonts w:ascii="Palatino Linotype" w:hAnsi="Palatino Linotype"/>
          <w:color w:val="000000" w:themeColor="text1"/>
        </w:rPr>
        <w:t xml:space="preserve">de la solicitud de información el particular requiere acceder a dos cosas distintas, </w:t>
      </w:r>
      <w:r w:rsidR="000174C3">
        <w:rPr>
          <w:rFonts w:ascii="Palatino Linotype" w:hAnsi="Palatino Linotype"/>
          <w:color w:val="000000" w:themeColor="text1"/>
        </w:rPr>
        <w:t>por cuanto hace a</w:t>
      </w:r>
      <w:r w:rsidR="00620CB3">
        <w:rPr>
          <w:rFonts w:ascii="Palatino Linotype" w:hAnsi="Palatino Linotype"/>
          <w:color w:val="000000" w:themeColor="text1"/>
        </w:rPr>
        <w:t xml:space="preserve"> </w:t>
      </w:r>
      <w:r w:rsidR="000174C3">
        <w:rPr>
          <w:rFonts w:ascii="Palatino Linotype" w:hAnsi="Palatino Linotype"/>
          <w:color w:val="000000" w:themeColor="text1"/>
        </w:rPr>
        <w:t>l</w:t>
      </w:r>
      <w:r w:rsidR="00620CB3">
        <w:rPr>
          <w:rFonts w:ascii="Palatino Linotype" w:hAnsi="Palatino Linotype"/>
          <w:color w:val="000000" w:themeColor="text1"/>
        </w:rPr>
        <w:t>a parte del</w:t>
      </w:r>
      <w:r w:rsidR="000174C3">
        <w:rPr>
          <w:rFonts w:ascii="Palatino Linotype" w:hAnsi="Palatino Linotype"/>
          <w:color w:val="000000" w:themeColor="text1"/>
        </w:rPr>
        <w:t xml:space="preserve"> cobro que se realiza a vendedores </w:t>
      </w:r>
      <w:r w:rsidR="00620CB3">
        <w:rPr>
          <w:rFonts w:ascii="Palatino Linotype" w:hAnsi="Palatino Linotype"/>
          <w:color w:val="000000" w:themeColor="text1"/>
        </w:rPr>
        <w:t>ambulantes</w:t>
      </w:r>
      <w:r w:rsidR="00B45BB9">
        <w:rPr>
          <w:rFonts w:ascii="Palatino Linotype" w:hAnsi="Palatino Linotype"/>
          <w:color w:val="000000" w:themeColor="text1"/>
        </w:rPr>
        <w:t>, desde mi perspectiva</w:t>
      </w:r>
      <w:r w:rsidR="00620CB3">
        <w:rPr>
          <w:rFonts w:ascii="Palatino Linotype" w:hAnsi="Palatino Linotype"/>
          <w:color w:val="000000" w:themeColor="text1"/>
        </w:rPr>
        <w:t xml:space="preserve"> s</w:t>
      </w:r>
      <w:r w:rsidR="00B45BB9">
        <w:rPr>
          <w:rFonts w:ascii="Palatino Linotype" w:hAnsi="Palatino Linotype"/>
          <w:color w:val="000000" w:themeColor="text1"/>
        </w:rPr>
        <w:t>í</w:t>
      </w:r>
      <w:r w:rsidR="00620CB3">
        <w:rPr>
          <w:rFonts w:ascii="Palatino Linotype" w:hAnsi="Palatino Linotype"/>
          <w:color w:val="000000" w:themeColor="text1"/>
        </w:rPr>
        <w:t xml:space="preserve"> corresponde </w:t>
      </w:r>
      <w:r w:rsidR="000174C3">
        <w:rPr>
          <w:rFonts w:ascii="Palatino Linotype" w:hAnsi="Palatino Linotype"/>
          <w:color w:val="000000" w:themeColor="text1"/>
        </w:rPr>
        <w:t>a una consulta,</w:t>
      </w:r>
      <w:r w:rsidR="00620CB3">
        <w:rPr>
          <w:rFonts w:ascii="Palatino Linotype" w:hAnsi="Palatino Linotype"/>
          <w:color w:val="000000" w:themeColor="text1"/>
        </w:rPr>
        <w:t xml:space="preserve"> lo que obligaría que el Sujeto Obligado elaborara un documento </w:t>
      </w:r>
      <w:r w:rsidR="00620CB3">
        <w:rPr>
          <w:rFonts w:ascii="Palatino Linotype" w:hAnsi="Palatino Linotype"/>
          <w:i/>
          <w:iCs/>
          <w:color w:val="000000" w:themeColor="text1"/>
        </w:rPr>
        <w:t xml:space="preserve">ad hoc </w:t>
      </w:r>
      <w:r w:rsidR="00620CB3">
        <w:rPr>
          <w:rFonts w:ascii="Palatino Linotype" w:hAnsi="Palatino Linotype"/>
          <w:color w:val="000000" w:themeColor="text1"/>
        </w:rPr>
        <w:t xml:space="preserve">para atender el requerimiento, no obstante, no debe pasar desapercibido que para el caso de que un particular no señale de forma </w:t>
      </w:r>
      <w:r>
        <w:rPr>
          <w:rFonts w:ascii="Palatino Linotype" w:hAnsi="Palatino Linotype"/>
          <w:color w:val="000000" w:themeColor="text1"/>
        </w:rPr>
        <w:t xml:space="preserve">clara el documento al que desea acceder </w:t>
      </w:r>
      <w:r w:rsidRPr="00E753BB">
        <w:rPr>
          <w:rFonts w:ascii="Palatino Linotype" w:hAnsi="Palatino Linotype"/>
          <w:i/>
          <w:iCs/>
        </w:rPr>
        <w:t>-</w:t>
      </w:r>
      <w:r w:rsidRPr="00B45BB9">
        <w:rPr>
          <w:rFonts w:ascii="Palatino Linotype" w:hAnsi="Palatino Linotype"/>
          <w:iCs/>
        </w:rPr>
        <w:t>tal como en el caso en estudio</w:t>
      </w:r>
      <w:r w:rsidRPr="00B45BB9">
        <w:rPr>
          <w:rFonts w:ascii="Palatino Linotype" w:hAnsi="Palatino Linotype"/>
        </w:rPr>
        <w:t>-</w:t>
      </w:r>
      <w:r w:rsidRPr="00E753BB">
        <w:rPr>
          <w:rFonts w:ascii="Palatino Linotype" w:hAnsi="Palatino Linotype"/>
        </w:rPr>
        <w:t xml:space="preserve"> </w:t>
      </w:r>
      <w:r w:rsidRPr="00E753BB">
        <w:rPr>
          <w:rFonts w:ascii="Palatino Linotype" w:hAnsi="Palatino Linotype"/>
          <w:b/>
        </w:rPr>
        <w:t>los Sujetos Obligados se encuentran constreñidos a otorgar una expresión documental, siempre que lo solicitado se encuentre relacionado con sus funciones y/o atribuciones</w:t>
      </w:r>
      <w:r w:rsidRPr="00E753BB">
        <w:rPr>
          <w:rFonts w:ascii="Palatino Linotype" w:hAnsi="Palatino Linotype"/>
          <w:bCs/>
        </w:rPr>
        <w:t>; situación que cobra sustento legal del criterio para sujetos obligados con clave de control SO/016/2017, emitido por el Instituto Nacional de Transparencia, Acceso a la Información y Protección de Datos Personales, que por rubro y texto, dispone lo siguiente:</w:t>
      </w:r>
    </w:p>
    <w:p w14:paraId="1D151465" w14:textId="77777777" w:rsidR="00425B5F" w:rsidRPr="00E753BB" w:rsidRDefault="00425B5F" w:rsidP="00425B5F">
      <w:pPr>
        <w:spacing w:after="0" w:line="360" w:lineRule="auto"/>
        <w:jc w:val="both"/>
        <w:rPr>
          <w:rFonts w:ascii="Palatino Linotype" w:hAnsi="Palatino Linotype"/>
          <w:bCs/>
        </w:rPr>
      </w:pPr>
    </w:p>
    <w:p w14:paraId="4CBC1632" w14:textId="77777777" w:rsidR="00425B5F" w:rsidRPr="00E753BB" w:rsidRDefault="00425B5F" w:rsidP="00425B5F">
      <w:pPr>
        <w:spacing w:after="0" w:line="360" w:lineRule="auto"/>
        <w:ind w:left="567" w:right="539"/>
        <w:jc w:val="both"/>
        <w:rPr>
          <w:rFonts w:ascii="Palatino Linotype" w:hAnsi="Palatino Linotype" w:cs="Arial"/>
          <w:i/>
          <w:iCs/>
          <w:sz w:val="20"/>
          <w:szCs w:val="20"/>
        </w:rPr>
      </w:pPr>
      <w:r w:rsidRPr="00E753BB">
        <w:rPr>
          <w:rFonts w:ascii="Palatino Linotype" w:hAnsi="Palatino Linotype" w:cs="Arial"/>
          <w:b/>
          <w:bCs/>
          <w:i/>
          <w:iCs/>
          <w:sz w:val="20"/>
          <w:szCs w:val="20"/>
        </w:rPr>
        <w:t xml:space="preserve">Expresión documental. </w:t>
      </w:r>
      <w:r w:rsidRPr="00E753BB">
        <w:rPr>
          <w:rFonts w:ascii="Palatino Linotype" w:hAnsi="Palatino Linotype" w:cs="Arial"/>
          <w:bCs/>
          <w:i/>
          <w:iCs/>
          <w:sz w:val="20"/>
          <w:szCs w:val="20"/>
        </w:rPr>
        <w:t>Cuando</w:t>
      </w:r>
      <w:r w:rsidRPr="00E753BB">
        <w:rPr>
          <w:rFonts w:ascii="Palatino Linotype" w:hAnsi="Palatino Linotype" w:cs="Arial"/>
          <w:i/>
          <w:iCs/>
          <w:color w:val="000000" w:themeColor="text1"/>
          <w:sz w:val="20"/>
          <w:szCs w:val="14"/>
        </w:rPr>
        <w:t xml:space="preserve"> los particulares presenten solicitudes de acceso a la información sin identificar de forma precisa la documentación que pudiera contener la información de su interés, </w:t>
      </w:r>
      <w:r w:rsidRPr="00E753BB">
        <w:rPr>
          <w:rFonts w:ascii="Palatino Linotype" w:hAnsi="Palatino Linotype" w:cs="Arial"/>
          <w:i/>
          <w:iCs/>
          <w:sz w:val="20"/>
          <w:szCs w:val="20"/>
        </w:rPr>
        <w:t>o bien, la solicitud constituya una consulta,</w:t>
      </w:r>
      <w:r w:rsidRPr="00E753BB">
        <w:rPr>
          <w:rFonts w:ascii="Palatino Linotype" w:hAnsi="Palatino Linotype" w:cs="Arial"/>
          <w:i/>
          <w:iCs/>
          <w:color w:val="000000" w:themeColor="text1"/>
          <w:sz w:val="20"/>
          <w:szCs w:val="14"/>
        </w:rPr>
        <w:t xml:space="preserve"> pero la respuesta pudiera obrar en algún documento en poder de los sujetos obligados, éstos deben dar a dichas solicitudes una interpretación que les otorgue una expresión documental.</w:t>
      </w:r>
    </w:p>
    <w:p w14:paraId="74B6339E" w14:textId="77777777" w:rsidR="00620CB3" w:rsidRDefault="00620CB3" w:rsidP="00F90EAD">
      <w:pPr>
        <w:spacing w:after="0" w:line="360" w:lineRule="auto"/>
        <w:contextualSpacing/>
        <w:jc w:val="both"/>
        <w:rPr>
          <w:rFonts w:ascii="Palatino Linotype" w:hAnsi="Palatino Linotype"/>
          <w:color w:val="000000" w:themeColor="text1"/>
        </w:rPr>
      </w:pPr>
    </w:p>
    <w:p w14:paraId="05EA28BF" w14:textId="35CCD338" w:rsidR="00425B5F" w:rsidRDefault="00B45BB9" w:rsidP="00F90EAD">
      <w:pPr>
        <w:spacing w:after="0" w:line="360" w:lineRule="auto"/>
        <w:contextualSpacing/>
        <w:jc w:val="both"/>
        <w:rPr>
          <w:rFonts w:ascii="Palatino Linotype" w:hAnsi="Palatino Linotype"/>
          <w:color w:val="000000" w:themeColor="text1"/>
        </w:rPr>
      </w:pPr>
      <w:r>
        <w:rPr>
          <w:rFonts w:ascii="Palatino Linotype" w:hAnsi="Palatino Linotype"/>
          <w:color w:val="000000" w:themeColor="text1"/>
        </w:rPr>
        <w:t>En este sentido</w:t>
      </w:r>
      <w:r w:rsidR="00620CB3">
        <w:rPr>
          <w:rFonts w:ascii="Palatino Linotype" w:hAnsi="Palatino Linotype"/>
          <w:color w:val="000000" w:themeColor="text1"/>
        </w:rPr>
        <w:t xml:space="preserve">, lo relativo al cobro que se realiza </w:t>
      </w:r>
      <w:r>
        <w:rPr>
          <w:rFonts w:ascii="Palatino Linotype" w:hAnsi="Palatino Linotype"/>
          <w:color w:val="000000" w:themeColor="text1"/>
        </w:rPr>
        <w:t>para cubrir el servicio del</w:t>
      </w:r>
      <w:r w:rsidR="00620CB3">
        <w:rPr>
          <w:rFonts w:ascii="Palatino Linotype" w:hAnsi="Palatino Linotype"/>
          <w:color w:val="000000" w:themeColor="text1"/>
        </w:rPr>
        <w:t xml:space="preserve"> entrenador en espacios públicos</w:t>
      </w:r>
      <w:r w:rsidR="00425B5F">
        <w:rPr>
          <w:rFonts w:ascii="Palatino Linotype" w:hAnsi="Palatino Linotype"/>
          <w:color w:val="000000" w:themeColor="text1"/>
        </w:rPr>
        <w:t>,</w:t>
      </w:r>
      <w:r w:rsidR="00620CB3">
        <w:rPr>
          <w:rFonts w:ascii="Palatino Linotype" w:hAnsi="Palatino Linotype"/>
          <w:color w:val="000000" w:themeColor="text1"/>
        </w:rPr>
        <w:t xml:space="preserve"> s</w:t>
      </w:r>
      <w:r>
        <w:rPr>
          <w:rFonts w:ascii="Palatino Linotype" w:hAnsi="Palatino Linotype"/>
          <w:color w:val="000000" w:themeColor="text1"/>
        </w:rPr>
        <w:t>í</w:t>
      </w:r>
      <w:r w:rsidR="00620CB3">
        <w:rPr>
          <w:rFonts w:ascii="Palatino Linotype" w:hAnsi="Palatino Linotype"/>
          <w:color w:val="000000" w:themeColor="text1"/>
        </w:rPr>
        <w:t xml:space="preserve"> es posible la existencia de documentos que sustente la prestación de</w:t>
      </w:r>
      <w:r>
        <w:rPr>
          <w:rFonts w:ascii="Palatino Linotype" w:hAnsi="Palatino Linotype"/>
          <w:color w:val="000000" w:themeColor="text1"/>
        </w:rPr>
        <w:t xml:space="preserve"> dichos servicios, para el caso de que dicho servicio sea cobrado por el Ayuntamiento, ya que para ello debe haber alguna autorización en donde se determine el monto y para el caso de que dicho cobro no se realice por parte del Sujeto Obligado bastaba con haber referido tal </w:t>
      </w:r>
      <w:r>
        <w:rPr>
          <w:rFonts w:ascii="Palatino Linotype" w:hAnsi="Palatino Linotype"/>
          <w:color w:val="000000" w:themeColor="text1"/>
        </w:rPr>
        <w:lastRenderedPageBreak/>
        <w:t>circunstancia, con lo que se habría transparentado el actuar del Ayuntamiento y sobre todo se rinde cuentas a la ciudadanía, respecto de si se realiza el cobro por el servicio o no.</w:t>
      </w:r>
    </w:p>
    <w:p w14:paraId="77764530" w14:textId="77777777" w:rsidR="00425B5F" w:rsidRDefault="00425B5F" w:rsidP="00F90EAD">
      <w:pPr>
        <w:spacing w:after="0" w:line="360" w:lineRule="auto"/>
        <w:contextualSpacing/>
        <w:jc w:val="both"/>
        <w:rPr>
          <w:rFonts w:ascii="Palatino Linotype" w:hAnsi="Palatino Linotype"/>
          <w:color w:val="000000" w:themeColor="text1"/>
        </w:rPr>
      </w:pPr>
    </w:p>
    <w:p w14:paraId="3BBEF906" w14:textId="0BF6AB1E" w:rsidR="003E4098" w:rsidRDefault="00425B5F" w:rsidP="00F90EAD">
      <w:pPr>
        <w:spacing w:after="0" w:line="360" w:lineRule="auto"/>
        <w:contextualSpacing/>
        <w:jc w:val="both"/>
        <w:rPr>
          <w:rFonts w:ascii="Palatino Linotype" w:hAnsi="Palatino Linotype"/>
          <w:color w:val="000000" w:themeColor="text1"/>
        </w:rPr>
      </w:pPr>
      <w:r>
        <w:rPr>
          <w:rFonts w:ascii="Palatino Linotype" w:hAnsi="Palatino Linotype"/>
          <w:color w:val="000000" w:themeColor="text1"/>
        </w:rPr>
        <w:t>De</w:t>
      </w:r>
      <w:r w:rsidR="001D142B">
        <w:rPr>
          <w:rFonts w:ascii="Palatino Linotype" w:hAnsi="Palatino Linotype"/>
          <w:color w:val="000000" w:themeColor="text1"/>
        </w:rPr>
        <w:t xml:space="preserve"> tal suerte que, de</w:t>
      </w:r>
      <w:r>
        <w:rPr>
          <w:rFonts w:ascii="Palatino Linotype" w:hAnsi="Palatino Linotype"/>
          <w:color w:val="000000" w:themeColor="text1"/>
        </w:rPr>
        <w:t xml:space="preserve">sde mi punto de vista </w:t>
      </w:r>
      <w:r w:rsidR="003E4098">
        <w:rPr>
          <w:rFonts w:ascii="Palatino Linotype" w:hAnsi="Palatino Linotype"/>
          <w:color w:val="000000" w:themeColor="text1"/>
        </w:rPr>
        <w:t>se considera que la solicitud de información podía satisfacerse con expresión documental que debía obrar en los archivos del Sujeto Obligado, pues de dicho requerimiento informativo se deduce claramente que, el Particular requería documentación que sustentara el cobro de los servicios deportivos, en las unidades destinadas para dicha actividad</w:t>
      </w:r>
      <w:r>
        <w:rPr>
          <w:rFonts w:ascii="Palatino Linotype" w:hAnsi="Palatino Linotype"/>
          <w:color w:val="000000" w:themeColor="text1"/>
        </w:rPr>
        <w:t>, así como el destino de los recursos</w:t>
      </w:r>
      <w:r w:rsidR="001D142B">
        <w:rPr>
          <w:rFonts w:ascii="Palatino Linotype" w:hAnsi="Palatino Linotype"/>
          <w:color w:val="000000" w:themeColor="text1"/>
        </w:rPr>
        <w:t>.</w:t>
      </w:r>
    </w:p>
    <w:p w14:paraId="25F14266" w14:textId="77777777" w:rsidR="003E4098" w:rsidRDefault="003E4098" w:rsidP="00F90EAD">
      <w:pPr>
        <w:spacing w:after="0" w:line="360" w:lineRule="auto"/>
        <w:contextualSpacing/>
        <w:jc w:val="both"/>
        <w:rPr>
          <w:rFonts w:ascii="Palatino Linotype" w:hAnsi="Palatino Linotype"/>
          <w:color w:val="000000" w:themeColor="text1"/>
        </w:rPr>
      </w:pPr>
    </w:p>
    <w:p w14:paraId="1AAB190A" w14:textId="1E06E6F7" w:rsidR="00F90EAD" w:rsidRDefault="003E4098" w:rsidP="00F90EAD">
      <w:pPr>
        <w:spacing w:after="0" w:line="360" w:lineRule="auto"/>
        <w:contextualSpacing/>
        <w:jc w:val="both"/>
        <w:rPr>
          <w:rFonts w:ascii="Palatino Linotype" w:hAnsi="Palatino Linotype"/>
          <w:color w:val="000000" w:themeColor="text1"/>
        </w:rPr>
      </w:pPr>
      <w:r w:rsidRPr="001D142B">
        <w:rPr>
          <w:rFonts w:ascii="Palatino Linotype" w:hAnsi="Palatino Linotype"/>
          <w:color w:val="000000" w:themeColor="text1"/>
        </w:rPr>
        <w:t xml:space="preserve">Conforme a lo anterior, cabe señalar que, los artículos </w:t>
      </w:r>
      <w:r w:rsidR="00C729C9" w:rsidRPr="001D142B">
        <w:rPr>
          <w:rFonts w:ascii="Palatino Linotype" w:hAnsi="Palatino Linotype"/>
          <w:color w:val="000000" w:themeColor="text1"/>
        </w:rPr>
        <w:t xml:space="preserve">10 fracción VII, </w:t>
      </w:r>
      <w:r w:rsidRPr="001D142B">
        <w:rPr>
          <w:rFonts w:ascii="Palatino Linotype" w:hAnsi="Palatino Linotype"/>
          <w:color w:val="000000" w:themeColor="text1"/>
        </w:rPr>
        <w:t>13</w:t>
      </w:r>
      <w:r w:rsidR="00C729C9" w:rsidRPr="001D142B">
        <w:rPr>
          <w:rFonts w:ascii="Palatino Linotype" w:hAnsi="Palatino Linotype"/>
          <w:color w:val="000000" w:themeColor="text1"/>
        </w:rPr>
        <w:t xml:space="preserve"> y 14 fracci</w:t>
      </w:r>
      <w:r w:rsidR="00E33581" w:rsidRPr="001D142B">
        <w:rPr>
          <w:rFonts w:ascii="Palatino Linotype" w:hAnsi="Palatino Linotype"/>
          <w:color w:val="000000" w:themeColor="text1"/>
        </w:rPr>
        <w:t>o</w:t>
      </w:r>
      <w:r w:rsidR="00C729C9" w:rsidRPr="001D142B">
        <w:rPr>
          <w:rFonts w:ascii="Palatino Linotype" w:hAnsi="Palatino Linotype"/>
          <w:color w:val="000000" w:themeColor="text1"/>
        </w:rPr>
        <w:t>n</w:t>
      </w:r>
      <w:r w:rsidR="00E33581" w:rsidRPr="001D142B">
        <w:rPr>
          <w:rFonts w:ascii="Palatino Linotype" w:hAnsi="Palatino Linotype"/>
          <w:color w:val="000000" w:themeColor="text1"/>
        </w:rPr>
        <w:t>es</w:t>
      </w:r>
      <w:r w:rsidR="00C729C9" w:rsidRPr="001D142B">
        <w:rPr>
          <w:rFonts w:ascii="Palatino Linotype" w:hAnsi="Palatino Linotype"/>
          <w:color w:val="000000" w:themeColor="text1"/>
        </w:rPr>
        <w:t xml:space="preserve"> III, inciso c)</w:t>
      </w:r>
      <w:r w:rsidR="00E33581" w:rsidRPr="001D142B">
        <w:rPr>
          <w:rFonts w:ascii="Palatino Linotype" w:hAnsi="Palatino Linotype"/>
          <w:color w:val="000000" w:themeColor="text1"/>
        </w:rPr>
        <w:t>, IV incisos b) y c),</w:t>
      </w:r>
      <w:r w:rsidRPr="001D142B">
        <w:rPr>
          <w:rFonts w:ascii="Palatino Linotype" w:hAnsi="Palatino Linotype"/>
          <w:color w:val="000000" w:themeColor="text1"/>
        </w:rPr>
        <w:t xml:space="preserve"> del Reglamento para el </w:t>
      </w:r>
      <w:r w:rsidR="00C729C9" w:rsidRPr="001D142B">
        <w:rPr>
          <w:rFonts w:ascii="Palatino Linotype" w:hAnsi="Palatino Linotype"/>
          <w:color w:val="000000" w:themeColor="text1"/>
        </w:rPr>
        <w:t>U</w:t>
      </w:r>
      <w:r w:rsidRPr="001D142B">
        <w:rPr>
          <w:rFonts w:ascii="Palatino Linotype" w:hAnsi="Palatino Linotype"/>
          <w:color w:val="000000" w:themeColor="text1"/>
        </w:rPr>
        <w:t xml:space="preserve">so y </w:t>
      </w:r>
      <w:r w:rsidR="00C729C9" w:rsidRPr="001D142B">
        <w:rPr>
          <w:rFonts w:ascii="Palatino Linotype" w:hAnsi="Palatino Linotype"/>
          <w:color w:val="000000" w:themeColor="text1"/>
        </w:rPr>
        <w:t>A</w:t>
      </w:r>
      <w:r w:rsidRPr="001D142B">
        <w:rPr>
          <w:rFonts w:ascii="Palatino Linotype" w:hAnsi="Palatino Linotype"/>
          <w:color w:val="000000" w:themeColor="text1"/>
        </w:rPr>
        <w:t>provechamiento</w:t>
      </w:r>
      <w:r w:rsidR="00C729C9" w:rsidRPr="001D142B">
        <w:rPr>
          <w:rFonts w:ascii="Palatino Linotype" w:hAnsi="Palatino Linotype"/>
          <w:color w:val="000000" w:themeColor="text1"/>
        </w:rPr>
        <w:t xml:space="preserve"> de Espacios Públicos y Bienes del Servicio Público del Municipio de San Antonio la Isla, publicado en la gaceta municipal No. 6 de fecha diez de marzo de dos mil veintitrés,</w:t>
      </w:r>
      <w:r w:rsidR="0096192B" w:rsidRPr="001D142B">
        <w:rPr>
          <w:rFonts w:ascii="Palatino Linotype" w:hAnsi="Palatino Linotype"/>
          <w:color w:val="000000" w:themeColor="text1"/>
        </w:rPr>
        <w:t xml:space="preserve"> visible en </w:t>
      </w:r>
      <w:hyperlink r:id="rId6" w:history="1">
        <w:r w:rsidR="0096192B" w:rsidRPr="001D142B">
          <w:rPr>
            <w:rStyle w:val="Hipervnculo"/>
            <w:rFonts w:ascii="Palatino Linotype" w:hAnsi="Palatino Linotype"/>
          </w:rPr>
          <w:t>https://sanantoniolaisla.gob.mx/wp-content/uploads/2023/03/reglamento-espacios-publicos.pdf</w:t>
        </w:r>
      </w:hyperlink>
      <w:r w:rsidR="0096192B" w:rsidRPr="001D142B">
        <w:rPr>
          <w:rFonts w:ascii="Palatino Linotype" w:hAnsi="Palatino Linotype"/>
          <w:color w:val="000000" w:themeColor="text1"/>
        </w:rPr>
        <w:t xml:space="preserve">, </w:t>
      </w:r>
      <w:r w:rsidR="00C729C9" w:rsidRPr="001D142B">
        <w:rPr>
          <w:rFonts w:ascii="Palatino Linotype" w:hAnsi="Palatino Linotype"/>
          <w:color w:val="000000" w:themeColor="text1"/>
        </w:rPr>
        <w:t xml:space="preserve"> establecen que, serán considerados espacios públicos municipales entre otros las Unidades Deportivas</w:t>
      </w:r>
      <w:r w:rsidR="00C729C9">
        <w:rPr>
          <w:rFonts w:ascii="Palatino Linotype" w:hAnsi="Palatino Linotype"/>
          <w:color w:val="000000" w:themeColor="text1"/>
        </w:rPr>
        <w:t xml:space="preserve"> Municipales, el uso de las instalaciones serán utilizadas para los efectos que fueron creadas, y estarán sujetos a diversas disposiciones entre las que destaca; el pago de cuota de recuperación a la Tesorería Municipal</w:t>
      </w:r>
      <w:r w:rsidR="00E33581">
        <w:rPr>
          <w:rFonts w:ascii="Palatino Linotype" w:hAnsi="Palatino Linotype"/>
          <w:color w:val="000000" w:themeColor="text1"/>
        </w:rPr>
        <w:t>, Los clubes deportivos que cuenten con registro ante el Instituto Municipal de Cultura Física y Deporte, podrán hacer uso de la Unidad Deportiva previa calendarización y requisitos establecidos, podrán realizar actividades de recaudación de fondos, cumpliendo las formalidades establecidas.</w:t>
      </w:r>
      <w:r w:rsidR="00C729C9">
        <w:rPr>
          <w:rFonts w:ascii="Palatino Linotype" w:hAnsi="Palatino Linotype"/>
          <w:color w:val="000000" w:themeColor="text1"/>
        </w:rPr>
        <w:t xml:space="preserve"> </w:t>
      </w:r>
    </w:p>
    <w:p w14:paraId="27702BDF" w14:textId="77777777" w:rsidR="00E33581" w:rsidRDefault="00E33581" w:rsidP="00F90EAD">
      <w:pPr>
        <w:spacing w:after="0" w:line="360" w:lineRule="auto"/>
        <w:contextualSpacing/>
        <w:jc w:val="both"/>
        <w:rPr>
          <w:rFonts w:ascii="Palatino Linotype" w:hAnsi="Palatino Linotype"/>
          <w:color w:val="000000" w:themeColor="text1"/>
        </w:rPr>
      </w:pPr>
    </w:p>
    <w:p w14:paraId="30EC59B8" w14:textId="76CC1202" w:rsidR="00F90EAD" w:rsidRDefault="00E33581" w:rsidP="00F90EAD">
      <w:pPr>
        <w:spacing w:after="0" w:line="360" w:lineRule="auto"/>
        <w:contextualSpacing/>
        <w:jc w:val="both"/>
        <w:rPr>
          <w:rFonts w:ascii="Palatino Linotype" w:hAnsi="Palatino Linotype"/>
          <w:color w:val="000000" w:themeColor="text1"/>
        </w:rPr>
      </w:pPr>
      <w:r>
        <w:rPr>
          <w:rFonts w:ascii="Palatino Linotype" w:hAnsi="Palatino Linotype"/>
          <w:color w:val="000000" w:themeColor="text1"/>
        </w:rPr>
        <w:t xml:space="preserve">Así, se logra vislumbrar que, para dar respuesta a la solicitud de información, el Sujeto Obligado debió observar lo establecido en el reglamento previamente referido, pues de las </w:t>
      </w:r>
      <w:r>
        <w:rPr>
          <w:rFonts w:ascii="Palatino Linotype" w:hAnsi="Palatino Linotype"/>
          <w:color w:val="000000" w:themeColor="text1"/>
        </w:rPr>
        <w:lastRenderedPageBreak/>
        <w:t>facultades previamente señaladas, el ente recurrido cuenta con atribuciones de recaudación a través de los clubes deportivos, por lo que debió pronunciarse al respecto</w:t>
      </w:r>
      <w:r w:rsidR="0096192B">
        <w:rPr>
          <w:rFonts w:ascii="Palatino Linotype" w:hAnsi="Palatino Linotype"/>
          <w:color w:val="000000" w:themeColor="text1"/>
        </w:rPr>
        <w:t>.</w:t>
      </w:r>
    </w:p>
    <w:p w14:paraId="42127011" w14:textId="77777777" w:rsidR="00F90EAD" w:rsidRDefault="00F90EAD" w:rsidP="00F90EAD">
      <w:pPr>
        <w:spacing w:after="0" w:line="360" w:lineRule="auto"/>
        <w:contextualSpacing/>
        <w:jc w:val="both"/>
        <w:rPr>
          <w:rFonts w:ascii="Palatino Linotype" w:hAnsi="Palatino Linotype"/>
        </w:rPr>
      </w:pPr>
    </w:p>
    <w:p w14:paraId="75EBB1DD" w14:textId="57EABC2C" w:rsidR="0096192B" w:rsidRDefault="00F90EAD" w:rsidP="00F90EAD">
      <w:pPr>
        <w:spacing w:after="0" w:line="360" w:lineRule="auto"/>
        <w:contextualSpacing/>
        <w:jc w:val="both"/>
        <w:rPr>
          <w:rFonts w:ascii="Palatino Linotype" w:hAnsi="Palatino Linotype"/>
          <w:b/>
          <w:bCs/>
        </w:rPr>
      </w:pPr>
      <w:r>
        <w:rPr>
          <w:rFonts w:ascii="Palatino Linotype" w:hAnsi="Palatino Linotype"/>
        </w:rPr>
        <w:t xml:space="preserve">En este sentido, </w:t>
      </w:r>
      <w:r w:rsidRPr="00056B14">
        <w:rPr>
          <w:rFonts w:ascii="Palatino Linotype" w:hAnsi="Palatino Linotype"/>
          <w:b/>
          <w:bCs/>
        </w:rPr>
        <w:t xml:space="preserve">se logra observar </w:t>
      </w:r>
      <w:r w:rsidR="0096192B">
        <w:rPr>
          <w:rFonts w:ascii="Palatino Linotype" w:hAnsi="Palatino Linotype"/>
          <w:b/>
          <w:bCs/>
        </w:rPr>
        <w:t>que</w:t>
      </w:r>
      <w:r w:rsidR="001D142B">
        <w:rPr>
          <w:rFonts w:ascii="Palatino Linotype" w:hAnsi="Palatino Linotype"/>
          <w:b/>
          <w:bCs/>
        </w:rPr>
        <w:t>, en el caso de realizar el cobro, el Sujeto Obligado cuenta</w:t>
      </w:r>
      <w:r w:rsidR="0096192B">
        <w:rPr>
          <w:rFonts w:ascii="Palatino Linotype" w:hAnsi="Palatino Linotype"/>
          <w:b/>
          <w:bCs/>
        </w:rPr>
        <w:t xml:space="preserve"> con </w:t>
      </w:r>
      <w:r w:rsidRPr="00056B14">
        <w:rPr>
          <w:rFonts w:ascii="Palatino Linotype" w:hAnsi="Palatino Linotype"/>
          <w:b/>
          <w:bCs/>
        </w:rPr>
        <w:t xml:space="preserve">información sobre la existencia de </w:t>
      </w:r>
      <w:r w:rsidR="0096192B">
        <w:rPr>
          <w:rFonts w:ascii="Palatino Linotype" w:hAnsi="Palatino Linotype"/>
          <w:b/>
          <w:bCs/>
        </w:rPr>
        <w:t>recaudaciones de fondos que regula la Unidad Administrativa encargada del Deporte en el municipio</w:t>
      </w:r>
      <w:r>
        <w:rPr>
          <w:rFonts w:ascii="Palatino Linotype" w:hAnsi="Palatino Linotype"/>
          <w:b/>
          <w:bCs/>
        </w:rPr>
        <w:t xml:space="preserve">, </w:t>
      </w:r>
      <w:r w:rsidRPr="00056B14">
        <w:rPr>
          <w:rFonts w:ascii="Palatino Linotype" w:hAnsi="Palatino Linotype"/>
          <w:b/>
          <w:bCs/>
        </w:rPr>
        <w:t>por lo que se considera que se debió ordenar una búsqueda exhaustiva de la</w:t>
      </w:r>
      <w:r w:rsidR="001D142B">
        <w:rPr>
          <w:rFonts w:ascii="Palatino Linotype" w:hAnsi="Palatino Linotype"/>
          <w:b/>
          <w:bCs/>
        </w:rPr>
        <w:t xml:space="preserve"> información y ordenar la misma, con salvedad para el caso de que no realice el cobro.</w:t>
      </w:r>
    </w:p>
    <w:p w14:paraId="7621596B" w14:textId="77777777" w:rsidR="0096192B" w:rsidRDefault="0096192B" w:rsidP="00F90EAD">
      <w:pPr>
        <w:spacing w:after="0" w:line="360" w:lineRule="auto"/>
        <w:contextualSpacing/>
        <w:jc w:val="both"/>
        <w:rPr>
          <w:rFonts w:ascii="Palatino Linotype" w:hAnsi="Palatino Linotype"/>
          <w:b/>
          <w:bCs/>
        </w:rPr>
      </w:pPr>
    </w:p>
    <w:p w14:paraId="108D6BC8" w14:textId="575686ED" w:rsidR="00F90EAD" w:rsidRPr="0096192B" w:rsidRDefault="0096192B" w:rsidP="00F90EAD">
      <w:pPr>
        <w:spacing w:after="0" w:line="360" w:lineRule="auto"/>
        <w:contextualSpacing/>
        <w:jc w:val="both"/>
        <w:rPr>
          <w:rFonts w:ascii="Palatino Linotype" w:hAnsi="Palatino Linotype"/>
          <w:b/>
          <w:bCs/>
        </w:rPr>
      </w:pPr>
      <w:r>
        <w:rPr>
          <w:rFonts w:ascii="Palatino Linotype" w:hAnsi="Palatino Linotype"/>
        </w:rPr>
        <w:t>Además, cabe precisar que</w:t>
      </w:r>
      <w:r w:rsidR="00425B5F">
        <w:rPr>
          <w:rFonts w:ascii="Palatino Linotype" w:hAnsi="Palatino Linotype"/>
        </w:rPr>
        <w:t>,</w:t>
      </w:r>
      <w:r>
        <w:rPr>
          <w:rFonts w:ascii="Palatino Linotype" w:hAnsi="Palatino Linotype"/>
        </w:rPr>
        <w:t xml:space="preserve"> al haberse pronunciado el área competente, este debió proporcionar la información que daba cuenta de lo solicitado</w:t>
      </w:r>
      <w:r w:rsidR="000E3D84">
        <w:rPr>
          <w:rFonts w:ascii="Palatino Linotype" w:hAnsi="Palatino Linotype"/>
        </w:rPr>
        <w:t xml:space="preserve"> o por el contrario precisar que el Ayuntamiento no cobra o definitivamente que no presta ese servicio, porque al determinar únicamente que se trata de una consulta, se deja de lado la rendición de cuentas a los particulares y se mantiene la incertidumbre respecto de si el cobro es a cargo del Ayuntamiento o no.</w:t>
      </w:r>
    </w:p>
    <w:p w14:paraId="1C6C8B49" w14:textId="77777777" w:rsidR="00F90EAD" w:rsidRDefault="00F90EAD" w:rsidP="00F90EAD">
      <w:pPr>
        <w:spacing w:after="0" w:line="360" w:lineRule="auto"/>
        <w:contextualSpacing/>
        <w:jc w:val="both"/>
        <w:rPr>
          <w:rFonts w:ascii="Palatino Linotype" w:hAnsi="Palatino Linotype"/>
        </w:rPr>
      </w:pPr>
    </w:p>
    <w:p w14:paraId="0B2828C5" w14:textId="368A6F57" w:rsidR="00F90EAD" w:rsidRDefault="00F90EAD" w:rsidP="00F90EAD">
      <w:pPr>
        <w:spacing w:after="0" w:line="360" w:lineRule="auto"/>
        <w:contextualSpacing/>
        <w:jc w:val="both"/>
        <w:rPr>
          <w:rFonts w:ascii="Palatino Linotype" w:hAnsi="Palatino Linotype"/>
        </w:rPr>
      </w:pPr>
      <w:r>
        <w:rPr>
          <w:rFonts w:ascii="Palatino Linotype" w:hAnsi="Palatino Linotype"/>
        </w:rPr>
        <w:t xml:space="preserve">Con base en lo anterior emito el presente Voto </w:t>
      </w:r>
      <w:r w:rsidR="00425B5F">
        <w:rPr>
          <w:rFonts w:ascii="Palatino Linotype" w:hAnsi="Palatino Linotype"/>
        </w:rPr>
        <w:t>Particular</w:t>
      </w:r>
      <w:r>
        <w:rPr>
          <w:rFonts w:ascii="Palatino Linotype" w:hAnsi="Palatino Linotype"/>
        </w:rPr>
        <w:t xml:space="preserve"> toda vez que, desde mi perspectiva, no procede </w:t>
      </w:r>
      <w:r w:rsidR="0096192B">
        <w:rPr>
          <w:rFonts w:ascii="Palatino Linotype" w:hAnsi="Palatino Linotype"/>
        </w:rPr>
        <w:t>sobreseer el medio de impugnación</w:t>
      </w:r>
      <w:r>
        <w:rPr>
          <w:rFonts w:ascii="Palatino Linotype" w:hAnsi="Palatino Linotype"/>
        </w:rPr>
        <w:t xml:space="preserve">, pues </w:t>
      </w:r>
      <w:r w:rsidR="00CC49A0">
        <w:rPr>
          <w:rFonts w:ascii="Palatino Linotype" w:hAnsi="Palatino Linotype"/>
        </w:rPr>
        <w:t>el Ayuntamiento tiene pleno conocimiento respecto de si se realiza el cobro o no y de ser afirmativo, debe contar con expresión documental</w:t>
      </w:r>
      <w:r>
        <w:rPr>
          <w:rFonts w:ascii="Palatino Linotype" w:hAnsi="Palatino Linotype"/>
        </w:rPr>
        <w:t xml:space="preserve">. </w:t>
      </w:r>
    </w:p>
    <w:p w14:paraId="1EB0B85A" w14:textId="77777777" w:rsidR="00F90EAD" w:rsidRPr="00E13607" w:rsidRDefault="00F90EAD" w:rsidP="00F90EAD">
      <w:pPr>
        <w:spacing w:after="0" w:line="360" w:lineRule="auto"/>
        <w:contextualSpacing/>
        <w:jc w:val="both"/>
        <w:rPr>
          <w:rFonts w:ascii="Palatino Linotype" w:hAnsi="Palatino Linotype"/>
        </w:rPr>
      </w:pPr>
    </w:p>
    <w:p w14:paraId="7C9D23AB" w14:textId="46AD953E" w:rsidR="00F90EAD" w:rsidRDefault="00F90EAD" w:rsidP="00F90EAD">
      <w:pPr>
        <w:spacing w:after="0" w:line="360" w:lineRule="auto"/>
        <w:contextualSpacing/>
        <w:jc w:val="both"/>
        <w:rPr>
          <w:rFonts w:ascii="Palatino Linotype" w:eastAsia="Palatino Linotype" w:hAnsi="Palatino Linotype" w:cs="Palatino Linotype"/>
        </w:rPr>
      </w:pPr>
      <w:r>
        <w:rPr>
          <w:rFonts w:ascii="Palatino Linotype" w:hAnsi="Palatino Linotype"/>
        </w:rPr>
        <w:t>P</w:t>
      </w:r>
      <w:r w:rsidRPr="00FF0C7E">
        <w:rPr>
          <w:rFonts w:ascii="Palatino Linotype" w:hAnsi="Palatino Linotype"/>
        </w:rPr>
        <w:t xml:space="preserve">or ello, con base en los razonamientos expuestos, se emite el Presente </w:t>
      </w:r>
      <w:r w:rsidRPr="00FF0C7E">
        <w:rPr>
          <w:rFonts w:ascii="Palatino Linotype" w:hAnsi="Palatino Linotype"/>
          <w:b/>
          <w:bCs/>
        </w:rPr>
        <w:t xml:space="preserve">Voto </w:t>
      </w:r>
      <w:r w:rsidR="00425B5F">
        <w:rPr>
          <w:rFonts w:ascii="Palatino Linotype" w:hAnsi="Palatino Linotype"/>
          <w:b/>
          <w:bCs/>
        </w:rPr>
        <w:t>Particular</w:t>
      </w:r>
      <w:r>
        <w:rPr>
          <w:rFonts w:ascii="Palatino Linotype" w:eastAsia="Palatino Linotype" w:hAnsi="Palatino Linotype" w:cs="Palatino Linotype"/>
          <w:b/>
        </w:rPr>
        <w:t>.</w:t>
      </w:r>
      <w:r>
        <w:rPr>
          <w:rFonts w:ascii="Palatino Linotype" w:eastAsia="Palatino Linotype" w:hAnsi="Palatino Linotype" w:cs="Palatino Linotype"/>
        </w:rPr>
        <w:t xml:space="preserve"> --------------------------------------------------------------------------------------------------------------------------------------------------------------------------------------------</w:t>
      </w:r>
      <w:bookmarkStart w:id="1" w:name="_GoBack"/>
      <w:bookmarkEnd w:id="1"/>
      <w:r>
        <w:rPr>
          <w:rFonts w:ascii="Palatino Linotype" w:eastAsia="Palatino Linotype" w:hAnsi="Palatino Linotype" w:cs="Palatino Linotype"/>
        </w:rPr>
        <w:t>--------------------------------------------------------</w:t>
      </w:r>
      <w:r>
        <w:br w:type="page"/>
      </w:r>
    </w:p>
    <w:p w14:paraId="336E4232" w14:textId="77777777" w:rsidR="00F90EAD" w:rsidRDefault="00F90EAD" w:rsidP="00F90EAD">
      <w:pPr>
        <w:spacing w:after="0" w:line="360" w:lineRule="auto"/>
        <w:contextualSpacing/>
        <w:jc w:val="both"/>
        <w:rPr>
          <w:rFonts w:ascii="Palatino Linotype" w:eastAsia="Palatino Linotype" w:hAnsi="Palatino Linotype" w:cs="Palatino Linotype"/>
        </w:rPr>
      </w:pPr>
    </w:p>
    <w:p w14:paraId="27EE415F" w14:textId="77777777" w:rsidR="00F90EAD" w:rsidRDefault="00F90EAD" w:rsidP="00F90EAD">
      <w:pPr>
        <w:spacing w:line="360" w:lineRule="auto"/>
        <w:contextualSpacing/>
        <w:rPr>
          <w:rFonts w:ascii="Palatino Linotype" w:eastAsia="Palatino Linotype" w:hAnsi="Palatino Linotype" w:cs="Palatino Linotype"/>
        </w:rPr>
      </w:pPr>
    </w:p>
    <w:p w14:paraId="7A4E9EBE" w14:textId="77777777" w:rsidR="00F90EAD" w:rsidRDefault="00F90EAD" w:rsidP="00F90EAD">
      <w:pPr>
        <w:spacing w:line="360" w:lineRule="auto"/>
        <w:contextualSpacing/>
      </w:pPr>
    </w:p>
    <w:p w14:paraId="352CD8EF" w14:textId="77777777" w:rsidR="00F90EAD" w:rsidRDefault="00F90EAD" w:rsidP="00F90EAD">
      <w:pPr>
        <w:spacing w:line="360" w:lineRule="auto"/>
        <w:contextualSpacing/>
      </w:pPr>
    </w:p>
    <w:p w14:paraId="148B10AF" w14:textId="77777777" w:rsidR="00F90EAD" w:rsidRDefault="00F90EAD" w:rsidP="00F90EAD">
      <w:pPr>
        <w:spacing w:line="360" w:lineRule="auto"/>
        <w:contextualSpacing/>
      </w:pPr>
    </w:p>
    <w:p w14:paraId="360BC478" w14:textId="77777777" w:rsidR="00F90EAD" w:rsidRDefault="00F90EAD" w:rsidP="00F90EAD">
      <w:pPr>
        <w:spacing w:line="360" w:lineRule="auto"/>
        <w:contextualSpacing/>
      </w:pPr>
    </w:p>
    <w:p w14:paraId="7C7D0096" w14:textId="77777777" w:rsidR="00F90EAD" w:rsidRDefault="00F90EAD" w:rsidP="00F90EAD">
      <w:pPr>
        <w:spacing w:line="360" w:lineRule="auto"/>
        <w:contextualSpacing/>
      </w:pPr>
    </w:p>
    <w:p w14:paraId="628C8841" w14:textId="77777777" w:rsidR="00F90EAD" w:rsidRDefault="00F90EAD" w:rsidP="00F90EAD">
      <w:pPr>
        <w:spacing w:line="360" w:lineRule="auto"/>
        <w:contextualSpacing/>
      </w:pPr>
    </w:p>
    <w:p w14:paraId="445418EE" w14:textId="77777777" w:rsidR="00F90EAD" w:rsidRPr="007F6C2B" w:rsidRDefault="00F90EAD" w:rsidP="00F90EAD">
      <w:pPr>
        <w:spacing w:line="360" w:lineRule="auto"/>
        <w:contextualSpacing/>
        <w:rPr>
          <w:lang w:val="es-MX"/>
        </w:rPr>
      </w:pPr>
    </w:p>
    <w:p w14:paraId="694D2AD7" w14:textId="77777777" w:rsidR="00F90EAD" w:rsidRDefault="00F90EAD" w:rsidP="00F90EAD">
      <w:pPr>
        <w:spacing w:line="360" w:lineRule="auto"/>
        <w:contextualSpacing/>
      </w:pPr>
    </w:p>
    <w:bookmarkEnd w:id="0"/>
    <w:p w14:paraId="507165C7" w14:textId="77777777" w:rsidR="00F90EAD" w:rsidRDefault="00F90EAD" w:rsidP="00F90EAD">
      <w:pPr>
        <w:spacing w:line="360" w:lineRule="auto"/>
        <w:contextualSpacing/>
      </w:pPr>
    </w:p>
    <w:p w14:paraId="295A5DCF" w14:textId="77777777" w:rsidR="00F90EAD" w:rsidRDefault="00F90EAD" w:rsidP="00F90EAD">
      <w:pPr>
        <w:spacing w:line="360" w:lineRule="auto"/>
        <w:contextualSpacing/>
      </w:pPr>
    </w:p>
    <w:p w14:paraId="0ACD91DD" w14:textId="77777777" w:rsidR="00CE7148" w:rsidRDefault="00CE7148"/>
    <w:sectPr w:rsidR="00CE7148">
      <w:headerReference w:type="even" r:id="rId7"/>
      <w:headerReference w:type="default" r:id="rId8"/>
      <w:footerReference w:type="default" r:id="rId9"/>
      <w:headerReference w:type="firs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25F62" w14:textId="77777777" w:rsidR="00D84519" w:rsidRDefault="00D84519" w:rsidP="00587EB5">
      <w:pPr>
        <w:spacing w:after="0" w:line="240" w:lineRule="auto"/>
      </w:pPr>
      <w:r>
        <w:separator/>
      </w:r>
    </w:p>
  </w:endnote>
  <w:endnote w:type="continuationSeparator" w:id="0">
    <w:p w14:paraId="1B9591DD" w14:textId="77777777" w:rsidR="00D84519" w:rsidRDefault="00D84519" w:rsidP="0058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8CF5A" w14:textId="77777777" w:rsidR="0096192B" w:rsidRDefault="0096192B">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251D0">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251D0">
      <w:rPr>
        <w:b/>
        <w:noProof/>
        <w:color w:val="000000"/>
        <w:sz w:val="24"/>
        <w:szCs w:val="24"/>
      </w:rPr>
      <w:t>5</w:t>
    </w:r>
    <w:r>
      <w:rPr>
        <w:b/>
        <w:color w:val="000000"/>
        <w:sz w:val="24"/>
        <w:szCs w:val="24"/>
      </w:rPr>
      <w:fldChar w:fldCharType="end"/>
    </w:r>
  </w:p>
  <w:p w14:paraId="6D178902" w14:textId="77777777" w:rsidR="0096192B" w:rsidRDefault="0096192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93DE0" w14:textId="77777777" w:rsidR="00D84519" w:rsidRDefault="00D84519" w:rsidP="00587EB5">
      <w:pPr>
        <w:spacing w:after="0" w:line="240" w:lineRule="auto"/>
      </w:pPr>
      <w:r>
        <w:separator/>
      </w:r>
    </w:p>
  </w:footnote>
  <w:footnote w:type="continuationSeparator" w:id="0">
    <w:p w14:paraId="47464DE8" w14:textId="77777777" w:rsidR="00D84519" w:rsidRDefault="00D84519" w:rsidP="00587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05F7A" w14:textId="77777777" w:rsidR="0096192B" w:rsidRDefault="00D84519">
    <w:pPr>
      <w:pBdr>
        <w:top w:val="nil"/>
        <w:left w:val="nil"/>
        <w:bottom w:val="nil"/>
        <w:right w:val="nil"/>
        <w:between w:val="nil"/>
      </w:pBdr>
      <w:tabs>
        <w:tab w:val="center" w:pos="4252"/>
        <w:tab w:val="right" w:pos="8504"/>
      </w:tabs>
      <w:spacing w:after="0" w:line="240" w:lineRule="auto"/>
      <w:rPr>
        <w:color w:val="000000"/>
      </w:rPr>
    </w:pPr>
    <w:r>
      <w:rPr>
        <w:color w:val="000000"/>
      </w:rPr>
      <w:pict w14:anchorId="71C56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1.8pt;height:81.25pt;rotation:315;z-index:-25165977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Borders>
        <w:top w:val="nil"/>
        <w:left w:val="nil"/>
        <w:bottom w:val="nil"/>
        <w:right w:val="nil"/>
        <w:insideH w:val="nil"/>
        <w:insideV w:val="nil"/>
      </w:tblBorders>
      <w:tblLayout w:type="fixed"/>
      <w:tblLook w:val="0400" w:firstRow="0" w:lastRow="0" w:firstColumn="0" w:lastColumn="0" w:noHBand="0" w:noVBand="1"/>
    </w:tblPr>
    <w:tblGrid>
      <w:gridCol w:w="3402"/>
      <w:gridCol w:w="5529"/>
    </w:tblGrid>
    <w:tr w:rsidR="006C7AE7" w14:paraId="29BE035C" w14:textId="77777777" w:rsidTr="00587EB5">
      <w:trPr>
        <w:trHeight w:val="2219"/>
      </w:trPr>
      <w:tc>
        <w:tcPr>
          <w:tcW w:w="3402" w:type="dxa"/>
          <w:vAlign w:val="bottom"/>
        </w:tcPr>
        <w:p w14:paraId="7EBD4C39" w14:textId="77777777" w:rsidR="0096192B" w:rsidRDefault="0096192B">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14:anchorId="3C1B5CEA" wp14:editId="00C8452B">
                <wp:extent cx="1873633" cy="11265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p w14:paraId="3F220FC2" w14:textId="77777777" w:rsidR="0096192B" w:rsidRDefault="0096192B">
          <w:pPr>
            <w:pBdr>
              <w:top w:val="nil"/>
              <w:left w:val="nil"/>
              <w:bottom w:val="nil"/>
              <w:right w:val="nil"/>
              <w:between w:val="nil"/>
            </w:pBdr>
            <w:tabs>
              <w:tab w:val="center" w:pos="4252"/>
              <w:tab w:val="right" w:pos="8504"/>
              <w:tab w:val="center" w:pos="2614"/>
            </w:tabs>
            <w:ind w:left="-255"/>
            <w:rPr>
              <w:color w:val="000000"/>
            </w:rPr>
          </w:pPr>
        </w:p>
      </w:tc>
      <w:tc>
        <w:tcPr>
          <w:tcW w:w="5529" w:type="dxa"/>
          <w:vAlign w:val="center"/>
        </w:tcPr>
        <w:p w14:paraId="18C3526E" w14:textId="32C5500A" w:rsidR="0096192B" w:rsidRPr="009602AD" w:rsidRDefault="0096192B" w:rsidP="00C75538">
          <w:pPr>
            <w:tabs>
              <w:tab w:val="center" w:pos="4252"/>
              <w:tab w:val="right" w:pos="8504"/>
            </w:tabs>
            <w:spacing w:after="0" w:line="240" w:lineRule="auto"/>
            <w:ind w:left="-106" w:right="-250"/>
            <w:jc w:val="both"/>
            <w:rPr>
              <w:rFonts w:ascii="Palatino Linotype" w:eastAsiaTheme="minorHAnsi" w:hAnsi="Palatino Linotype" w:cs="Tahoma"/>
              <w:b/>
              <w:lang w:eastAsia="en-US"/>
            </w:rPr>
          </w:pPr>
          <w:r w:rsidRPr="009602AD">
            <w:rPr>
              <w:rFonts w:ascii="Palatino Linotype" w:eastAsiaTheme="minorHAnsi" w:hAnsi="Palatino Linotype" w:cs="Tahoma"/>
              <w:b/>
              <w:lang w:eastAsia="en-US"/>
            </w:rPr>
            <w:t xml:space="preserve">Voto </w:t>
          </w:r>
          <w:r w:rsidR="00B93084">
            <w:rPr>
              <w:rFonts w:ascii="Palatino Linotype" w:eastAsiaTheme="minorHAnsi" w:hAnsi="Palatino Linotype" w:cs="Tahoma"/>
              <w:b/>
              <w:lang w:eastAsia="en-US"/>
            </w:rPr>
            <w:t>Particular</w:t>
          </w:r>
        </w:p>
        <w:p w14:paraId="183E0E58" w14:textId="2F24FFF7" w:rsidR="0096192B" w:rsidRPr="009602AD" w:rsidRDefault="0096192B" w:rsidP="00C75538">
          <w:pPr>
            <w:tabs>
              <w:tab w:val="center" w:pos="4252"/>
              <w:tab w:val="right" w:pos="8504"/>
            </w:tabs>
            <w:spacing w:after="0" w:line="240" w:lineRule="auto"/>
            <w:ind w:left="-108" w:right="37"/>
            <w:jc w:val="both"/>
            <w:rPr>
              <w:rFonts w:ascii="Palatino Linotype" w:eastAsiaTheme="minorHAnsi" w:hAnsi="Palatino Linotype" w:cstheme="minorBidi"/>
              <w:lang w:val="es-MX" w:eastAsia="en-US"/>
            </w:rPr>
          </w:pPr>
          <w:r w:rsidRPr="009602AD">
            <w:rPr>
              <w:rFonts w:ascii="Palatino Linotype" w:eastAsiaTheme="minorHAnsi" w:hAnsi="Palatino Linotype" w:cs="Tahoma"/>
              <w:b/>
              <w:lang w:eastAsia="en-US"/>
            </w:rPr>
            <w:t>Recurso de Revisión:</w:t>
          </w:r>
          <w:r>
            <w:rPr>
              <w:rFonts w:ascii="Palatino Linotype" w:eastAsiaTheme="minorHAnsi" w:hAnsi="Palatino Linotype" w:cs="Tahoma"/>
              <w:b/>
              <w:lang w:eastAsia="en-US"/>
            </w:rPr>
            <w:t xml:space="preserve"> </w:t>
          </w:r>
          <w:r>
            <w:rPr>
              <w:rFonts w:ascii="Palatino Linotype" w:eastAsiaTheme="minorHAnsi" w:hAnsi="Palatino Linotype" w:cstheme="minorBidi"/>
              <w:lang w:val="es-MX" w:eastAsia="en-US"/>
            </w:rPr>
            <w:t>0</w:t>
          </w:r>
          <w:r w:rsidR="00587EB5">
            <w:rPr>
              <w:rFonts w:ascii="Palatino Linotype" w:eastAsiaTheme="minorHAnsi" w:hAnsi="Palatino Linotype" w:cstheme="minorBidi"/>
              <w:lang w:val="es-MX" w:eastAsia="en-US"/>
            </w:rPr>
            <w:t>3445</w:t>
          </w:r>
          <w:r w:rsidRPr="009602AD">
            <w:rPr>
              <w:rFonts w:ascii="Palatino Linotype" w:eastAsiaTheme="minorHAnsi" w:hAnsi="Palatino Linotype" w:cstheme="minorBidi"/>
              <w:lang w:val="es-MX" w:eastAsia="en-US"/>
            </w:rPr>
            <w:t>/INFOEM/IP/RR/202</w:t>
          </w:r>
          <w:r w:rsidR="00587EB5">
            <w:rPr>
              <w:rFonts w:ascii="Palatino Linotype" w:eastAsiaTheme="minorHAnsi" w:hAnsi="Palatino Linotype" w:cstheme="minorBidi"/>
              <w:lang w:val="es-MX" w:eastAsia="en-US"/>
            </w:rPr>
            <w:t>3</w:t>
          </w:r>
        </w:p>
        <w:p w14:paraId="1FB90B48" w14:textId="50CFF90D" w:rsidR="0096192B" w:rsidRPr="007F6C2B" w:rsidRDefault="0096192B" w:rsidP="00C75538">
          <w:pPr>
            <w:tabs>
              <w:tab w:val="center" w:pos="4252"/>
              <w:tab w:val="right" w:pos="8504"/>
            </w:tabs>
            <w:spacing w:after="0" w:line="240" w:lineRule="auto"/>
            <w:ind w:left="-108" w:right="37"/>
            <w:jc w:val="both"/>
            <w:rPr>
              <w:rFonts w:ascii="Palatino Linotype" w:eastAsiaTheme="minorHAnsi" w:hAnsi="Palatino Linotype" w:cstheme="minorBidi"/>
              <w:bCs/>
              <w:lang w:val="es-MX" w:eastAsia="en-US"/>
            </w:rPr>
          </w:pPr>
          <w:r w:rsidRPr="009602AD">
            <w:rPr>
              <w:rFonts w:ascii="Palatino Linotype" w:eastAsiaTheme="minorHAnsi" w:hAnsi="Palatino Linotype" w:cs="Tahoma"/>
              <w:b/>
              <w:lang w:eastAsia="en-US"/>
            </w:rPr>
            <w:t>Sujeto Obligado:</w:t>
          </w:r>
          <w:r w:rsidRPr="009602AD">
            <w:rPr>
              <w:rFonts w:ascii="Palatino Linotype" w:eastAsiaTheme="minorHAnsi" w:hAnsi="Palatino Linotype" w:cstheme="minorBidi"/>
              <w:bCs/>
              <w:lang w:val="es-MX" w:eastAsia="en-US"/>
            </w:rPr>
            <w:t xml:space="preserve"> </w:t>
          </w:r>
          <w:r w:rsidR="00587EB5">
            <w:rPr>
              <w:rFonts w:ascii="Palatino Linotype" w:hAnsi="Palatino Linotype"/>
              <w:bCs/>
            </w:rPr>
            <w:t>Ayuntamiento de San Antonio la Isla</w:t>
          </w:r>
        </w:p>
        <w:p w14:paraId="18F27D4F" w14:textId="77777777" w:rsidR="0096192B" w:rsidRDefault="0096192B" w:rsidP="00C75538">
          <w:pPr>
            <w:pBdr>
              <w:top w:val="nil"/>
              <w:left w:val="nil"/>
              <w:bottom w:val="nil"/>
              <w:right w:val="nil"/>
              <w:between w:val="nil"/>
            </w:pBdr>
            <w:tabs>
              <w:tab w:val="center" w:pos="4252"/>
              <w:tab w:val="right" w:pos="8504"/>
            </w:tabs>
            <w:spacing w:line="240" w:lineRule="auto"/>
            <w:ind w:left="-108" w:right="-102"/>
            <w:jc w:val="both"/>
            <w:rPr>
              <w:rFonts w:ascii="Palatino Linotype" w:eastAsia="Palatino Linotype" w:hAnsi="Palatino Linotype" w:cs="Palatino Linotype"/>
              <w:color w:val="000000"/>
            </w:rPr>
          </w:pPr>
          <w:r w:rsidRPr="009602AD">
            <w:rPr>
              <w:rFonts w:ascii="Palatino Linotype" w:eastAsiaTheme="minorHAnsi" w:hAnsi="Palatino Linotype" w:cs="Tahoma"/>
              <w:b/>
              <w:lang w:eastAsia="en-US"/>
            </w:rPr>
            <w:t xml:space="preserve">Comisionado Ponente: </w:t>
          </w:r>
          <w:r>
            <w:rPr>
              <w:rFonts w:ascii="Palatino Linotype" w:hAnsi="Palatino Linotype" w:cs="Tahoma"/>
            </w:rPr>
            <w:t xml:space="preserve">José Martínez Vilchis </w:t>
          </w:r>
        </w:p>
      </w:tc>
    </w:tr>
  </w:tbl>
  <w:p w14:paraId="7993BB15" w14:textId="77777777" w:rsidR="0096192B" w:rsidRDefault="00D84519">
    <w:pPr>
      <w:pBdr>
        <w:top w:val="nil"/>
        <w:left w:val="nil"/>
        <w:bottom w:val="nil"/>
        <w:right w:val="nil"/>
        <w:between w:val="nil"/>
      </w:pBdr>
      <w:tabs>
        <w:tab w:val="center" w:pos="4252"/>
        <w:tab w:val="right" w:pos="8504"/>
      </w:tabs>
      <w:spacing w:after="0" w:line="240" w:lineRule="auto"/>
      <w:rPr>
        <w:color w:val="000000"/>
        <w:sz w:val="2"/>
        <w:szCs w:val="2"/>
      </w:rPr>
    </w:pPr>
    <w:r>
      <w:rPr>
        <w:color w:val="000000"/>
      </w:rPr>
      <w:pict w14:anchorId="1E123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41.8pt;height:81.25pt;rotation:315;z-index:-25165875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C948" w14:textId="77777777" w:rsidR="0096192B" w:rsidRDefault="00D84519">
    <w:pPr>
      <w:pBdr>
        <w:top w:val="nil"/>
        <w:left w:val="nil"/>
        <w:bottom w:val="nil"/>
        <w:right w:val="nil"/>
        <w:between w:val="nil"/>
      </w:pBdr>
      <w:tabs>
        <w:tab w:val="center" w:pos="4252"/>
        <w:tab w:val="right" w:pos="8504"/>
      </w:tabs>
      <w:spacing w:after="0" w:line="240" w:lineRule="auto"/>
      <w:rPr>
        <w:color w:val="000000"/>
      </w:rPr>
    </w:pPr>
    <w:r>
      <w:rPr>
        <w:color w:val="000000"/>
      </w:rPr>
      <w:pict w14:anchorId="3B3C5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541.8pt;height:81.25pt;rotation:315;z-index:-251657728;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AD"/>
    <w:rsid w:val="000174C3"/>
    <w:rsid w:val="000E3D84"/>
    <w:rsid w:val="001D142B"/>
    <w:rsid w:val="00264675"/>
    <w:rsid w:val="003E4098"/>
    <w:rsid w:val="00425B5F"/>
    <w:rsid w:val="00587EB5"/>
    <w:rsid w:val="00620CB3"/>
    <w:rsid w:val="006C3307"/>
    <w:rsid w:val="009251D0"/>
    <w:rsid w:val="00941BF5"/>
    <w:rsid w:val="0096192B"/>
    <w:rsid w:val="00B45BB9"/>
    <w:rsid w:val="00B93084"/>
    <w:rsid w:val="00C53F74"/>
    <w:rsid w:val="00C729C9"/>
    <w:rsid w:val="00CC49A0"/>
    <w:rsid w:val="00CE7148"/>
    <w:rsid w:val="00D84519"/>
    <w:rsid w:val="00E33581"/>
    <w:rsid w:val="00F90E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E735E2"/>
  <w15:chartTrackingRefBased/>
  <w15:docId w15:val="{C7DBDEF6-AE0B-49DE-9CA7-932913F0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EAD"/>
    <w:rPr>
      <w:rFonts w:ascii="Calibri" w:eastAsia="Calibri" w:hAnsi="Calibri" w:cs="Calibri"/>
      <w:kern w:val="0"/>
      <w:lang w:val="es-ES"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0EAD"/>
    <w:rPr>
      <w:color w:val="0563C1" w:themeColor="hyperlink"/>
      <w:u w:val="single"/>
    </w:rPr>
  </w:style>
  <w:style w:type="paragraph" w:styleId="Piedepgina">
    <w:name w:val="footer"/>
    <w:basedOn w:val="Normal"/>
    <w:link w:val="PiedepginaCar"/>
    <w:uiPriority w:val="99"/>
    <w:unhideWhenUsed/>
    <w:rsid w:val="00587E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7EB5"/>
    <w:rPr>
      <w:rFonts w:ascii="Calibri" w:eastAsia="Calibri" w:hAnsi="Calibri" w:cs="Calibri"/>
      <w:kern w:val="0"/>
      <w:lang w:val="es-ES" w:eastAsia="es-MX"/>
      <w14:ligatures w14:val="none"/>
    </w:rPr>
  </w:style>
  <w:style w:type="character" w:customStyle="1" w:styleId="UnresolvedMention">
    <w:name w:val="Unresolved Mention"/>
    <w:basedOn w:val="Fuentedeprrafopredeter"/>
    <w:uiPriority w:val="99"/>
    <w:semiHidden/>
    <w:unhideWhenUsed/>
    <w:rsid w:val="00961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nantoniolaisla.gob.mx/wp-content/uploads/2023/03/reglamento-espacios-publicos.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1109</Words>
  <Characters>6103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7</cp:revision>
  <dcterms:created xsi:type="dcterms:W3CDTF">2023-08-14T17:36:00Z</dcterms:created>
  <dcterms:modified xsi:type="dcterms:W3CDTF">2023-08-14T17:58:00Z</dcterms:modified>
</cp:coreProperties>
</file>