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D7B1F" w14:textId="77777777" w:rsidR="00B21D49" w:rsidRPr="00B21D49" w:rsidRDefault="00B21D49" w:rsidP="00C60748">
      <w:pPr>
        <w:pStyle w:val="Encabezado"/>
        <w:spacing w:line="360" w:lineRule="auto"/>
        <w:jc w:val="both"/>
        <w:rPr>
          <w:rFonts w:ascii="Palatino Linotype" w:hAnsi="Palatino Linotype" w:cs="Tahoma"/>
          <w:b/>
          <w:sz w:val="16"/>
          <w:szCs w:val="16"/>
        </w:rPr>
      </w:pPr>
    </w:p>
    <w:p w14:paraId="317C0613" w14:textId="3938AEFA"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402F56">
        <w:rPr>
          <w:rFonts w:ascii="Palatino Linotype" w:hAnsi="Palatino Linotype"/>
          <w:b/>
          <w:lang w:val="es-ES_tradnl"/>
        </w:rPr>
        <w:t>03413</w:t>
      </w:r>
      <w:r w:rsidR="004134DC">
        <w:rPr>
          <w:rFonts w:ascii="Palatino Linotype" w:hAnsi="Palatino Linotype"/>
          <w:b/>
          <w:lang w:val="es-ES_tradnl"/>
        </w:rPr>
        <w:t>/INFOEM/IP/RR/202</w:t>
      </w:r>
      <w:r w:rsidR="00B16767">
        <w:rPr>
          <w:rFonts w:ascii="Palatino Linotype" w:hAnsi="Palatino Linotype"/>
          <w:b/>
          <w:lang w:val="es-ES_tradnl"/>
        </w:rPr>
        <w:t>2 Y ACUMULADOS</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402F56">
        <w:rPr>
          <w:rFonts w:ascii="Palatino Linotype" w:hAnsi="Palatino Linotype" w:cs="Tahoma"/>
          <w:b/>
        </w:rPr>
        <w:t>TOLUCA</w:t>
      </w:r>
      <w:r w:rsidR="00B645DD">
        <w:rPr>
          <w:rFonts w:ascii="Palatino Linotype" w:hAnsi="Palatino Linotype" w:cs="Tahoma"/>
          <w:b/>
        </w:rPr>
        <w:t>.</w:t>
      </w:r>
    </w:p>
    <w:p w14:paraId="7E01C9BC" w14:textId="77777777" w:rsidR="000E09CA" w:rsidRPr="006A7606" w:rsidRDefault="000E09CA" w:rsidP="00B463E2">
      <w:pPr>
        <w:pStyle w:val="Encabezado"/>
        <w:spacing w:line="360" w:lineRule="auto"/>
        <w:ind w:right="-250"/>
        <w:jc w:val="both"/>
        <w:rPr>
          <w:rFonts w:ascii="Palatino Linotype" w:hAnsi="Palatino Linotype" w:cs="Tahoma"/>
        </w:rPr>
      </w:pPr>
    </w:p>
    <w:p w14:paraId="25A53266" w14:textId="77777777"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402F56">
        <w:rPr>
          <w:rFonts w:ascii="Palatino Linotype" w:hAnsi="Palatino Linotype"/>
          <w:b/>
          <w:lang w:val="es-ES_tradnl"/>
        </w:rPr>
        <w:t>03413</w:t>
      </w:r>
      <w:r w:rsidR="004134DC">
        <w:rPr>
          <w:rFonts w:ascii="Palatino Linotype" w:hAnsi="Palatino Linotype"/>
          <w:b/>
          <w:lang w:val="es-ES_tradnl"/>
        </w:rPr>
        <w:t>/INFOEM/IP/RR/202</w:t>
      </w:r>
      <w:r w:rsidR="00B16767">
        <w:rPr>
          <w:rFonts w:ascii="Palatino Linotype" w:hAnsi="Palatino Linotype"/>
          <w:b/>
          <w:lang w:val="es-ES_tradnl"/>
        </w:rPr>
        <w:t xml:space="preserve">2 </w:t>
      </w:r>
      <w:r w:rsidR="00B16767" w:rsidRPr="00B16767">
        <w:rPr>
          <w:rFonts w:ascii="Palatino Linotype" w:hAnsi="Palatino Linotype"/>
          <w:b/>
          <w:lang w:val="es-MX"/>
        </w:rPr>
        <w:t>y acumulados</w:t>
      </w:r>
      <w:r w:rsidR="009D400F">
        <w:rPr>
          <w:rFonts w:ascii="Palatino Linotype" w:hAnsi="Palatino Linotype"/>
          <w:b/>
          <w:lang w:val="es-ES_tradnl"/>
        </w:rPr>
        <w:t>.</w:t>
      </w:r>
    </w:p>
    <w:p w14:paraId="4D8B4BB2" w14:textId="77777777" w:rsidR="00F34C61" w:rsidRPr="00885189" w:rsidRDefault="00F34C61" w:rsidP="00B463E2">
      <w:pPr>
        <w:spacing w:after="0" w:line="360" w:lineRule="auto"/>
        <w:jc w:val="both"/>
        <w:rPr>
          <w:rFonts w:ascii="Palatino Linotype" w:hAnsi="Palatino Linotype" w:cs="Tahoma"/>
        </w:rPr>
      </w:pPr>
    </w:p>
    <w:p w14:paraId="73E3C0EE" w14:textId="575897CE"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w:t>
      </w:r>
      <w:r w:rsidR="0040472D">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036D5F6E" w14:textId="77777777" w:rsidR="002F4CEB" w:rsidRDefault="002F4CEB" w:rsidP="002F4CEB">
      <w:pPr>
        <w:spacing w:after="0" w:line="360" w:lineRule="auto"/>
        <w:jc w:val="both"/>
        <w:rPr>
          <w:rFonts w:ascii="Palatino Linotype" w:hAnsi="Palatino Linotype" w:cs="Tahoma"/>
        </w:rPr>
      </w:pPr>
    </w:p>
    <w:p w14:paraId="15F2A0E8" w14:textId="77777777"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w:t>
      </w:r>
      <w:r w:rsidR="002E5CC1">
        <w:rPr>
          <w:rFonts w:ascii="Palatino Linotype" w:hAnsi="Palatino Linotype" w:cs="Tahoma"/>
        </w:rPr>
        <w:lastRenderedPageBreak/>
        <w:t xml:space="preserve">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 de los elementos operativos, por las siguientes consideraciones.</w:t>
      </w:r>
    </w:p>
    <w:p w14:paraId="1813A2A0" w14:textId="77777777"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t>A) Clasificación del nombre de los elementos operativos de seguridad pública.</w:t>
      </w:r>
    </w:p>
    <w:p w14:paraId="44528C65" w14:textId="77777777" w:rsidR="00C75CD8" w:rsidRDefault="00C75CD8" w:rsidP="002F4CEB">
      <w:pPr>
        <w:spacing w:after="0" w:line="360" w:lineRule="auto"/>
        <w:jc w:val="both"/>
        <w:rPr>
          <w:rFonts w:ascii="Palatino Linotype" w:hAnsi="Palatino Linotype" w:cs="Tahoma"/>
        </w:rPr>
      </w:pPr>
    </w:p>
    <w:p w14:paraId="2DE0E857" w14:textId="77777777"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283E2FCB" w14:textId="77777777" w:rsidR="002F4CEB" w:rsidRDefault="002F4CEB" w:rsidP="002F4CEB">
      <w:pPr>
        <w:spacing w:after="0" w:line="360" w:lineRule="auto"/>
        <w:jc w:val="both"/>
        <w:rPr>
          <w:rFonts w:ascii="Palatino Linotype" w:hAnsi="Palatino Linotype" w:cs="Tahoma"/>
        </w:rPr>
      </w:pPr>
    </w:p>
    <w:p w14:paraId="74BC3E95" w14:textId="5856980F"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w:t>
      </w:r>
      <w:r w:rsidR="00D1185A">
        <w:rPr>
          <w:rFonts w:ascii="Palatino Linotype" w:hAnsi="Palatino Linotype" w:cs="Tahoma"/>
        </w:rPr>
        <w:t>pública</w:t>
      </w:r>
      <w:r w:rsidR="00C75CD8">
        <w:rPr>
          <w:rFonts w:ascii="Palatino Linotype" w:hAnsi="Palatino Linotype" w:cs="Tahoma"/>
        </w:rPr>
        <w:t xml:space="preserve">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74B9D10A" w14:textId="77777777" w:rsidR="002F4CEB" w:rsidRDefault="002F4CEB" w:rsidP="002F4CEB">
      <w:pPr>
        <w:spacing w:after="0" w:line="360" w:lineRule="auto"/>
        <w:jc w:val="both"/>
        <w:rPr>
          <w:rFonts w:ascii="Palatino Linotype" w:hAnsi="Palatino Linotype" w:cs="Tahoma"/>
        </w:rPr>
      </w:pPr>
    </w:p>
    <w:p w14:paraId="179550AA" w14:textId="77777777"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w:t>
      </w:r>
      <w:r w:rsidR="002F4CEB" w:rsidRPr="00FB0274">
        <w:rPr>
          <w:rFonts w:ascii="Palatino Linotype" w:hAnsi="Palatino Linotype"/>
        </w:rPr>
        <w:lastRenderedPageBreak/>
        <w:t>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644501D" w14:textId="77777777" w:rsidR="002F4CEB" w:rsidRPr="00FB0274" w:rsidRDefault="002F4CEB" w:rsidP="002F4CEB">
      <w:pPr>
        <w:spacing w:after="0" w:line="360" w:lineRule="auto"/>
        <w:jc w:val="both"/>
        <w:rPr>
          <w:rFonts w:ascii="Palatino Linotype" w:hAnsi="Palatino Linotype"/>
        </w:rPr>
      </w:pPr>
    </w:p>
    <w:p w14:paraId="15C257E2" w14:textId="7CC4A74E"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5BB2296E" w14:textId="77777777" w:rsidR="002F4CEB" w:rsidRPr="00FB0274" w:rsidRDefault="002F4CEB" w:rsidP="002F4CEB">
      <w:pPr>
        <w:spacing w:after="0" w:line="360" w:lineRule="auto"/>
        <w:jc w:val="both"/>
        <w:rPr>
          <w:rFonts w:ascii="Palatino Linotype" w:hAnsi="Palatino Linotype"/>
        </w:rPr>
      </w:pPr>
    </w:p>
    <w:p w14:paraId="5CEC40DE"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6E8171AB" w14:textId="77777777" w:rsidR="002F4CEB" w:rsidRPr="006A7606" w:rsidRDefault="002F4CEB" w:rsidP="002F4CEB">
      <w:pPr>
        <w:spacing w:after="0" w:line="360" w:lineRule="auto"/>
        <w:jc w:val="both"/>
        <w:rPr>
          <w:rFonts w:ascii="Palatino Linotype" w:eastAsia="MS Mincho" w:hAnsi="Palatino Linotype" w:cs="Arial"/>
        </w:rPr>
      </w:pPr>
    </w:p>
    <w:p w14:paraId="76F291F9"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52D6EA2D"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9E2AFC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lastRenderedPageBreak/>
        <w:t>IV. Ponga en riesgo la vida, la seguridad o la salud de una persona física;</w:t>
      </w:r>
    </w:p>
    <w:p w14:paraId="287DCFDE"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7D9C2D12" w14:textId="77777777" w:rsidR="002F4CEB" w:rsidRDefault="002F4CEB" w:rsidP="002F4CEB">
      <w:pPr>
        <w:spacing w:after="0" w:line="360" w:lineRule="auto"/>
        <w:jc w:val="both"/>
        <w:rPr>
          <w:rFonts w:ascii="Palatino Linotype" w:eastAsia="MS Mincho" w:hAnsi="Palatino Linotype" w:cs="Arial"/>
        </w:rPr>
      </w:pPr>
    </w:p>
    <w:p w14:paraId="6B79F8EF" w14:textId="77777777"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414FCA28" w14:textId="77777777" w:rsidR="002F4CEB" w:rsidRDefault="002F4CEB" w:rsidP="002F4CEB">
      <w:pPr>
        <w:spacing w:after="0" w:line="360" w:lineRule="auto"/>
        <w:jc w:val="both"/>
        <w:rPr>
          <w:rFonts w:ascii="Palatino Linotype" w:eastAsia="MS Mincho" w:hAnsi="Palatino Linotype" w:cs="Arial"/>
        </w:rPr>
      </w:pPr>
    </w:p>
    <w:p w14:paraId="2D0B3893" w14:textId="77777777"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2286234A"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0F049717"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3E251297"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2F46FE67"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 xml:space="preserve">información para la seguridad pública generada o en poder de Instituciones de Seguridad Pública o de cualquier instancia del Sistema Estatal debe registrarse, clasificarse y </w:t>
      </w:r>
      <w:r w:rsidRPr="001A758C">
        <w:rPr>
          <w:rFonts w:ascii="Palatino Linotype" w:eastAsia="MS Mincho" w:hAnsi="Palatino Linotype" w:cs="Arial"/>
          <w:bCs/>
          <w:i/>
          <w:sz w:val="20"/>
          <w:szCs w:val="20"/>
          <w:lang w:val="es-ES_tradnl"/>
        </w:rPr>
        <w:lastRenderedPageBreak/>
        <w:t>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519A7D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2EC1E7D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5FE7120B" w14:textId="77777777" w:rsidR="00ED313F" w:rsidRDefault="00ED313F" w:rsidP="001A758C">
      <w:pPr>
        <w:spacing w:after="0" w:line="360" w:lineRule="auto"/>
        <w:jc w:val="both"/>
        <w:rPr>
          <w:rFonts w:ascii="Palatino Linotype" w:hAnsi="Palatino Linotype" w:cs="Arial"/>
        </w:rPr>
      </w:pPr>
    </w:p>
    <w:p w14:paraId="3EAC1706" w14:textId="77777777"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6AFC11A6" w14:textId="77777777" w:rsidR="002F4CEB" w:rsidRPr="006A7606" w:rsidRDefault="002F4CEB" w:rsidP="002F4CEB">
      <w:pPr>
        <w:spacing w:after="0" w:line="360" w:lineRule="auto"/>
        <w:jc w:val="both"/>
        <w:rPr>
          <w:rFonts w:ascii="Palatino Linotype" w:hAnsi="Palatino Linotype" w:cs="Arial"/>
        </w:rPr>
      </w:pPr>
    </w:p>
    <w:p w14:paraId="633E10A7"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xml:space="preserve">, puede llegar a constituirse </w:t>
      </w:r>
      <w:r w:rsidRPr="006E2C84">
        <w:rPr>
          <w:rFonts w:ascii="Palatino Linotype" w:hAnsi="Palatino Linotype" w:cs="Arial"/>
          <w:bCs/>
          <w:i/>
          <w:sz w:val="20"/>
          <w:szCs w:val="20"/>
          <w:lang w:eastAsia="es-MX"/>
        </w:rPr>
        <w:lastRenderedPageBreak/>
        <w:t>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5F11C08A" w14:textId="77777777" w:rsidR="002F4CEB" w:rsidRDefault="002F4CEB" w:rsidP="002F4CEB">
      <w:pPr>
        <w:spacing w:after="0" w:line="360" w:lineRule="auto"/>
        <w:jc w:val="both"/>
        <w:rPr>
          <w:rFonts w:ascii="Palatino Linotype" w:hAnsi="Palatino Linotype"/>
        </w:rPr>
      </w:pPr>
    </w:p>
    <w:p w14:paraId="47146139"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73E2A18B" w14:textId="77777777" w:rsidR="002F4CEB" w:rsidRPr="006A7606" w:rsidRDefault="002F4CEB" w:rsidP="002F4CEB">
      <w:pPr>
        <w:spacing w:after="0" w:line="360" w:lineRule="auto"/>
        <w:jc w:val="both"/>
        <w:rPr>
          <w:rFonts w:ascii="Palatino Linotype" w:hAnsi="Palatino Linotype"/>
        </w:rPr>
      </w:pPr>
    </w:p>
    <w:p w14:paraId="585C4988"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677DBFF2" w14:textId="77777777" w:rsidR="002F4CEB" w:rsidRPr="006A7606" w:rsidRDefault="002F4CEB" w:rsidP="002F4CEB">
      <w:pPr>
        <w:spacing w:after="0" w:line="360" w:lineRule="auto"/>
        <w:jc w:val="both"/>
        <w:rPr>
          <w:rFonts w:ascii="Palatino Linotype" w:hAnsi="Palatino Linotype" w:cs="Segoe UI"/>
        </w:rPr>
      </w:pPr>
    </w:p>
    <w:p w14:paraId="5E398313"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w:t>
      </w:r>
      <w:r w:rsidRPr="006E2C84">
        <w:rPr>
          <w:rFonts w:ascii="Palatino Linotype" w:eastAsia="Calibri" w:hAnsi="Palatino Linotype" w:cs="Arial"/>
          <w:i/>
          <w:sz w:val="20"/>
          <w:szCs w:val="20"/>
        </w:rPr>
        <w:lastRenderedPageBreak/>
        <w:t>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F6659C6"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748EF404" w14:textId="77777777"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w:t>
      </w:r>
      <w:r w:rsidRPr="001A758C">
        <w:rPr>
          <w:rFonts w:ascii="Palatino Linotype" w:eastAsia="Calibri" w:hAnsi="Palatino Linotype" w:cs="Arial"/>
          <w:i/>
          <w:sz w:val="20"/>
          <w:szCs w:val="20"/>
        </w:rPr>
        <w:lastRenderedPageBreak/>
        <w:t>compensen el sacrificio que ésta implique para los titulares de la garantía individual mencionada o para la sociedad en general.”</w:t>
      </w:r>
    </w:p>
    <w:p w14:paraId="2B343DA8" w14:textId="77777777" w:rsidR="002F4CEB" w:rsidRDefault="002F4CEB" w:rsidP="002F4CEB">
      <w:pPr>
        <w:spacing w:after="0" w:line="360" w:lineRule="auto"/>
        <w:jc w:val="both"/>
        <w:rPr>
          <w:rFonts w:ascii="Palatino Linotype" w:hAnsi="Palatino Linotype" w:cs="Arial"/>
        </w:rPr>
      </w:pPr>
    </w:p>
    <w:p w14:paraId="0E2E27C8" w14:textId="77777777"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1BB8DDA7" w14:textId="77777777" w:rsidR="002F4CEB" w:rsidRDefault="002F4CEB" w:rsidP="002F4CEB">
      <w:pPr>
        <w:spacing w:after="0" w:line="360" w:lineRule="auto"/>
        <w:jc w:val="both"/>
        <w:rPr>
          <w:rFonts w:ascii="Palatino Linotype" w:hAnsi="Palatino Linotype" w:cs="Arial"/>
        </w:rPr>
      </w:pPr>
    </w:p>
    <w:p w14:paraId="1E1C19C6"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37158D0F" w14:textId="77777777" w:rsidR="002F4CEB" w:rsidRDefault="002F4CEB" w:rsidP="002F4CEB">
      <w:pPr>
        <w:spacing w:after="0" w:line="360" w:lineRule="auto"/>
        <w:jc w:val="both"/>
        <w:rPr>
          <w:rFonts w:ascii="Palatino Linotype" w:hAnsi="Palatino Linotype" w:cs="Tahoma"/>
        </w:rPr>
      </w:pPr>
    </w:p>
    <w:p w14:paraId="50D140E7" w14:textId="77777777"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w:t>
      </w:r>
      <w:r w:rsidRPr="00D07D91">
        <w:rPr>
          <w:rFonts w:ascii="Palatino Linotype" w:eastAsia="Calibri" w:hAnsi="Palatino Linotype" w:cs="Tahoma"/>
        </w:rPr>
        <w:lastRenderedPageBreak/>
        <w:t>un recurso de revisión resuelto por el INAI en donde destaca la necesidad de que el Organismo Garante Nacional acredite la prueba de daño para la reserva de información bajo los argumentos siguientes:</w:t>
      </w:r>
    </w:p>
    <w:p w14:paraId="06B3D090" w14:textId="77777777" w:rsidR="00D07D91" w:rsidRPr="00D07D91" w:rsidRDefault="00D07D91" w:rsidP="00D07D91">
      <w:pPr>
        <w:spacing w:after="0" w:line="360" w:lineRule="auto"/>
        <w:jc w:val="both"/>
        <w:rPr>
          <w:rFonts w:ascii="Palatino Linotype" w:eastAsia="Calibri" w:hAnsi="Palatino Linotype" w:cs="Tahoma"/>
        </w:rPr>
      </w:pPr>
    </w:p>
    <w:p w14:paraId="3B54D458"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4062F801" w14:textId="77777777" w:rsidR="00D07D91" w:rsidRPr="00D07D91" w:rsidRDefault="00D07D91" w:rsidP="00D07D91">
      <w:pPr>
        <w:spacing w:after="0" w:line="360" w:lineRule="auto"/>
        <w:jc w:val="both"/>
        <w:rPr>
          <w:rFonts w:ascii="Palatino Linotype" w:eastAsia="Calibri" w:hAnsi="Palatino Linotype" w:cs="Tahoma"/>
        </w:rPr>
      </w:pPr>
    </w:p>
    <w:p w14:paraId="2FD11582"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0332D939" w14:textId="77777777" w:rsidR="00D07D91" w:rsidRPr="00D07D91" w:rsidRDefault="00D07D91" w:rsidP="00D07D91">
      <w:pPr>
        <w:spacing w:after="0" w:line="360" w:lineRule="auto"/>
        <w:jc w:val="both"/>
        <w:rPr>
          <w:rFonts w:ascii="Palatino Linotype" w:eastAsia="Calibri" w:hAnsi="Palatino Linotype" w:cs="Tahoma"/>
        </w:rPr>
      </w:pPr>
    </w:p>
    <w:p w14:paraId="50C40DA3"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0C4C0D52" w14:textId="77777777" w:rsidR="00D07D91" w:rsidRPr="00D07D91" w:rsidRDefault="00D07D91" w:rsidP="00D07D91">
      <w:pPr>
        <w:spacing w:after="0" w:line="360" w:lineRule="auto"/>
        <w:jc w:val="both"/>
        <w:rPr>
          <w:rFonts w:ascii="Palatino Linotype" w:eastAsia="Calibri" w:hAnsi="Palatino Linotype" w:cs="Tahoma"/>
        </w:rPr>
      </w:pPr>
    </w:p>
    <w:p w14:paraId="5CA7CADE" w14:textId="77777777"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 en términos del artículo 81, inciso e) de la Ley de Amparo, que primero fue turnada al Vigésimo Primer </w:t>
      </w:r>
      <w:r w:rsidRPr="00D07D91">
        <w:rPr>
          <w:rFonts w:ascii="Palatino Linotype" w:eastAsia="Calibri" w:hAnsi="Palatino Linotype" w:cs="Tahoma"/>
        </w:rPr>
        <w:lastRenderedPageBreak/>
        <w:t>Tribunal Colegiado en Materia del Primer Circuito, bajo el número de expediente 192/2018, mismo que fue atraído por la Suprema Corte de Justicia, determinó que:</w:t>
      </w:r>
    </w:p>
    <w:p w14:paraId="2C1E9CD0" w14:textId="77777777" w:rsidR="00D07D91" w:rsidRPr="00D07D91" w:rsidRDefault="00D07D91" w:rsidP="00D07D91">
      <w:pPr>
        <w:spacing w:after="0" w:line="360" w:lineRule="auto"/>
        <w:jc w:val="both"/>
        <w:rPr>
          <w:rFonts w:ascii="Palatino Linotype" w:eastAsia="Calibri" w:hAnsi="Palatino Linotype" w:cs="Tahoma"/>
        </w:rPr>
      </w:pPr>
    </w:p>
    <w:p w14:paraId="2D729C33"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0DF12B1" w14:textId="77777777" w:rsidR="00D07D91" w:rsidRPr="00D07D91" w:rsidRDefault="00D07D91" w:rsidP="00D07D91">
      <w:pPr>
        <w:spacing w:after="0" w:line="360" w:lineRule="auto"/>
        <w:jc w:val="both"/>
        <w:rPr>
          <w:rFonts w:ascii="Palatino Linotype" w:eastAsia="Calibri" w:hAnsi="Palatino Linotype" w:cs="Tahoma"/>
        </w:rPr>
      </w:pPr>
    </w:p>
    <w:p w14:paraId="28DCD2B0"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3A8B813B" w14:textId="77777777" w:rsidR="00D07D91" w:rsidRPr="00D07D91" w:rsidRDefault="00D07D91" w:rsidP="00D07D91">
      <w:pPr>
        <w:spacing w:after="0" w:line="360" w:lineRule="auto"/>
        <w:jc w:val="both"/>
        <w:rPr>
          <w:rFonts w:ascii="Palatino Linotype" w:eastAsia="Calibri" w:hAnsi="Palatino Linotype" w:cs="Tahoma"/>
        </w:rPr>
      </w:pPr>
    </w:p>
    <w:p w14:paraId="14E97F5D" w14:textId="77777777"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5CC7DED6" w14:textId="77777777" w:rsidR="00D07D91" w:rsidRPr="00885189" w:rsidRDefault="00D07D91" w:rsidP="00D07D91">
      <w:pPr>
        <w:spacing w:after="0" w:line="360" w:lineRule="auto"/>
        <w:jc w:val="both"/>
        <w:rPr>
          <w:rFonts w:ascii="Palatino Linotype" w:hAnsi="Palatino Linotype" w:cs="Tahoma"/>
        </w:rPr>
      </w:pPr>
    </w:p>
    <w:p w14:paraId="7ABC9F97" w14:textId="77777777"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w:t>
      </w:r>
      <w:r w:rsidRPr="00885189">
        <w:rPr>
          <w:rFonts w:ascii="Palatino Linotype" w:hAnsi="Palatino Linotype" w:cs="Tahoma"/>
        </w:rPr>
        <w:lastRenderedPageBreak/>
        <w:t xml:space="preserve">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31435A9E" w14:textId="77777777" w:rsidR="00F16598" w:rsidRPr="00885189" w:rsidRDefault="00F16598" w:rsidP="00F16598">
      <w:pPr>
        <w:spacing w:after="0" w:line="360" w:lineRule="auto"/>
        <w:jc w:val="both"/>
        <w:rPr>
          <w:rFonts w:ascii="Palatino Linotype" w:hAnsi="Palatino Linotype" w:cs="Tahoma"/>
        </w:rPr>
      </w:pPr>
    </w:p>
    <w:p w14:paraId="7FF8357D"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028F14C" w14:textId="77777777" w:rsidR="00EB7785" w:rsidRDefault="00EB7785" w:rsidP="002F4CEB">
      <w:pPr>
        <w:spacing w:after="0" w:line="360" w:lineRule="auto"/>
        <w:jc w:val="both"/>
        <w:rPr>
          <w:rFonts w:ascii="Palatino Linotype" w:hAnsi="Palatino Linotype" w:cs="Tahoma"/>
        </w:rPr>
      </w:pPr>
    </w:p>
    <w:p w14:paraId="6DBDD83C"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271D57BB" w14:textId="77777777" w:rsidR="002F4CEB" w:rsidRPr="00885189" w:rsidRDefault="002F4CEB" w:rsidP="002F4CEB">
      <w:pPr>
        <w:spacing w:after="0" w:line="360" w:lineRule="auto"/>
        <w:jc w:val="both"/>
        <w:rPr>
          <w:rFonts w:ascii="Palatino Linotype" w:hAnsi="Palatino Linotype" w:cs="Tahoma"/>
        </w:rPr>
      </w:pPr>
    </w:p>
    <w:p w14:paraId="2BBB63FF" w14:textId="77777777"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4EF7F6EA" w14:textId="77777777" w:rsidR="007C7618" w:rsidRDefault="007C7618" w:rsidP="002F4CEB">
      <w:pPr>
        <w:spacing w:after="0" w:line="360" w:lineRule="auto"/>
        <w:jc w:val="both"/>
        <w:rPr>
          <w:rFonts w:ascii="Palatino Linotype" w:hAnsi="Palatino Linotype" w:cs="Tahoma"/>
        </w:rPr>
      </w:pPr>
    </w:p>
    <w:p w14:paraId="19C86193" w14:textId="77777777"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w:t>
      </w:r>
      <w:r w:rsidR="00F16598">
        <w:rPr>
          <w:rFonts w:ascii="Palatino Linotype" w:hAnsi="Palatino Linotype" w:cs="Tahoma"/>
        </w:rPr>
        <w:lastRenderedPageBreak/>
        <w:t>la Ley de Transparencia y Acceso a la Información Pública del Estado de México y Municipios, conforme a lo siguiente:</w:t>
      </w:r>
    </w:p>
    <w:p w14:paraId="375413D4" w14:textId="77777777" w:rsidR="00F16598" w:rsidRDefault="00F16598" w:rsidP="002F4CEB">
      <w:pPr>
        <w:spacing w:after="0" w:line="360" w:lineRule="auto"/>
        <w:jc w:val="both"/>
        <w:rPr>
          <w:rFonts w:ascii="Palatino Linotype" w:hAnsi="Palatino Linotype" w:cs="Tahoma"/>
        </w:rPr>
      </w:pPr>
    </w:p>
    <w:p w14:paraId="2F89742C" w14:textId="7777777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473A92C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2D1CB6A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41970106"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590F2868"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358E06D5"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24A8E62F"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7E935384" w14:textId="77777777"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74F7E2D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4C7387C"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49CEE528"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213A0FE4"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4B8067EF"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182007F4"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lastRenderedPageBreak/>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FDDE419" w14:textId="77777777" w:rsidR="007C7618" w:rsidRDefault="007C7618" w:rsidP="00F16598">
      <w:pPr>
        <w:spacing w:after="0" w:line="360" w:lineRule="auto"/>
        <w:jc w:val="both"/>
        <w:rPr>
          <w:rFonts w:ascii="Palatino Linotype" w:eastAsia="Calibri" w:hAnsi="Palatino Linotype" w:cs="Tahoma"/>
          <w:bCs/>
          <w:lang w:val="es-MX"/>
        </w:rPr>
      </w:pPr>
    </w:p>
    <w:p w14:paraId="1E845F5D"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574B22D0"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8836FF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656B07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60BE9A8"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220FAD4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E77F93A"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6BA0FDE2"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A38C2D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0E9654D8"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3841AD8C"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lastRenderedPageBreak/>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4AABADD9"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37393D7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29F6E93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005D1882"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0E81D193"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551BD89"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4BE0FD6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1663329" w14:textId="77777777"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18C55E1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66B7B361"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3069895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5BC5FD02"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558816FC"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60E6928B"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0890C5E7"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3504D582"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157FA49C"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5CDAB9FB" w14:textId="77777777" w:rsidR="00AF7673"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4E1DAC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637712B0"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6A14C499"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39C7198B"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262BBBEB" w14:textId="77777777"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76D4F8B7"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63567638"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702385C"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7B38D81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EC7E7AA"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660F4CD5"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74036CAE"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426D3F3B" w14:textId="77777777"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741F8330" w14:textId="77777777" w:rsidR="009073A7" w:rsidRPr="009073A7" w:rsidRDefault="009073A7" w:rsidP="009073A7">
      <w:pPr>
        <w:spacing w:after="0" w:line="360" w:lineRule="auto"/>
        <w:jc w:val="both"/>
        <w:rPr>
          <w:rFonts w:ascii="Palatino Linotype" w:eastAsia="Calibri" w:hAnsi="Palatino Linotype" w:cs="Tahoma"/>
          <w:lang w:val="es-MX"/>
        </w:rPr>
      </w:pPr>
    </w:p>
    <w:p w14:paraId="77F8B096" w14:textId="7777777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1A9B56EB" w14:textId="77777777"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w:t>
      </w:r>
      <w:r>
        <w:rPr>
          <w:rFonts w:ascii="Palatino Linotype" w:eastAsia="Calibri" w:hAnsi="Palatino Linotype" w:cs="Tahoma"/>
          <w:b/>
          <w:bCs/>
          <w:lang w:val="es-MX"/>
        </w:rPr>
        <w:lastRenderedPageBreak/>
        <w:t xml:space="preserve">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5462228D" w14:textId="77777777" w:rsidR="00AF7673" w:rsidRDefault="00AF7673" w:rsidP="009073A7">
      <w:pPr>
        <w:spacing w:after="0" w:line="360" w:lineRule="auto"/>
        <w:jc w:val="both"/>
        <w:rPr>
          <w:rFonts w:ascii="Palatino Linotype" w:eastAsia="Calibri" w:hAnsi="Palatino Linotype" w:cs="Tahoma"/>
          <w:b/>
          <w:bCs/>
          <w:lang w:val="es-MX"/>
        </w:rPr>
      </w:pPr>
    </w:p>
    <w:p w14:paraId="53D4695E" w14:textId="77777777"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16DB1571"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DD23ECE" w14:textId="7777777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35C04BD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D2B2DD6"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6C8A2855"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0B3A2A8F"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517F7628"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1E4BDF1"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La información requerida, no es producto de la intervención de comunicaciones privadas, ni se encuentra contenida en averiguaciones previas, carpetas de investigación, expedientes y archivos de investigación o prevención de delitos.</w:t>
      </w:r>
    </w:p>
    <w:p w14:paraId="5F577F1F"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3AB4A76C" w14:textId="77777777"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3F87A7EF" w14:textId="77777777" w:rsidR="00AF7673" w:rsidRDefault="00AF7673" w:rsidP="00AF7673">
      <w:pPr>
        <w:pStyle w:val="Prrafodelista"/>
        <w:rPr>
          <w:rFonts w:ascii="Palatino Linotype" w:eastAsia="Calibri" w:hAnsi="Palatino Linotype" w:cs="Tahoma"/>
          <w:bCs/>
          <w:lang w:val="es-MX"/>
        </w:rPr>
      </w:pPr>
    </w:p>
    <w:p w14:paraId="52426386" w14:textId="77777777"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57F0F481" w14:textId="77777777" w:rsidR="00AF7673" w:rsidRDefault="00AF7673" w:rsidP="00F16598">
      <w:pPr>
        <w:spacing w:after="0" w:line="360" w:lineRule="auto"/>
        <w:jc w:val="both"/>
        <w:rPr>
          <w:rFonts w:ascii="Palatino Linotype" w:eastAsia="Calibri" w:hAnsi="Palatino Linotype" w:cs="Tahoma"/>
          <w:b/>
          <w:iCs/>
          <w:lang w:eastAsia="es-ES_tradnl"/>
        </w:rPr>
      </w:pPr>
    </w:p>
    <w:p w14:paraId="51E0D71F" w14:textId="77777777"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39A9AD6F" w14:textId="77777777" w:rsidR="00F16598" w:rsidRDefault="00F16598" w:rsidP="002F4CEB">
      <w:pPr>
        <w:spacing w:after="0" w:line="360" w:lineRule="auto"/>
        <w:jc w:val="both"/>
        <w:rPr>
          <w:rFonts w:ascii="Palatino Linotype" w:hAnsi="Palatino Linotype" w:cs="Tahoma"/>
        </w:rPr>
      </w:pPr>
    </w:p>
    <w:p w14:paraId="3D6F47C0" w14:textId="77777777" w:rsidR="00EB7785" w:rsidRDefault="00AF7673" w:rsidP="002F4CEB">
      <w:pPr>
        <w:spacing w:after="0" w:line="360" w:lineRule="auto"/>
        <w:jc w:val="both"/>
        <w:rPr>
          <w:rFonts w:ascii="Palatino Linotype" w:hAnsi="Palatino Linotype" w:cs="Tahoma"/>
        </w:rPr>
      </w:pPr>
      <w:r>
        <w:rPr>
          <w:rFonts w:ascii="Palatino Linotype" w:hAnsi="Palatino Linotype" w:cs="Tahoma"/>
        </w:rPr>
        <w:t>Por todo lo anterior, recalc</w:t>
      </w:r>
      <w:r w:rsidR="00EB7785">
        <w:rPr>
          <w:rFonts w:ascii="Palatino Linotype" w:hAnsi="Palatino Linotype" w:cs="Tahoma"/>
        </w:rPr>
        <w:t>o</w:t>
      </w:r>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que en el análisis de las resoluciones que dicta este Pleno, se proporcione un estudio exhaustivo y ofrecer al Particular las herramientas para conocer las razones por las que procede o no la reserva de 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71207514" w14:textId="77777777" w:rsidR="00EB7785" w:rsidRDefault="00EB7785" w:rsidP="002F4CEB">
      <w:pPr>
        <w:spacing w:after="0" w:line="360" w:lineRule="auto"/>
        <w:jc w:val="both"/>
        <w:rPr>
          <w:rFonts w:ascii="Palatino Linotype" w:hAnsi="Palatino Linotype" w:cs="Tahoma"/>
        </w:rPr>
      </w:pPr>
    </w:p>
    <w:p w14:paraId="0538626D" w14:textId="77777777"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p>
    <w:p w14:paraId="5F24A146" w14:textId="77777777" w:rsidR="002F4CEB" w:rsidRDefault="002F4CEB" w:rsidP="002F4CEB">
      <w:pPr>
        <w:spacing w:after="0" w:line="360" w:lineRule="auto"/>
        <w:jc w:val="both"/>
        <w:rPr>
          <w:rFonts w:ascii="Palatino Linotype" w:hAnsi="Palatino Linotype" w:cs="Tahoma"/>
        </w:rPr>
      </w:pPr>
    </w:p>
    <w:p w14:paraId="1B4BE4AE" w14:textId="77777777" w:rsidR="002F4CEB" w:rsidRDefault="002F4CEB" w:rsidP="002F4CEB">
      <w:pPr>
        <w:spacing w:after="0" w:line="360" w:lineRule="auto"/>
        <w:jc w:val="both"/>
        <w:rPr>
          <w:rFonts w:ascii="Palatino Linotype" w:hAnsi="Palatino Linotype" w:cs="Tahoma"/>
        </w:rPr>
      </w:pPr>
    </w:p>
    <w:p w14:paraId="4990B06A" w14:textId="77777777" w:rsidR="002F4CEB" w:rsidRDefault="002F4CEB" w:rsidP="002F4CEB">
      <w:pPr>
        <w:spacing w:after="0" w:line="360" w:lineRule="auto"/>
        <w:jc w:val="both"/>
        <w:rPr>
          <w:rFonts w:ascii="Palatino Linotype" w:hAnsi="Palatino Linotype" w:cs="Tahoma"/>
        </w:rPr>
      </w:pPr>
    </w:p>
    <w:p w14:paraId="4ECCBE1B" w14:textId="77777777" w:rsidR="002F4CEB" w:rsidRDefault="002F4CEB" w:rsidP="002F4CEB">
      <w:pPr>
        <w:spacing w:after="0" w:line="360" w:lineRule="auto"/>
        <w:jc w:val="both"/>
        <w:rPr>
          <w:rFonts w:ascii="Palatino Linotype" w:hAnsi="Palatino Linotype" w:cs="Tahoma"/>
        </w:rPr>
      </w:pPr>
    </w:p>
    <w:p w14:paraId="1FA5E55B" w14:textId="77777777" w:rsidR="002F4CEB" w:rsidRDefault="002F4CEB" w:rsidP="002F4CEB">
      <w:pPr>
        <w:spacing w:after="0" w:line="360" w:lineRule="auto"/>
        <w:jc w:val="both"/>
        <w:rPr>
          <w:rFonts w:ascii="Palatino Linotype" w:hAnsi="Palatino Linotype" w:cs="Tahoma"/>
        </w:rPr>
      </w:pPr>
    </w:p>
    <w:p w14:paraId="3A5C9BD7" w14:textId="77777777" w:rsidR="002F4CEB" w:rsidRDefault="002F4CEB" w:rsidP="002F4CEB">
      <w:pPr>
        <w:spacing w:after="0" w:line="360" w:lineRule="auto"/>
        <w:jc w:val="both"/>
        <w:rPr>
          <w:rFonts w:ascii="Palatino Linotype" w:hAnsi="Palatino Linotype" w:cs="Tahoma"/>
        </w:rPr>
      </w:pPr>
    </w:p>
    <w:p w14:paraId="0DD36166" w14:textId="77777777" w:rsidR="002F4CEB" w:rsidRDefault="002F4CEB" w:rsidP="002F4CEB">
      <w:pPr>
        <w:spacing w:after="0" w:line="360" w:lineRule="auto"/>
        <w:jc w:val="both"/>
        <w:rPr>
          <w:rFonts w:ascii="Palatino Linotype" w:hAnsi="Palatino Linotype" w:cs="Tahoma"/>
        </w:rPr>
      </w:pPr>
    </w:p>
    <w:p w14:paraId="014C34D0" w14:textId="77777777" w:rsidR="00F34C61" w:rsidRDefault="00F34C61" w:rsidP="00B463E2">
      <w:pPr>
        <w:spacing w:after="0" w:line="360" w:lineRule="auto"/>
        <w:jc w:val="both"/>
        <w:rPr>
          <w:rFonts w:ascii="Palatino Linotype" w:hAnsi="Palatino Linotype" w:cs="Tahoma"/>
        </w:rPr>
      </w:pPr>
    </w:p>
    <w:p w14:paraId="6392D039" w14:textId="77777777" w:rsidR="00F34C61" w:rsidRDefault="00F34C61" w:rsidP="00B463E2">
      <w:pPr>
        <w:spacing w:after="0" w:line="360" w:lineRule="auto"/>
        <w:jc w:val="both"/>
        <w:rPr>
          <w:rFonts w:ascii="Palatino Linotype" w:hAnsi="Palatino Linotype" w:cs="Tahoma"/>
        </w:rPr>
      </w:pPr>
    </w:p>
    <w:p w14:paraId="124B118C" w14:textId="77777777" w:rsidR="00F34C61" w:rsidRDefault="00F34C61" w:rsidP="00B463E2">
      <w:pPr>
        <w:spacing w:after="0" w:line="360" w:lineRule="auto"/>
        <w:jc w:val="both"/>
        <w:rPr>
          <w:rFonts w:ascii="Palatino Linotype" w:hAnsi="Palatino Linotype" w:cs="Tahoma"/>
        </w:rPr>
      </w:pPr>
    </w:p>
    <w:p w14:paraId="64ECE9F2" w14:textId="77777777" w:rsidR="00F34C61" w:rsidRDefault="00F34C61" w:rsidP="00B463E2">
      <w:pPr>
        <w:spacing w:after="0" w:line="360" w:lineRule="auto"/>
        <w:jc w:val="both"/>
        <w:rPr>
          <w:rFonts w:ascii="Palatino Linotype" w:hAnsi="Palatino Linotype" w:cs="Tahoma"/>
        </w:rPr>
      </w:pPr>
    </w:p>
    <w:p w14:paraId="6FD7CAB1" w14:textId="77777777" w:rsidR="00F34C61" w:rsidRDefault="00F34C61" w:rsidP="00B463E2">
      <w:pPr>
        <w:spacing w:after="0" w:line="360" w:lineRule="auto"/>
        <w:jc w:val="both"/>
        <w:rPr>
          <w:rFonts w:ascii="Palatino Linotype" w:hAnsi="Palatino Linotype" w:cs="Tahoma"/>
        </w:rPr>
      </w:pPr>
    </w:p>
    <w:p w14:paraId="4487EA14" w14:textId="77777777" w:rsidR="00F34C61" w:rsidRDefault="00F34C61" w:rsidP="00B463E2">
      <w:pPr>
        <w:spacing w:after="0" w:line="360" w:lineRule="auto"/>
        <w:jc w:val="both"/>
        <w:rPr>
          <w:rFonts w:ascii="Palatino Linotype" w:hAnsi="Palatino Linotype" w:cs="Tahoma"/>
        </w:rPr>
      </w:pPr>
    </w:p>
    <w:p w14:paraId="2D2BCBD2" w14:textId="77777777" w:rsidR="00F34C61" w:rsidRDefault="00F34C61" w:rsidP="00B463E2">
      <w:pPr>
        <w:spacing w:after="0" w:line="360" w:lineRule="auto"/>
        <w:jc w:val="both"/>
        <w:rPr>
          <w:rFonts w:ascii="Palatino Linotype" w:hAnsi="Palatino Linotype" w:cs="Tahoma"/>
        </w:rPr>
      </w:pPr>
    </w:p>
    <w:p w14:paraId="043706DE" w14:textId="77777777" w:rsidR="00F34C61" w:rsidRDefault="00F34C61" w:rsidP="00B463E2">
      <w:pPr>
        <w:spacing w:after="0" w:line="360" w:lineRule="auto"/>
        <w:jc w:val="both"/>
        <w:rPr>
          <w:rFonts w:ascii="Palatino Linotype" w:hAnsi="Palatino Linotype" w:cs="Tahoma"/>
        </w:rPr>
      </w:pPr>
    </w:p>
    <w:p w14:paraId="4E0F2261" w14:textId="77777777" w:rsidR="00F34C61" w:rsidRDefault="00F34C61" w:rsidP="00B463E2">
      <w:pPr>
        <w:spacing w:after="0" w:line="360" w:lineRule="auto"/>
        <w:jc w:val="both"/>
        <w:rPr>
          <w:rFonts w:ascii="Palatino Linotype" w:hAnsi="Palatino Linotype" w:cs="Tahoma"/>
        </w:rPr>
      </w:pPr>
    </w:p>
    <w:p w14:paraId="35A6B1C4" w14:textId="77777777" w:rsidR="00F34C61" w:rsidRDefault="00F34C61" w:rsidP="00B463E2">
      <w:pPr>
        <w:spacing w:after="0" w:line="360" w:lineRule="auto"/>
        <w:jc w:val="both"/>
        <w:rPr>
          <w:rFonts w:ascii="Palatino Linotype" w:hAnsi="Palatino Linotype" w:cs="Tahoma"/>
        </w:rPr>
      </w:pPr>
    </w:p>
    <w:p w14:paraId="56FE6D77" w14:textId="77777777" w:rsidR="00F34C61" w:rsidRDefault="00F34C61" w:rsidP="00B463E2">
      <w:pPr>
        <w:spacing w:after="0" w:line="360" w:lineRule="auto"/>
        <w:jc w:val="both"/>
        <w:rPr>
          <w:rFonts w:ascii="Palatino Linotype" w:hAnsi="Palatino Linotype" w:cs="Tahoma"/>
        </w:rPr>
      </w:pPr>
    </w:p>
    <w:p w14:paraId="79BA5015" w14:textId="77777777" w:rsidR="00F34C61" w:rsidRDefault="00F34C61" w:rsidP="00B463E2">
      <w:pPr>
        <w:spacing w:after="0" w:line="360" w:lineRule="auto"/>
        <w:jc w:val="both"/>
        <w:rPr>
          <w:rFonts w:ascii="Palatino Linotype" w:hAnsi="Palatino Linotype" w:cs="Tahoma"/>
        </w:rPr>
      </w:pPr>
    </w:p>
    <w:p w14:paraId="7B9F3E5F" w14:textId="77777777" w:rsidR="00F34C61" w:rsidRDefault="00F34C61" w:rsidP="00B463E2">
      <w:pPr>
        <w:spacing w:after="0" w:line="360" w:lineRule="auto"/>
        <w:jc w:val="both"/>
        <w:rPr>
          <w:rFonts w:ascii="Palatino Linotype" w:hAnsi="Palatino Linotype" w:cs="Tahoma"/>
        </w:rPr>
      </w:pPr>
    </w:p>
    <w:p w14:paraId="2728AF62" w14:textId="77777777" w:rsidR="00F34C61" w:rsidRDefault="00F34C61" w:rsidP="00B463E2">
      <w:pPr>
        <w:spacing w:after="0" w:line="360" w:lineRule="auto"/>
        <w:jc w:val="both"/>
        <w:rPr>
          <w:rFonts w:ascii="Palatino Linotype" w:hAnsi="Palatino Linotype" w:cs="Tahoma"/>
        </w:rPr>
      </w:pPr>
    </w:p>
    <w:p w14:paraId="5EDD1997" w14:textId="77777777" w:rsidR="00F34C61" w:rsidRDefault="00F34C61" w:rsidP="00B463E2">
      <w:pPr>
        <w:spacing w:after="0" w:line="360" w:lineRule="auto"/>
        <w:jc w:val="both"/>
        <w:rPr>
          <w:rFonts w:ascii="Palatino Linotype" w:hAnsi="Palatino Linotype" w:cs="Tahoma"/>
        </w:rPr>
      </w:pPr>
    </w:p>
    <w:p w14:paraId="632BB1A3" w14:textId="77777777" w:rsidR="00F34C61" w:rsidRDefault="00F34C61" w:rsidP="00B463E2">
      <w:pPr>
        <w:spacing w:after="0" w:line="360" w:lineRule="auto"/>
        <w:jc w:val="both"/>
        <w:rPr>
          <w:rFonts w:ascii="Palatino Linotype" w:hAnsi="Palatino Linotype" w:cs="Tahoma"/>
        </w:rPr>
      </w:pPr>
    </w:p>
    <w:p w14:paraId="1E4A96C1" w14:textId="77777777" w:rsidR="00F34C61" w:rsidRDefault="00F34C61" w:rsidP="00B463E2">
      <w:pPr>
        <w:spacing w:after="0" w:line="360" w:lineRule="auto"/>
        <w:jc w:val="both"/>
        <w:rPr>
          <w:rFonts w:ascii="Palatino Linotype" w:hAnsi="Palatino Linotype" w:cs="Tahoma"/>
        </w:rPr>
      </w:pPr>
    </w:p>
    <w:p w14:paraId="2E862A1A" w14:textId="77777777" w:rsidR="00F34C61" w:rsidRDefault="00F34C61" w:rsidP="00B463E2">
      <w:pPr>
        <w:spacing w:after="0" w:line="360" w:lineRule="auto"/>
        <w:jc w:val="both"/>
        <w:rPr>
          <w:rFonts w:ascii="Palatino Linotype" w:hAnsi="Palatino Linotype" w:cs="Tahoma"/>
        </w:rPr>
      </w:pPr>
    </w:p>
    <w:p w14:paraId="6C0A05ED" w14:textId="77777777" w:rsidR="00F34C61" w:rsidRDefault="00F34C61" w:rsidP="00B463E2">
      <w:pPr>
        <w:spacing w:after="0" w:line="360" w:lineRule="auto"/>
        <w:jc w:val="both"/>
        <w:rPr>
          <w:rFonts w:ascii="Palatino Linotype" w:hAnsi="Palatino Linotype" w:cs="Tahoma"/>
        </w:rPr>
      </w:pPr>
    </w:p>
    <w:p w14:paraId="5792572C" w14:textId="77777777" w:rsidR="00F34C61" w:rsidRDefault="00F34C61" w:rsidP="00B463E2">
      <w:pPr>
        <w:spacing w:after="0" w:line="360" w:lineRule="auto"/>
        <w:jc w:val="both"/>
        <w:rPr>
          <w:rFonts w:ascii="Palatino Linotype" w:hAnsi="Palatino Linotype" w:cs="Tahoma"/>
        </w:rPr>
      </w:pPr>
    </w:p>
    <w:p w14:paraId="2427196A"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42DEF" w14:textId="77777777" w:rsidR="00F270D0" w:rsidRDefault="00F270D0" w:rsidP="00A80C30">
      <w:pPr>
        <w:spacing w:after="0" w:line="240" w:lineRule="auto"/>
      </w:pPr>
      <w:r>
        <w:separator/>
      </w:r>
    </w:p>
  </w:endnote>
  <w:endnote w:type="continuationSeparator" w:id="0">
    <w:p w14:paraId="4B068DFF" w14:textId="77777777" w:rsidR="00F270D0" w:rsidRDefault="00F270D0"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Content>
      <w:sdt>
        <w:sdtPr>
          <w:id w:val="1728636285"/>
          <w:docPartObj>
            <w:docPartGallery w:val="Page Numbers (Top of Page)"/>
            <w:docPartUnique/>
          </w:docPartObj>
        </w:sdtPr>
        <w:sdtContent>
          <w:p w14:paraId="648A203E" w14:textId="77777777" w:rsidR="00000000"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866BD">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866BD">
              <w:rPr>
                <w:b/>
                <w:bCs/>
                <w:noProof/>
              </w:rPr>
              <w:t>19</w:t>
            </w:r>
            <w:r>
              <w:rPr>
                <w:b/>
                <w:bCs/>
                <w:sz w:val="24"/>
                <w:szCs w:val="24"/>
              </w:rPr>
              <w:fldChar w:fldCharType="end"/>
            </w:r>
          </w:p>
        </w:sdtContent>
      </w:sdt>
    </w:sdtContent>
  </w:sdt>
  <w:p w14:paraId="2203E3C2"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D6F60" w14:textId="77777777" w:rsidR="00F270D0" w:rsidRDefault="00F270D0" w:rsidP="00A80C30">
      <w:pPr>
        <w:spacing w:after="0" w:line="240" w:lineRule="auto"/>
      </w:pPr>
      <w:r>
        <w:separator/>
      </w:r>
    </w:p>
  </w:footnote>
  <w:footnote w:type="continuationSeparator" w:id="0">
    <w:p w14:paraId="68EAE9A6" w14:textId="77777777" w:rsidR="00F270D0" w:rsidRDefault="00F270D0"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BA6F" w14:textId="77777777" w:rsidR="00A80C30" w:rsidRDefault="00000000">
    <w:pPr>
      <w:pStyle w:val="Encabezado"/>
    </w:pPr>
    <w:r>
      <w:rPr>
        <w:noProof/>
      </w:rPr>
      <w:pict w14:anchorId="32A28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4"/>
    </w:tblGrid>
    <w:tr w:rsidR="0077694E" w:rsidRPr="001106EA" w14:paraId="34B4A025" w14:textId="77777777" w:rsidTr="0040472D">
      <w:trPr>
        <w:trHeight w:val="1843"/>
      </w:trPr>
      <w:tc>
        <w:tcPr>
          <w:tcW w:w="3119" w:type="dxa"/>
          <w:vAlign w:val="bottom"/>
        </w:tcPr>
        <w:p w14:paraId="0DDD532D" w14:textId="77777777" w:rsidR="00000000"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2104460C" wp14:editId="3C0002D1">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7ECC99F2" w14:textId="77777777" w:rsidR="00285C7B" w:rsidRDefault="00285C7B" w:rsidP="00285C7B">
          <w:pPr>
            <w:pStyle w:val="Encabezado"/>
            <w:tabs>
              <w:tab w:val="clear" w:pos="4252"/>
              <w:tab w:val="center" w:pos="2614"/>
            </w:tabs>
            <w:ind w:left="-255"/>
          </w:pPr>
        </w:p>
      </w:tc>
      <w:tc>
        <w:tcPr>
          <w:tcW w:w="5954" w:type="dxa"/>
          <w:vAlign w:val="center"/>
        </w:tcPr>
        <w:p w14:paraId="0A3AC663" w14:textId="77777777" w:rsidR="00000000"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0BD985FB" w14:textId="77777777" w:rsidR="004E5EAD" w:rsidRPr="00402F56" w:rsidRDefault="001F75E5" w:rsidP="00402F56">
          <w:pPr>
            <w:pStyle w:val="Encabezado"/>
            <w:ind w:left="-108" w:right="37"/>
            <w:jc w:val="both"/>
            <w:rPr>
              <w:rFonts w:ascii="Palatino Linotype" w:hAnsi="Palatino Linotype" w:cs="Tahoma"/>
              <w:bCs/>
            </w:rPr>
          </w:pPr>
          <w:r w:rsidRPr="00B9745A">
            <w:rPr>
              <w:rFonts w:ascii="Palatino Linotype" w:hAnsi="Palatino Linotype" w:cs="Tahoma"/>
              <w:b/>
            </w:rPr>
            <w:t>Recurso de Revisión:</w:t>
          </w:r>
          <w:r w:rsidR="0018403B">
            <w:rPr>
              <w:rFonts w:ascii="Palatino Linotype" w:hAnsi="Palatino Linotype" w:cs="Tahoma"/>
              <w:b/>
            </w:rPr>
            <w:t xml:space="preserve"> </w:t>
          </w:r>
          <w:r w:rsidR="00402F56">
            <w:rPr>
              <w:rFonts w:ascii="Palatino Linotype" w:hAnsi="Palatino Linotype" w:cs="Tahoma"/>
              <w:bCs/>
            </w:rPr>
            <w:t>03413</w:t>
          </w:r>
          <w:r w:rsidR="000E09CA" w:rsidRPr="000E09CA">
            <w:rPr>
              <w:rFonts w:ascii="Palatino Linotype" w:hAnsi="Palatino Linotype"/>
              <w:lang w:val="es-MX"/>
            </w:rPr>
            <w:t>/INFOEM/IP/RR/</w:t>
          </w:r>
          <w:r w:rsidR="00B16767">
            <w:rPr>
              <w:rFonts w:ascii="Palatino Linotype" w:hAnsi="Palatino Linotype"/>
              <w:lang w:val="es-MX"/>
            </w:rPr>
            <w:t>2022 y acumulados</w:t>
          </w:r>
        </w:p>
        <w:p w14:paraId="32F5A2A2" w14:textId="77777777"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402F56">
            <w:rPr>
              <w:rFonts w:ascii="Palatino Linotype" w:hAnsi="Palatino Linotype"/>
              <w:bCs/>
              <w:lang w:val="es-MX"/>
            </w:rPr>
            <w:t>Toluca</w:t>
          </w:r>
        </w:p>
        <w:p w14:paraId="146D0063" w14:textId="77777777" w:rsidR="00285C7B" w:rsidRPr="00285C7B" w:rsidRDefault="001F75E5" w:rsidP="00967EEE">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B16767" w:rsidRPr="00B16767">
            <w:rPr>
              <w:rFonts w:ascii="Palatino Linotype" w:hAnsi="Palatino Linotype" w:cs="Arial"/>
              <w:szCs w:val="20"/>
            </w:rPr>
            <w:t>José Martínez Vilchis</w:t>
          </w:r>
        </w:p>
      </w:tc>
    </w:tr>
  </w:tbl>
  <w:p w14:paraId="10707E8A" w14:textId="77777777" w:rsidR="00000000" w:rsidRPr="001106EA" w:rsidRDefault="00000000">
    <w:pPr>
      <w:pStyle w:val="Encabezado"/>
      <w:rPr>
        <w:sz w:val="2"/>
        <w:szCs w:val="2"/>
      </w:rPr>
    </w:pPr>
    <w:r>
      <w:rPr>
        <w:noProof/>
      </w:rPr>
      <w:pict w14:anchorId="6778D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B315" w14:textId="77777777" w:rsidR="00A80C30" w:rsidRDefault="00000000">
    <w:pPr>
      <w:pStyle w:val="Encabezado"/>
    </w:pPr>
    <w:r>
      <w:rPr>
        <w:noProof/>
      </w:rPr>
      <w:pict w14:anchorId="220B1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834876146">
    <w:abstractNumId w:val="2"/>
  </w:num>
  <w:num w:numId="2" w16cid:durableId="2129006256">
    <w:abstractNumId w:val="4"/>
  </w:num>
  <w:num w:numId="3" w16cid:durableId="1688945315">
    <w:abstractNumId w:val="0"/>
  </w:num>
  <w:num w:numId="4" w16cid:durableId="1868563434">
    <w:abstractNumId w:val="1"/>
  </w:num>
  <w:num w:numId="5" w16cid:durableId="469444958">
    <w:abstractNumId w:val="7"/>
  </w:num>
  <w:num w:numId="6" w16cid:durableId="1583491642">
    <w:abstractNumId w:val="5"/>
  </w:num>
  <w:num w:numId="7" w16cid:durableId="767623342">
    <w:abstractNumId w:val="3"/>
  </w:num>
  <w:num w:numId="8" w16cid:durableId="164253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3DA8"/>
    <w:rsid w:val="000062F8"/>
    <w:rsid w:val="00020A58"/>
    <w:rsid w:val="0004695A"/>
    <w:rsid w:val="00047ED8"/>
    <w:rsid w:val="00052BC3"/>
    <w:rsid w:val="00082310"/>
    <w:rsid w:val="000E09CA"/>
    <w:rsid w:val="00100065"/>
    <w:rsid w:val="001830C9"/>
    <w:rsid w:val="0018403B"/>
    <w:rsid w:val="001971A0"/>
    <w:rsid w:val="001A758C"/>
    <w:rsid w:val="001C25E0"/>
    <w:rsid w:val="001F75E5"/>
    <w:rsid w:val="00271E8A"/>
    <w:rsid w:val="00285C7B"/>
    <w:rsid w:val="002D6AB3"/>
    <w:rsid w:val="002E5CC1"/>
    <w:rsid w:val="002F4CEB"/>
    <w:rsid w:val="00304A0F"/>
    <w:rsid w:val="00314859"/>
    <w:rsid w:val="003365F9"/>
    <w:rsid w:val="003B390E"/>
    <w:rsid w:val="003E56C5"/>
    <w:rsid w:val="00400BE5"/>
    <w:rsid w:val="00402F56"/>
    <w:rsid w:val="0040472D"/>
    <w:rsid w:val="004134DC"/>
    <w:rsid w:val="00427F85"/>
    <w:rsid w:val="004412C6"/>
    <w:rsid w:val="004474C6"/>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601591"/>
    <w:rsid w:val="006408E2"/>
    <w:rsid w:val="00677350"/>
    <w:rsid w:val="00684986"/>
    <w:rsid w:val="00686864"/>
    <w:rsid w:val="00690441"/>
    <w:rsid w:val="00691A36"/>
    <w:rsid w:val="006C2B09"/>
    <w:rsid w:val="006F0AD4"/>
    <w:rsid w:val="00716333"/>
    <w:rsid w:val="00756729"/>
    <w:rsid w:val="007C7618"/>
    <w:rsid w:val="007F32AC"/>
    <w:rsid w:val="008036A4"/>
    <w:rsid w:val="00821A8D"/>
    <w:rsid w:val="00823E1B"/>
    <w:rsid w:val="0083177F"/>
    <w:rsid w:val="00833C20"/>
    <w:rsid w:val="00842979"/>
    <w:rsid w:val="0086164B"/>
    <w:rsid w:val="00864A25"/>
    <w:rsid w:val="00864FE8"/>
    <w:rsid w:val="008A0141"/>
    <w:rsid w:val="008C507B"/>
    <w:rsid w:val="008C5093"/>
    <w:rsid w:val="008E1028"/>
    <w:rsid w:val="008E2746"/>
    <w:rsid w:val="008F78B8"/>
    <w:rsid w:val="009073A7"/>
    <w:rsid w:val="00913F1E"/>
    <w:rsid w:val="00915819"/>
    <w:rsid w:val="00922026"/>
    <w:rsid w:val="00926BCA"/>
    <w:rsid w:val="00932696"/>
    <w:rsid w:val="00940F06"/>
    <w:rsid w:val="009462C4"/>
    <w:rsid w:val="00957CF3"/>
    <w:rsid w:val="00960C5A"/>
    <w:rsid w:val="00961702"/>
    <w:rsid w:val="00967EEE"/>
    <w:rsid w:val="009B2079"/>
    <w:rsid w:val="009B6FDE"/>
    <w:rsid w:val="009C33A4"/>
    <w:rsid w:val="009C6B45"/>
    <w:rsid w:val="009D400F"/>
    <w:rsid w:val="009F23B2"/>
    <w:rsid w:val="009F5F4C"/>
    <w:rsid w:val="00A17634"/>
    <w:rsid w:val="00A17F80"/>
    <w:rsid w:val="00A21473"/>
    <w:rsid w:val="00A54CCC"/>
    <w:rsid w:val="00A72226"/>
    <w:rsid w:val="00A80C30"/>
    <w:rsid w:val="00A9782A"/>
    <w:rsid w:val="00AA3F1A"/>
    <w:rsid w:val="00AD0D45"/>
    <w:rsid w:val="00AF1A41"/>
    <w:rsid w:val="00AF5CE0"/>
    <w:rsid w:val="00AF7673"/>
    <w:rsid w:val="00AF77D3"/>
    <w:rsid w:val="00B16767"/>
    <w:rsid w:val="00B21D49"/>
    <w:rsid w:val="00B43526"/>
    <w:rsid w:val="00B463E2"/>
    <w:rsid w:val="00B55282"/>
    <w:rsid w:val="00B645DD"/>
    <w:rsid w:val="00B80272"/>
    <w:rsid w:val="00B9235F"/>
    <w:rsid w:val="00BA54EE"/>
    <w:rsid w:val="00BE1261"/>
    <w:rsid w:val="00C002CE"/>
    <w:rsid w:val="00C00E77"/>
    <w:rsid w:val="00C3754B"/>
    <w:rsid w:val="00C60748"/>
    <w:rsid w:val="00C60C1A"/>
    <w:rsid w:val="00C75CD8"/>
    <w:rsid w:val="00C75F6B"/>
    <w:rsid w:val="00C866BD"/>
    <w:rsid w:val="00CA3EE9"/>
    <w:rsid w:val="00CB36F3"/>
    <w:rsid w:val="00CB5A21"/>
    <w:rsid w:val="00CC3620"/>
    <w:rsid w:val="00CD7937"/>
    <w:rsid w:val="00CF1FFD"/>
    <w:rsid w:val="00CF41C9"/>
    <w:rsid w:val="00D07D91"/>
    <w:rsid w:val="00D1185A"/>
    <w:rsid w:val="00D51BFD"/>
    <w:rsid w:val="00D53681"/>
    <w:rsid w:val="00D6254E"/>
    <w:rsid w:val="00D76A6E"/>
    <w:rsid w:val="00DA6E7C"/>
    <w:rsid w:val="00DB121C"/>
    <w:rsid w:val="00DB263D"/>
    <w:rsid w:val="00DD5D61"/>
    <w:rsid w:val="00E169DE"/>
    <w:rsid w:val="00E31450"/>
    <w:rsid w:val="00E43FEA"/>
    <w:rsid w:val="00E60460"/>
    <w:rsid w:val="00E6475C"/>
    <w:rsid w:val="00E67710"/>
    <w:rsid w:val="00E678EF"/>
    <w:rsid w:val="00E7322A"/>
    <w:rsid w:val="00E878DE"/>
    <w:rsid w:val="00EB135A"/>
    <w:rsid w:val="00EB7785"/>
    <w:rsid w:val="00ED313F"/>
    <w:rsid w:val="00EE633B"/>
    <w:rsid w:val="00EE7B51"/>
    <w:rsid w:val="00EF470A"/>
    <w:rsid w:val="00F04F7C"/>
    <w:rsid w:val="00F1426D"/>
    <w:rsid w:val="00F16598"/>
    <w:rsid w:val="00F17B52"/>
    <w:rsid w:val="00F257E9"/>
    <w:rsid w:val="00F270D0"/>
    <w:rsid w:val="00F34C61"/>
    <w:rsid w:val="00F35BFB"/>
    <w:rsid w:val="00F51D82"/>
    <w:rsid w:val="00F53DD4"/>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223BB"/>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5046</Words>
  <Characters>27758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Sandra Ivette Razo De La Paz</cp:lastModifiedBy>
  <cp:revision>4</cp:revision>
  <cp:lastPrinted>2023-05-02T18:20:00Z</cp:lastPrinted>
  <dcterms:created xsi:type="dcterms:W3CDTF">2023-08-31T20:34:00Z</dcterms:created>
  <dcterms:modified xsi:type="dcterms:W3CDTF">2023-09-04T03:03:00Z</dcterms:modified>
</cp:coreProperties>
</file>