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DC9E" w14:textId="42DFE50C" w:rsidR="00745AE2" w:rsidRDefault="00745AE2" w:rsidP="00745AE2">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Pr>
          <w:rFonts w:ascii="Palatino Linotype" w:hAnsi="Palatino Linotype" w:cs="Tahoma"/>
          <w:b/>
        </w:rPr>
        <w:t xml:space="preserve">CIÓN DEL RECURSO DE REVISIÓN </w:t>
      </w:r>
      <w:r>
        <w:rPr>
          <w:rFonts w:ascii="Palatino Linotype" w:hAnsi="Palatino Linotype" w:cs="Arial"/>
          <w:b/>
          <w:bCs/>
          <w:lang w:eastAsia="es-MX"/>
        </w:rPr>
        <w:t>14612/INFOEM/IP/RR/2022</w:t>
      </w:r>
      <w:r w:rsidRPr="00A934FB">
        <w:rPr>
          <w:rFonts w:ascii="Palatino Linotype" w:hAnsi="Palatino Linotype" w:cs="Tahoma"/>
          <w:b/>
        </w:rPr>
        <w:t xml:space="preserve">, PROMOVIDO EN CONTRA DEL </w:t>
      </w:r>
      <w:r>
        <w:rPr>
          <w:rFonts w:ascii="Palatino Linotype" w:hAnsi="Palatino Linotype" w:cs="Tahoma"/>
          <w:b/>
        </w:rPr>
        <w:t>AYUNTAMIENTO DE MELCHOR OCAMPO.</w:t>
      </w:r>
    </w:p>
    <w:p w14:paraId="57AB519A" w14:textId="77777777" w:rsidR="00C91F3F" w:rsidRDefault="00C91F3F" w:rsidP="00745AE2">
      <w:pPr>
        <w:spacing w:after="0" w:line="360" w:lineRule="auto"/>
        <w:ind w:right="-93"/>
        <w:contextualSpacing/>
        <w:jc w:val="both"/>
        <w:rPr>
          <w:rFonts w:ascii="Palatino Linotype" w:hAnsi="Palatino Linotype"/>
        </w:rPr>
      </w:pPr>
    </w:p>
    <w:p w14:paraId="03E58D73" w14:textId="768E99B3" w:rsidR="00745AE2" w:rsidRDefault="00745AE2" w:rsidP="00745AE2">
      <w:pPr>
        <w:spacing w:after="0" w:line="360" w:lineRule="auto"/>
        <w:ind w:right="-93"/>
        <w:contextualSpacing/>
        <w:jc w:val="both"/>
        <w:rPr>
          <w:rFonts w:ascii="Palatino Linotype" w:hAnsi="Palatino Linotype"/>
        </w:rPr>
      </w:pPr>
      <w:r w:rsidRPr="004536B0">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emito el presente Voto </w:t>
      </w:r>
      <w:r>
        <w:rPr>
          <w:rFonts w:ascii="Palatino Linotype" w:hAnsi="Palatino Linotype"/>
        </w:rPr>
        <w:t>Particular</w:t>
      </w:r>
      <w:r w:rsidRPr="004536B0">
        <w:rPr>
          <w:rFonts w:ascii="Palatino Linotype" w:hAnsi="Palatino Linotype"/>
        </w:rPr>
        <w:t xml:space="preserve"> a la Resoluc</w:t>
      </w:r>
      <w:r>
        <w:rPr>
          <w:rFonts w:ascii="Palatino Linotype" w:hAnsi="Palatino Linotype"/>
        </w:rPr>
        <w:t xml:space="preserve">ión del Recurso de Revisión </w:t>
      </w:r>
      <w:r>
        <w:rPr>
          <w:rFonts w:ascii="Palatino Linotype" w:hAnsi="Palatino Linotype"/>
          <w:b/>
          <w:bCs/>
        </w:rPr>
        <w:t>14612/INFOEM/IP/RR/2022</w:t>
      </w:r>
      <w:r w:rsidRPr="004536B0">
        <w:rPr>
          <w:rFonts w:ascii="Palatino Linotype" w:hAnsi="Palatino Linotype"/>
        </w:rPr>
        <w:t>, por no compart</w:t>
      </w:r>
      <w:r>
        <w:rPr>
          <w:rFonts w:ascii="Palatino Linotype" w:hAnsi="Palatino Linotype"/>
        </w:rPr>
        <w:t>ir en su totalidad el sentido de la Resolución</w:t>
      </w:r>
      <w:r w:rsidRPr="004536B0">
        <w:rPr>
          <w:rFonts w:ascii="Palatino Linotype" w:hAnsi="Palatino Linotype"/>
        </w:rPr>
        <w:t xml:space="preserve">, conforme a lo siguiente: </w:t>
      </w:r>
    </w:p>
    <w:p w14:paraId="18703345" w14:textId="77777777" w:rsidR="00745AE2" w:rsidRDefault="00745AE2" w:rsidP="00745AE2">
      <w:pPr>
        <w:spacing w:after="0" w:line="360" w:lineRule="auto"/>
        <w:jc w:val="both"/>
        <w:rPr>
          <w:rFonts w:ascii="Palatino Linotype" w:hAnsi="Palatino Linotype"/>
          <w:bCs/>
        </w:rPr>
      </w:pPr>
    </w:p>
    <w:p w14:paraId="49CA488A" w14:textId="54AA19DB" w:rsidR="00745AE2" w:rsidRDefault="00745AE2" w:rsidP="00745A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entre otras cosas, </w:t>
      </w:r>
      <w:r w:rsidRPr="00745AE2">
        <w:rPr>
          <w:rFonts w:ascii="Palatino Linotype" w:hAnsi="Palatino Linotype" w:cs="Tahoma"/>
          <w:b/>
          <w:bCs/>
        </w:rPr>
        <w:t>el número de elementos que tienen función de escoltas y la cantidad de estos que están comisionados para el resguardo de instalaciones del Sujeto Obligado</w:t>
      </w:r>
      <w:r>
        <w:rPr>
          <w:rFonts w:ascii="Palatino Linotype" w:hAnsi="Palatino Linotype" w:cs="Tahoma"/>
          <w:b/>
          <w:bCs/>
        </w:rPr>
        <w:t>;</w:t>
      </w:r>
      <w:r>
        <w:rPr>
          <w:rFonts w:ascii="Palatino Linotype" w:hAnsi="Palatino Linotype" w:cs="Tahoma"/>
        </w:rPr>
        <w:t xml:space="preserve"> por ello, la Ponencia Resolutora determinó que el </w:t>
      </w:r>
      <w:r w:rsidRPr="00745AE2">
        <w:rPr>
          <w:rFonts w:ascii="Palatino Linotype" w:hAnsi="Palatino Linotype" w:cs="Tahoma"/>
        </w:rPr>
        <w:t>número de escoltas y de elementos comisionados al resguardo de instalaciones municipales</w:t>
      </w:r>
      <w:r>
        <w:rPr>
          <w:rFonts w:ascii="Palatino Linotype" w:hAnsi="Palatino Linotype" w:cs="Tahoma"/>
        </w:rPr>
        <w:t xml:space="preserve"> debían ser clasificados como reservados con fundamento en el artículo 140, fracción I, de la Ley de Transparencia y Acceso a la Información Pública del Estado de México y Municipios y, </w:t>
      </w:r>
      <w:r w:rsidRPr="0056435E">
        <w:rPr>
          <w:rFonts w:ascii="Palatino Linotype" w:hAnsi="Palatino Linotype" w:cs="Tahoma"/>
        </w:rPr>
        <w:t xml:space="preserve">ordenó la entrega de la información </w:t>
      </w:r>
      <w:r>
        <w:rPr>
          <w:rFonts w:ascii="Palatino Linotype" w:hAnsi="Palatino Linotype" w:cs="Tahoma"/>
        </w:rPr>
        <w:t>solicitada</w:t>
      </w:r>
      <w:r w:rsidRPr="0056435E">
        <w:rPr>
          <w:rFonts w:ascii="Palatino Linotype" w:hAnsi="Palatino Linotype" w:cs="Tahoma"/>
        </w:rPr>
        <w:t>, así como el acuerdo de clasificación emitido por el Comité de Transparencia.</w:t>
      </w:r>
    </w:p>
    <w:p w14:paraId="14076D29" w14:textId="77777777" w:rsidR="00745AE2" w:rsidRDefault="00745AE2" w:rsidP="00745AE2">
      <w:pPr>
        <w:spacing w:after="0" w:line="360" w:lineRule="auto"/>
        <w:jc w:val="both"/>
        <w:rPr>
          <w:rFonts w:ascii="Palatino Linotype" w:hAnsi="Palatino Linotype"/>
          <w:bCs/>
        </w:rPr>
      </w:pPr>
    </w:p>
    <w:p w14:paraId="65854238" w14:textId="4F503069" w:rsidR="00E76690" w:rsidRDefault="00E76690" w:rsidP="00E76690">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xml:space="preserve">, considero, en primer lugar, que para acreditar dicha circunstancia el Organismo Garante debe de desarrollar y estudiar la prueba de daño específica; en segundo lugar, no comparto la clasificación, referente al número de personal, con funciones de escolta de las instalaciones del </w:t>
      </w:r>
      <w:r>
        <w:rPr>
          <w:rFonts w:ascii="Palatino Linotype" w:hAnsi="Palatino Linotype" w:cs="Tahoma"/>
        </w:rPr>
        <w:lastRenderedPageBreak/>
        <w:t xml:space="preserve">Sujeto Obligado, </w:t>
      </w:r>
      <w:r w:rsidR="00B01539">
        <w:rPr>
          <w:rFonts w:ascii="Palatino Linotype" w:hAnsi="Palatino Linotype" w:cs="Tahoma"/>
        </w:rPr>
        <w:t xml:space="preserve">bajo la hipótesis </w:t>
      </w:r>
      <w:r>
        <w:rPr>
          <w:rFonts w:ascii="Palatino Linotype" w:hAnsi="Palatino Linotype" w:cs="Tahoma"/>
        </w:rPr>
        <w:t xml:space="preserve">de la fracción I, del artículo 140, de la Ley de Transparencia y Acceso a/ la Información Pública del Estado de México y Municipios, </w:t>
      </w:r>
      <w:r w:rsidR="00B01539">
        <w:rPr>
          <w:rFonts w:ascii="Palatino Linotype" w:hAnsi="Palatino Linotype" w:cs="Tahoma"/>
        </w:rPr>
        <w:t>dado que la</w:t>
      </w:r>
      <w:r>
        <w:rPr>
          <w:rFonts w:ascii="Palatino Linotype" w:hAnsi="Palatino Linotype" w:cs="Tahoma"/>
        </w:rPr>
        <w:t xml:space="preserve"> naturaleza de esta información</w:t>
      </w:r>
      <w:r w:rsidR="00B01539">
        <w:rPr>
          <w:rFonts w:ascii="Palatino Linotype" w:hAnsi="Palatino Linotype" w:cs="Tahoma"/>
        </w:rPr>
        <w:t xml:space="preserve">, </w:t>
      </w:r>
      <w:r>
        <w:rPr>
          <w:rFonts w:ascii="Palatino Linotype" w:hAnsi="Palatino Linotype" w:cs="Tahoma"/>
        </w:rPr>
        <w:t>debe ser clasificada en términos de la fracción VI, del artículo 140 de la Ley de la Materia</w:t>
      </w:r>
      <w:r w:rsidR="00B01539">
        <w:rPr>
          <w:rFonts w:ascii="Palatino Linotype" w:hAnsi="Palatino Linotype" w:cs="Tahoma"/>
        </w:rPr>
        <w:t>, por las siguientes consideraciones.</w:t>
      </w:r>
    </w:p>
    <w:p w14:paraId="73F77415" w14:textId="77777777" w:rsidR="00E76690" w:rsidRDefault="00E76690" w:rsidP="00E76690">
      <w:pPr>
        <w:spacing w:after="0" w:line="360" w:lineRule="auto"/>
        <w:jc w:val="both"/>
        <w:rPr>
          <w:rFonts w:ascii="Palatino Linotype" w:hAnsi="Palatino Linotype" w:cs="Tahoma"/>
        </w:rPr>
      </w:pPr>
    </w:p>
    <w:p w14:paraId="110F8987" w14:textId="77777777" w:rsidR="00B01539" w:rsidRPr="00C75CD8" w:rsidRDefault="00B01539" w:rsidP="00B01539">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1C1BC8A7" w14:textId="77777777" w:rsidR="00B01539" w:rsidRDefault="00B01539" w:rsidP="00B01539">
      <w:pPr>
        <w:spacing w:after="0" w:line="360" w:lineRule="auto"/>
        <w:jc w:val="both"/>
        <w:rPr>
          <w:rFonts w:ascii="Palatino Linotype" w:hAnsi="Palatino Linotype" w:cs="Tahoma"/>
        </w:rPr>
      </w:pPr>
    </w:p>
    <w:p w14:paraId="70ED6284" w14:textId="77777777" w:rsidR="00B01539" w:rsidRDefault="00B01539" w:rsidP="00B01539">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5DE95677" w14:textId="77777777" w:rsidR="00B01539" w:rsidRDefault="00B01539" w:rsidP="00B01539">
      <w:pPr>
        <w:spacing w:after="0" w:line="360" w:lineRule="auto"/>
        <w:jc w:val="both"/>
        <w:rPr>
          <w:rFonts w:ascii="Palatino Linotype" w:hAnsi="Palatino Linotype" w:cs="Tahoma"/>
        </w:rPr>
      </w:pPr>
    </w:p>
    <w:p w14:paraId="5BA6FE74" w14:textId="77777777" w:rsidR="00B01539" w:rsidRDefault="00B01539" w:rsidP="00B01539">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pública,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07C7F35" w14:textId="77777777" w:rsidR="00B01539" w:rsidRDefault="00B01539" w:rsidP="00B01539">
      <w:pPr>
        <w:spacing w:after="0" w:line="360" w:lineRule="auto"/>
        <w:jc w:val="both"/>
        <w:rPr>
          <w:rFonts w:ascii="Palatino Linotype" w:hAnsi="Palatino Linotype" w:cs="Tahoma"/>
        </w:rPr>
      </w:pPr>
    </w:p>
    <w:p w14:paraId="3328F0A4" w14:textId="77777777" w:rsidR="00B01539" w:rsidRPr="00FB0274" w:rsidRDefault="00B01539" w:rsidP="00B01539">
      <w:pPr>
        <w:spacing w:after="0" w:line="360" w:lineRule="auto"/>
        <w:jc w:val="both"/>
        <w:rPr>
          <w:rFonts w:ascii="Palatino Linotype" w:hAnsi="Palatino Linotype"/>
        </w:rPr>
      </w:pPr>
      <w:r>
        <w:rPr>
          <w:rFonts w:ascii="Palatino Linotype" w:hAnsi="Palatino Linotype"/>
        </w:rPr>
        <w:lastRenderedPageBreak/>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44A49BFE" w14:textId="77777777" w:rsidR="00B01539" w:rsidRPr="00FB0274" w:rsidRDefault="00B01539" w:rsidP="00B01539">
      <w:pPr>
        <w:spacing w:after="0" w:line="360" w:lineRule="auto"/>
        <w:jc w:val="both"/>
        <w:rPr>
          <w:rFonts w:ascii="Palatino Linotype" w:hAnsi="Palatino Linotype"/>
        </w:rPr>
      </w:pPr>
    </w:p>
    <w:p w14:paraId="7A0145FF" w14:textId="77777777" w:rsidR="00B01539" w:rsidRPr="00FB0274" w:rsidRDefault="00B01539" w:rsidP="00B01539">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w:t>
      </w:r>
      <w:r>
        <w:rPr>
          <w:rFonts w:ascii="Palatino Linotype" w:hAnsi="Palatino Linotype"/>
        </w:rPr>
        <w:t xml:space="preserve"> salud,</w:t>
      </w:r>
      <w:r w:rsidRPr="00FB0274">
        <w:rPr>
          <w:rFonts w:ascii="Palatino Linotype" w:hAnsi="Palatino Linotype"/>
        </w:rPr>
        <w:t xml:space="preserve"> integridad o seguridad.</w:t>
      </w:r>
    </w:p>
    <w:p w14:paraId="1DE748F7" w14:textId="77777777" w:rsidR="00B01539" w:rsidRPr="00FB0274" w:rsidRDefault="00B01539" w:rsidP="00B01539">
      <w:pPr>
        <w:spacing w:after="0" w:line="360" w:lineRule="auto"/>
        <w:jc w:val="both"/>
        <w:rPr>
          <w:rFonts w:ascii="Palatino Linotype" w:hAnsi="Palatino Linotype"/>
        </w:rPr>
      </w:pPr>
    </w:p>
    <w:p w14:paraId="4CE6F2FD" w14:textId="77777777" w:rsidR="00B01539" w:rsidRPr="00FB0274" w:rsidRDefault="00B01539" w:rsidP="00B01539">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5304A3C8" w14:textId="77777777" w:rsidR="00B01539" w:rsidRPr="006A7606" w:rsidRDefault="00B01539" w:rsidP="00B01539">
      <w:pPr>
        <w:spacing w:after="0" w:line="360" w:lineRule="auto"/>
        <w:jc w:val="both"/>
        <w:rPr>
          <w:rFonts w:ascii="Palatino Linotype" w:eastAsia="MS Mincho" w:hAnsi="Palatino Linotype" w:cs="Arial"/>
        </w:rPr>
      </w:pPr>
    </w:p>
    <w:p w14:paraId="740C219F" w14:textId="77777777" w:rsidR="00B01539" w:rsidRPr="006E2C84" w:rsidRDefault="00B01539" w:rsidP="00B01539">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lastRenderedPageBreak/>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1072B52B" w14:textId="77777777" w:rsidR="00B01539" w:rsidRPr="006E2C84" w:rsidRDefault="00B01539" w:rsidP="00B01539">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B9CF562" w14:textId="77777777" w:rsidR="00B01539" w:rsidRPr="006E2C84" w:rsidRDefault="00B01539" w:rsidP="00B01539">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6F7E845E" w14:textId="77777777" w:rsidR="00B01539" w:rsidRPr="006E2C84" w:rsidRDefault="00B01539" w:rsidP="00B01539">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3A90D32" w14:textId="77777777" w:rsidR="00B01539" w:rsidRDefault="00B01539" w:rsidP="00B01539">
      <w:pPr>
        <w:spacing w:after="0" w:line="360" w:lineRule="auto"/>
        <w:jc w:val="both"/>
        <w:rPr>
          <w:rFonts w:ascii="Palatino Linotype" w:eastAsia="MS Mincho" w:hAnsi="Palatino Linotype" w:cs="Arial"/>
        </w:rPr>
      </w:pPr>
    </w:p>
    <w:p w14:paraId="676C2B87" w14:textId="77777777" w:rsidR="00B01539" w:rsidRPr="001A758C" w:rsidRDefault="00B01539" w:rsidP="00B01539">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3BCEB741" w14:textId="77777777" w:rsidR="00B01539" w:rsidRDefault="00B01539" w:rsidP="00B01539">
      <w:pPr>
        <w:spacing w:after="0" w:line="360" w:lineRule="auto"/>
        <w:jc w:val="both"/>
        <w:rPr>
          <w:rFonts w:ascii="Palatino Linotype" w:eastAsia="MS Mincho" w:hAnsi="Palatino Linotype" w:cs="Arial"/>
        </w:rPr>
      </w:pPr>
    </w:p>
    <w:p w14:paraId="045910F5" w14:textId="77777777" w:rsidR="00B01539" w:rsidRPr="006A7606" w:rsidRDefault="00B01539" w:rsidP="00B01539">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67EC4066" w14:textId="77777777" w:rsidR="00B01539" w:rsidRPr="006A7606" w:rsidRDefault="00B01539" w:rsidP="00B01539">
      <w:pPr>
        <w:spacing w:after="0" w:line="360" w:lineRule="auto"/>
        <w:jc w:val="both"/>
        <w:rPr>
          <w:rFonts w:ascii="Palatino Linotype" w:eastAsia="MS Mincho" w:hAnsi="Palatino Linotype" w:cs="Arial"/>
          <w:lang w:val="es-ES_tradnl"/>
        </w:rPr>
      </w:pPr>
    </w:p>
    <w:p w14:paraId="6D6F6823" w14:textId="77777777" w:rsidR="00B01539" w:rsidRPr="006A7606" w:rsidRDefault="00B01539" w:rsidP="00B01539">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65FAF3CF" w14:textId="77777777" w:rsidR="00B01539" w:rsidRPr="006A7606" w:rsidRDefault="00B01539" w:rsidP="00B01539">
      <w:pPr>
        <w:spacing w:after="0" w:line="360" w:lineRule="auto"/>
        <w:ind w:left="851" w:right="851"/>
        <w:jc w:val="both"/>
        <w:rPr>
          <w:rFonts w:ascii="Palatino Linotype" w:eastAsia="MS Mincho" w:hAnsi="Palatino Linotype" w:cs="Arial"/>
          <w:i/>
          <w:lang w:val="es-ES_tradnl"/>
        </w:rPr>
      </w:pPr>
    </w:p>
    <w:p w14:paraId="67683805" w14:textId="77777777" w:rsidR="00B01539" w:rsidRPr="006E2C84" w:rsidRDefault="00B01539" w:rsidP="00B01539">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43A0045" w14:textId="77777777" w:rsidR="00B01539" w:rsidRPr="006E2C84" w:rsidRDefault="00B01539" w:rsidP="00B01539">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29127C" w14:textId="77777777" w:rsidR="00B01539" w:rsidRPr="006E2C84" w:rsidRDefault="00B01539" w:rsidP="00B01539">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2B6FA76" w14:textId="77777777" w:rsidR="00B01539" w:rsidRDefault="00B01539" w:rsidP="00B01539">
      <w:pPr>
        <w:spacing w:after="0" w:line="360" w:lineRule="auto"/>
        <w:jc w:val="both"/>
        <w:rPr>
          <w:rFonts w:ascii="Palatino Linotype" w:hAnsi="Palatino Linotype" w:cs="Arial"/>
        </w:rPr>
      </w:pPr>
    </w:p>
    <w:p w14:paraId="60B34B6B" w14:textId="77777777" w:rsidR="00B01539" w:rsidRPr="006A7606" w:rsidRDefault="00B01539" w:rsidP="00B01539">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59613DCF" w14:textId="77777777" w:rsidR="00B01539" w:rsidRPr="006A7606" w:rsidRDefault="00B01539" w:rsidP="00B01539">
      <w:pPr>
        <w:spacing w:after="0" w:line="360" w:lineRule="auto"/>
        <w:jc w:val="both"/>
        <w:rPr>
          <w:rFonts w:ascii="Palatino Linotype" w:hAnsi="Palatino Linotype" w:cs="Arial"/>
        </w:rPr>
      </w:pPr>
    </w:p>
    <w:p w14:paraId="028D044C" w14:textId="77777777" w:rsidR="00B01539" w:rsidRPr="006E2C84" w:rsidRDefault="00B01539" w:rsidP="00B01539">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 xml:space="preserve">por lo que la reserva de la relación de los nombres y las funciones que desempeñan los servidores públicos que prestan sus </w:t>
      </w:r>
      <w:r w:rsidRPr="006E2C84">
        <w:rPr>
          <w:rFonts w:ascii="Palatino Linotype" w:hAnsi="Palatino Linotype" w:cs="Arial"/>
          <w:b/>
          <w:bCs/>
          <w:i/>
          <w:sz w:val="20"/>
          <w:szCs w:val="20"/>
          <w:u w:val="single"/>
          <w:lang w:eastAsia="es-MX"/>
        </w:rPr>
        <w:lastRenderedPageBreak/>
        <w:t>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6EA7FC5" w14:textId="77777777" w:rsidR="00B01539" w:rsidRDefault="00B01539" w:rsidP="00B01539">
      <w:pPr>
        <w:spacing w:after="0" w:line="360" w:lineRule="auto"/>
        <w:jc w:val="both"/>
        <w:rPr>
          <w:rFonts w:ascii="Palatino Linotype" w:hAnsi="Palatino Linotype"/>
        </w:rPr>
      </w:pPr>
    </w:p>
    <w:p w14:paraId="1D349032" w14:textId="77777777" w:rsidR="00B01539" w:rsidRPr="006A7606" w:rsidRDefault="00B01539" w:rsidP="00B01539">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048CA0AA" w14:textId="77777777" w:rsidR="00B01539" w:rsidRPr="006A7606" w:rsidRDefault="00B01539" w:rsidP="00B01539">
      <w:pPr>
        <w:spacing w:after="0" w:line="360" w:lineRule="auto"/>
        <w:jc w:val="both"/>
        <w:rPr>
          <w:rFonts w:ascii="Palatino Linotype" w:hAnsi="Palatino Linotype"/>
        </w:rPr>
      </w:pPr>
    </w:p>
    <w:p w14:paraId="21FC4CB6" w14:textId="77777777" w:rsidR="00B01539" w:rsidRPr="006A7606" w:rsidRDefault="00B01539" w:rsidP="00B01539">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6717A95F" w14:textId="77777777" w:rsidR="00B01539" w:rsidRPr="006A7606" w:rsidRDefault="00B01539" w:rsidP="00B01539">
      <w:pPr>
        <w:spacing w:after="0" w:line="360" w:lineRule="auto"/>
        <w:jc w:val="both"/>
        <w:rPr>
          <w:rFonts w:ascii="Palatino Linotype" w:hAnsi="Palatino Linotype" w:cs="Segoe UI"/>
        </w:rPr>
      </w:pPr>
    </w:p>
    <w:p w14:paraId="11C997C0" w14:textId="77777777" w:rsidR="00B01539" w:rsidRPr="006E2C84" w:rsidRDefault="00B01539" w:rsidP="00B01539">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w:t>
      </w:r>
      <w:r w:rsidRPr="006E2C84">
        <w:rPr>
          <w:rFonts w:ascii="Palatino Linotype" w:eastAsia="Calibri" w:hAnsi="Palatino Linotype" w:cs="Arial"/>
          <w:i/>
          <w:sz w:val="20"/>
          <w:szCs w:val="20"/>
        </w:rPr>
        <w:lastRenderedPageBreak/>
        <w:t>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DCF6C59" w14:textId="77777777" w:rsidR="00B01539" w:rsidRDefault="00B01539" w:rsidP="00B01539">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197C9D1A" w14:textId="77777777" w:rsidR="00B01539" w:rsidRPr="001A758C" w:rsidRDefault="00B01539" w:rsidP="00B01539">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5CA3B134" w14:textId="77777777" w:rsidR="00B01539" w:rsidRDefault="00B01539" w:rsidP="00B01539">
      <w:pPr>
        <w:spacing w:after="0" w:line="360" w:lineRule="auto"/>
        <w:jc w:val="both"/>
        <w:rPr>
          <w:rFonts w:ascii="Palatino Linotype" w:hAnsi="Palatino Linotype" w:cs="Arial"/>
        </w:rPr>
      </w:pPr>
    </w:p>
    <w:p w14:paraId="0ED21207" w14:textId="77777777" w:rsidR="00B01539" w:rsidRDefault="00B01539" w:rsidP="00B01539">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C0A4CDE" w14:textId="77777777" w:rsidR="00B01539" w:rsidRDefault="00B01539" w:rsidP="00B01539">
      <w:pPr>
        <w:spacing w:after="0" w:line="360" w:lineRule="auto"/>
        <w:jc w:val="both"/>
        <w:rPr>
          <w:rFonts w:ascii="Palatino Linotype" w:hAnsi="Palatino Linotype" w:cs="Arial"/>
        </w:rPr>
      </w:pPr>
    </w:p>
    <w:p w14:paraId="2233AE93" w14:textId="77777777" w:rsidR="00B01539" w:rsidRPr="00885189" w:rsidRDefault="00B01539" w:rsidP="00B0153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33BD13A5" w14:textId="77777777" w:rsidR="00B01539" w:rsidRDefault="00B01539" w:rsidP="00B01539">
      <w:pPr>
        <w:spacing w:after="0" w:line="360" w:lineRule="auto"/>
        <w:jc w:val="both"/>
        <w:rPr>
          <w:rFonts w:ascii="Palatino Linotype" w:hAnsi="Palatino Linotype" w:cs="Tahoma"/>
        </w:rPr>
      </w:pPr>
      <w:bookmarkStart w:id="0" w:name="_GoBack"/>
      <w:bookmarkEnd w:id="0"/>
    </w:p>
    <w:p w14:paraId="77A77D66" w14:textId="77777777" w:rsidR="00B01539" w:rsidRPr="00D07D91" w:rsidRDefault="00B01539" w:rsidP="00B01539">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F82B7CD" w14:textId="77777777" w:rsidR="00B01539" w:rsidRPr="00D07D91" w:rsidRDefault="00B01539" w:rsidP="00B01539">
      <w:pPr>
        <w:spacing w:after="0" w:line="360" w:lineRule="auto"/>
        <w:jc w:val="both"/>
        <w:rPr>
          <w:rFonts w:ascii="Palatino Linotype" w:eastAsia="Calibri" w:hAnsi="Palatino Linotype" w:cs="Tahoma"/>
        </w:rPr>
      </w:pPr>
    </w:p>
    <w:p w14:paraId="04D21628" w14:textId="77777777" w:rsidR="00B01539" w:rsidRPr="00D07D91" w:rsidRDefault="00B01539" w:rsidP="00B01539">
      <w:pPr>
        <w:numPr>
          <w:ilvl w:val="0"/>
          <w:numId w:val="5"/>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0AA8B88D" w14:textId="77777777" w:rsidR="00B01539" w:rsidRPr="00D07D91" w:rsidRDefault="00B01539" w:rsidP="00B01539">
      <w:pPr>
        <w:spacing w:after="0" w:line="360" w:lineRule="auto"/>
        <w:jc w:val="both"/>
        <w:rPr>
          <w:rFonts w:ascii="Palatino Linotype" w:eastAsia="Calibri" w:hAnsi="Palatino Linotype" w:cs="Tahoma"/>
        </w:rPr>
      </w:pPr>
    </w:p>
    <w:p w14:paraId="05BCBFA9" w14:textId="77777777" w:rsidR="00B01539" w:rsidRPr="00D07D91" w:rsidRDefault="00B01539" w:rsidP="00B01539">
      <w:pPr>
        <w:numPr>
          <w:ilvl w:val="0"/>
          <w:numId w:val="5"/>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35115FFB" w14:textId="77777777" w:rsidR="00B01539" w:rsidRPr="00D07D91" w:rsidRDefault="00B01539" w:rsidP="00B01539">
      <w:pPr>
        <w:spacing w:after="0" w:line="360" w:lineRule="auto"/>
        <w:jc w:val="both"/>
        <w:rPr>
          <w:rFonts w:ascii="Palatino Linotype" w:eastAsia="Calibri" w:hAnsi="Palatino Linotype" w:cs="Tahoma"/>
        </w:rPr>
      </w:pPr>
    </w:p>
    <w:p w14:paraId="769BF2C0" w14:textId="77777777" w:rsidR="00B01539" w:rsidRPr="00D07D91" w:rsidRDefault="00B01539" w:rsidP="00B01539">
      <w:pPr>
        <w:numPr>
          <w:ilvl w:val="0"/>
          <w:numId w:val="5"/>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57BCB665" w14:textId="77777777" w:rsidR="00B01539" w:rsidRPr="00D07D91" w:rsidRDefault="00B01539" w:rsidP="00B01539">
      <w:pPr>
        <w:spacing w:after="0" w:line="360" w:lineRule="auto"/>
        <w:jc w:val="both"/>
        <w:rPr>
          <w:rFonts w:ascii="Palatino Linotype" w:eastAsia="Calibri" w:hAnsi="Palatino Linotype" w:cs="Tahoma"/>
        </w:rPr>
      </w:pPr>
    </w:p>
    <w:p w14:paraId="7DAE2A43" w14:textId="77777777" w:rsidR="00B01539" w:rsidRPr="00D07D91" w:rsidRDefault="00B01539" w:rsidP="00B01539">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1D9849EC" w14:textId="77777777" w:rsidR="00B01539" w:rsidRPr="00D07D91" w:rsidRDefault="00B01539" w:rsidP="00B01539">
      <w:pPr>
        <w:spacing w:after="0" w:line="360" w:lineRule="auto"/>
        <w:jc w:val="both"/>
        <w:rPr>
          <w:rFonts w:ascii="Palatino Linotype" w:eastAsia="Calibri" w:hAnsi="Palatino Linotype" w:cs="Tahoma"/>
        </w:rPr>
      </w:pPr>
    </w:p>
    <w:p w14:paraId="7658A6B1" w14:textId="77777777" w:rsidR="00B01539" w:rsidRPr="00D07D91" w:rsidRDefault="00B01539" w:rsidP="00B01539">
      <w:pPr>
        <w:numPr>
          <w:ilvl w:val="0"/>
          <w:numId w:val="6"/>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Este ejercicio hermenéutico parte de la premisa de que la causa de reserva de información prevista en la fracción VII del artículo 110 de la Ley Federal no debe interpretarse de manera aislada, sino que ha de hacerse en función de diversos artículos, como lo son </w:t>
      </w:r>
      <w:r w:rsidRPr="00D07D91">
        <w:rPr>
          <w:rFonts w:ascii="Palatino Linotype" w:eastAsia="Calibri" w:hAnsi="Palatino Linotype" w:cs="Tahoma"/>
        </w:rPr>
        <w:lastRenderedPageBreak/>
        <w:t>aquellos que regulan la prueba de daño, las versiones públicas y las obligaciones de transparencia.</w:t>
      </w:r>
    </w:p>
    <w:p w14:paraId="41FFCAD6" w14:textId="77777777" w:rsidR="00B01539" w:rsidRPr="00D07D91" w:rsidRDefault="00B01539" w:rsidP="00B01539">
      <w:pPr>
        <w:spacing w:after="0" w:line="360" w:lineRule="auto"/>
        <w:jc w:val="both"/>
        <w:rPr>
          <w:rFonts w:ascii="Palatino Linotype" w:eastAsia="Calibri" w:hAnsi="Palatino Linotype" w:cs="Tahoma"/>
        </w:rPr>
      </w:pPr>
    </w:p>
    <w:p w14:paraId="0D155B5F" w14:textId="77777777" w:rsidR="00B01539" w:rsidRPr="00D07D91" w:rsidRDefault="00B01539" w:rsidP="00B01539">
      <w:pPr>
        <w:numPr>
          <w:ilvl w:val="0"/>
          <w:numId w:val="6"/>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075F0702" w14:textId="77777777" w:rsidR="00B01539" w:rsidRPr="00D07D91" w:rsidRDefault="00B01539" w:rsidP="00B01539">
      <w:pPr>
        <w:spacing w:after="0" w:line="360" w:lineRule="auto"/>
        <w:jc w:val="both"/>
        <w:rPr>
          <w:rFonts w:ascii="Palatino Linotype" w:eastAsia="Calibri" w:hAnsi="Palatino Linotype" w:cs="Tahoma"/>
        </w:rPr>
      </w:pPr>
    </w:p>
    <w:p w14:paraId="639C93BE" w14:textId="77777777" w:rsidR="00B01539" w:rsidRDefault="00B01539" w:rsidP="00B01539">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08DCCCD3" w14:textId="77777777" w:rsidR="00B01539" w:rsidRPr="00885189" w:rsidRDefault="00B01539" w:rsidP="00B01539">
      <w:pPr>
        <w:spacing w:after="0" w:line="360" w:lineRule="auto"/>
        <w:jc w:val="both"/>
        <w:rPr>
          <w:rFonts w:ascii="Palatino Linotype" w:hAnsi="Palatino Linotype" w:cs="Tahoma"/>
        </w:rPr>
      </w:pPr>
    </w:p>
    <w:p w14:paraId="19AA643D" w14:textId="77777777" w:rsidR="00B01539" w:rsidRDefault="00B01539" w:rsidP="00B01539">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38D44ABB" w14:textId="77777777" w:rsidR="00B01539" w:rsidRPr="00885189" w:rsidRDefault="00B01539" w:rsidP="00B01539">
      <w:pPr>
        <w:spacing w:after="0" w:line="360" w:lineRule="auto"/>
        <w:jc w:val="both"/>
        <w:rPr>
          <w:rFonts w:ascii="Palatino Linotype" w:hAnsi="Palatino Linotype" w:cs="Tahoma"/>
        </w:rPr>
      </w:pPr>
    </w:p>
    <w:p w14:paraId="4343C837" w14:textId="37726CA9" w:rsidR="00B01539" w:rsidRPr="009751C7" w:rsidRDefault="00B01539" w:rsidP="00B01539">
      <w:pPr>
        <w:spacing w:after="0" w:line="360" w:lineRule="auto"/>
        <w:jc w:val="both"/>
        <w:rPr>
          <w:rFonts w:ascii="Palatino Linotype" w:hAnsi="Palatino Linotype" w:cs="Tahoma"/>
          <w:highlight w:val="yellow"/>
        </w:rPr>
      </w:pPr>
      <w:r w:rsidRPr="00A630A7">
        <w:rPr>
          <w:rFonts w:ascii="Palatino Linotype" w:hAnsi="Palatino Linotype" w:cs="Tahoma"/>
          <w:highlight w:val="yellow"/>
        </w:rPr>
        <w:lastRenderedPageBreak/>
        <w:t xml:space="preserve">Bajo esa lógica, estimo que en el presente caso, </w:t>
      </w:r>
      <w:r w:rsidRPr="009751C7">
        <w:rPr>
          <w:rFonts w:ascii="Palatino Linotype" w:hAnsi="Palatino Linotype" w:cs="Tahoma"/>
          <w:b/>
          <w:bCs/>
          <w:highlight w:val="yellow"/>
        </w:rPr>
        <w:t>el nombre de los elementos que realicen funciones de escol</w:t>
      </w:r>
      <w:r w:rsidR="009751C7" w:rsidRPr="009751C7">
        <w:rPr>
          <w:rFonts w:ascii="Palatino Linotype" w:hAnsi="Palatino Linotype" w:cs="Tahoma"/>
          <w:b/>
          <w:bCs/>
          <w:highlight w:val="yellow"/>
        </w:rPr>
        <w:t>tas</w:t>
      </w:r>
      <w:r w:rsidR="009751C7">
        <w:rPr>
          <w:rFonts w:ascii="Palatino Linotype" w:hAnsi="Palatino Linotype" w:cs="Tahoma"/>
          <w:highlight w:val="yellow"/>
        </w:rPr>
        <w:t xml:space="preserve">, </w:t>
      </w:r>
      <w:r w:rsidRPr="00A630A7">
        <w:rPr>
          <w:rFonts w:ascii="Palatino Linotype" w:hAnsi="Palatino Linotype" w:cs="Tahoma"/>
          <w:highlight w:val="yellow"/>
        </w:rPr>
        <w:t>en efecto</w:t>
      </w:r>
      <w:r w:rsidR="009751C7">
        <w:rPr>
          <w:rFonts w:ascii="Palatino Linotype" w:hAnsi="Palatino Linotype" w:cs="Tahoma"/>
          <w:highlight w:val="yellow"/>
        </w:rPr>
        <w:t>,</w:t>
      </w:r>
      <w:r w:rsidRPr="00A630A7">
        <w:rPr>
          <w:rFonts w:ascii="Palatino Linotype" w:hAnsi="Palatino Linotype" w:cs="Tahoma"/>
          <w:highlight w:val="yellow"/>
        </w:rPr>
        <w:t xml:space="preserve"> es reservada por las condiciones de inseguridad que imperan en esta época en nuestro Estado, por lo que se puede desprender que la información, actualiza 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1A64CF7B" w14:textId="77777777" w:rsidR="00B01539" w:rsidRDefault="00B01539" w:rsidP="00B01539">
      <w:pPr>
        <w:spacing w:after="0" w:line="360" w:lineRule="auto"/>
        <w:jc w:val="both"/>
        <w:rPr>
          <w:rFonts w:ascii="Palatino Linotype" w:hAnsi="Palatino Linotype" w:cs="Tahoma"/>
        </w:rPr>
      </w:pPr>
    </w:p>
    <w:p w14:paraId="287871EF" w14:textId="77777777" w:rsidR="00B01539" w:rsidRPr="00885189" w:rsidRDefault="00B01539" w:rsidP="00B01539">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B4EB1FB" w14:textId="77777777" w:rsidR="00E76690" w:rsidRDefault="00E76690" w:rsidP="00E76690">
      <w:pPr>
        <w:spacing w:after="0" w:line="360" w:lineRule="auto"/>
        <w:jc w:val="both"/>
        <w:rPr>
          <w:rFonts w:ascii="Palatino Linotype" w:hAnsi="Palatino Linotype" w:cs="Tahoma"/>
        </w:rPr>
      </w:pPr>
    </w:p>
    <w:p w14:paraId="2E377A4D" w14:textId="0D9A7A69" w:rsidR="009751C7" w:rsidRPr="009751C7" w:rsidRDefault="009751C7" w:rsidP="00E76690">
      <w:pPr>
        <w:spacing w:after="0" w:line="360" w:lineRule="auto"/>
        <w:jc w:val="both"/>
        <w:rPr>
          <w:rFonts w:ascii="Palatino Linotype" w:hAnsi="Palatino Linotype" w:cs="Tahoma"/>
          <w:b/>
          <w:bCs/>
        </w:rPr>
      </w:pPr>
      <w:r w:rsidRPr="009751C7">
        <w:rPr>
          <w:rFonts w:ascii="Palatino Linotype" w:hAnsi="Palatino Linotype" w:cs="Tahoma"/>
          <w:b/>
          <w:bCs/>
        </w:rPr>
        <w:t>B) Clasificación del número de escoltas y de elementos comisionados al resguardo de instalaciones municipales.</w:t>
      </w:r>
    </w:p>
    <w:p w14:paraId="1E682F63" w14:textId="77777777" w:rsidR="00E76690" w:rsidRDefault="00E76690" w:rsidP="00E76690">
      <w:pPr>
        <w:spacing w:after="0" w:line="360" w:lineRule="auto"/>
        <w:jc w:val="both"/>
        <w:rPr>
          <w:rFonts w:ascii="Palatino Linotype" w:hAnsi="Palatino Linotype" w:cs="Tahoma"/>
        </w:rPr>
      </w:pPr>
    </w:p>
    <w:p w14:paraId="2B3512C2" w14:textId="77777777" w:rsidR="009751C7" w:rsidRDefault="009751C7" w:rsidP="009751C7">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2E1D732C" w14:textId="77777777" w:rsidR="009751C7" w:rsidRDefault="009751C7" w:rsidP="009751C7">
      <w:pPr>
        <w:spacing w:after="0" w:line="360" w:lineRule="auto"/>
        <w:jc w:val="both"/>
        <w:rPr>
          <w:rFonts w:ascii="Palatino Linotype" w:hAnsi="Palatino Linotype" w:cs="Tahoma"/>
        </w:rPr>
      </w:pPr>
    </w:p>
    <w:p w14:paraId="3AD81888" w14:textId="77777777" w:rsidR="009751C7" w:rsidRPr="00F16598" w:rsidRDefault="009751C7" w:rsidP="009751C7">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31E011"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076DAAAB"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lastRenderedPageBreak/>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15392855"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CCCFFEC"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6F82DFAA"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0ACB8249"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3C51D202" w14:textId="77777777" w:rsidR="009751C7" w:rsidRPr="00F16598" w:rsidRDefault="009751C7" w:rsidP="009751C7">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29F26601" w14:textId="77777777" w:rsidR="009751C7" w:rsidRPr="00F16598" w:rsidRDefault="009751C7" w:rsidP="009751C7">
      <w:pPr>
        <w:spacing w:after="0" w:line="360" w:lineRule="auto"/>
        <w:jc w:val="both"/>
        <w:rPr>
          <w:rFonts w:ascii="Palatino Linotype" w:eastAsia="Calibri" w:hAnsi="Palatino Linotype" w:cs="Tahoma"/>
          <w:bCs/>
          <w:lang w:val="es-MX"/>
        </w:rPr>
      </w:pPr>
    </w:p>
    <w:p w14:paraId="533FEE95"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56B0A923"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525589D7"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3695ED0D"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0B3CD70" w14:textId="77777777" w:rsidR="009751C7" w:rsidRPr="00F16598" w:rsidRDefault="009751C7" w:rsidP="009751C7">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CDD00A0" w14:textId="77777777" w:rsidR="009751C7" w:rsidRDefault="009751C7" w:rsidP="009751C7">
      <w:pPr>
        <w:spacing w:after="0" w:line="360" w:lineRule="auto"/>
        <w:jc w:val="both"/>
        <w:rPr>
          <w:rFonts w:ascii="Palatino Linotype" w:eastAsia="Calibri" w:hAnsi="Palatino Linotype" w:cs="Tahoma"/>
          <w:bCs/>
          <w:lang w:val="es-MX"/>
        </w:rPr>
      </w:pPr>
    </w:p>
    <w:p w14:paraId="456DEA25" w14:textId="77777777" w:rsidR="009751C7" w:rsidRPr="00F16598" w:rsidRDefault="009751C7" w:rsidP="009751C7">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6843A450" w14:textId="77777777" w:rsidR="009751C7" w:rsidRPr="00F16598" w:rsidRDefault="009751C7" w:rsidP="009751C7">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06037D56" w14:textId="77777777" w:rsidR="009751C7" w:rsidRPr="00F16598" w:rsidRDefault="009751C7" w:rsidP="009751C7">
      <w:pPr>
        <w:spacing w:after="0" w:line="360" w:lineRule="auto"/>
        <w:jc w:val="both"/>
        <w:rPr>
          <w:rFonts w:ascii="Palatino Linotype" w:eastAsia="Calibri" w:hAnsi="Palatino Linotype" w:cs="Tahoma"/>
          <w:bCs/>
          <w:lang w:val="es-MX"/>
        </w:rPr>
      </w:pPr>
    </w:p>
    <w:p w14:paraId="4EEC11C6" w14:textId="77777777" w:rsidR="009751C7" w:rsidRPr="00F16598" w:rsidRDefault="009751C7" w:rsidP="009751C7">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5172C859" w14:textId="77777777" w:rsidR="009751C7" w:rsidRPr="00F16598" w:rsidRDefault="009751C7" w:rsidP="009751C7">
      <w:pPr>
        <w:spacing w:after="0" w:line="360" w:lineRule="auto"/>
        <w:jc w:val="both"/>
        <w:rPr>
          <w:rFonts w:ascii="Palatino Linotype" w:eastAsia="Calibri" w:hAnsi="Palatino Linotype" w:cs="Tahoma"/>
          <w:bCs/>
          <w:lang w:val="es-MX"/>
        </w:rPr>
      </w:pPr>
    </w:p>
    <w:p w14:paraId="3B7CDBFE" w14:textId="77777777" w:rsidR="009751C7" w:rsidRPr="00F16598" w:rsidRDefault="009751C7" w:rsidP="009751C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0107B10" w14:textId="77777777" w:rsidR="009751C7" w:rsidRPr="00F16598" w:rsidRDefault="009751C7" w:rsidP="009751C7">
      <w:pPr>
        <w:spacing w:after="0" w:line="360" w:lineRule="auto"/>
        <w:ind w:left="567" w:right="567"/>
        <w:jc w:val="both"/>
        <w:rPr>
          <w:rFonts w:ascii="Palatino Linotype" w:eastAsia="Calibri" w:hAnsi="Palatino Linotype" w:cs="Tahoma"/>
          <w:bCs/>
          <w:i/>
          <w:sz w:val="20"/>
          <w:szCs w:val="20"/>
          <w:lang w:val="es-MX"/>
        </w:rPr>
      </w:pPr>
    </w:p>
    <w:p w14:paraId="534DDBD8" w14:textId="77777777" w:rsidR="009751C7" w:rsidRPr="00F16598" w:rsidRDefault="009751C7" w:rsidP="009751C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6CF7CECC" w14:textId="77777777" w:rsidR="009751C7" w:rsidRPr="00F16598" w:rsidRDefault="009751C7" w:rsidP="009751C7">
      <w:pPr>
        <w:spacing w:after="0" w:line="360" w:lineRule="auto"/>
        <w:ind w:left="567" w:right="567"/>
        <w:jc w:val="both"/>
        <w:rPr>
          <w:rFonts w:ascii="Palatino Linotype" w:eastAsia="Calibri" w:hAnsi="Palatino Linotype" w:cs="Tahoma"/>
          <w:bCs/>
          <w:i/>
          <w:sz w:val="20"/>
          <w:szCs w:val="20"/>
          <w:lang w:val="es-MX"/>
        </w:rPr>
      </w:pPr>
    </w:p>
    <w:p w14:paraId="79C5666F" w14:textId="77777777" w:rsidR="009751C7" w:rsidRPr="00F16598" w:rsidRDefault="009751C7" w:rsidP="009751C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4F7BA1F" w14:textId="77777777" w:rsidR="009751C7" w:rsidRPr="00F16598" w:rsidRDefault="009751C7" w:rsidP="009751C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4EABEC3C" w14:textId="77777777" w:rsidR="009751C7" w:rsidRPr="00F16598" w:rsidRDefault="009751C7" w:rsidP="009751C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3492A3BF" w14:textId="77777777" w:rsidR="009751C7" w:rsidRPr="00F16598" w:rsidRDefault="009751C7" w:rsidP="009751C7">
      <w:pPr>
        <w:spacing w:after="0" w:line="360" w:lineRule="auto"/>
        <w:ind w:left="567" w:right="567"/>
        <w:jc w:val="both"/>
        <w:rPr>
          <w:rFonts w:ascii="Palatino Linotype" w:eastAsia="Calibri" w:hAnsi="Palatino Linotype" w:cs="Tahoma"/>
          <w:bCs/>
          <w:i/>
          <w:sz w:val="20"/>
          <w:szCs w:val="20"/>
          <w:lang w:val="es-MX"/>
        </w:rPr>
      </w:pPr>
    </w:p>
    <w:p w14:paraId="78A0AA14" w14:textId="77777777" w:rsidR="009751C7" w:rsidRPr="00F16598" w:rsidRDefault="009751C7" w:rsidP="009751C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46A9BD59" w14:textId="77777777" w:rsidR="009751C7" w:rsidRPr="00F16598" w:rsidRDefault="009751C7" w:rsidP="009751C7">
      <w:pPr>
        <w:spacing w:after="0" w:line="360" w:lineRule="auto"/>
        <w:jc w:val="both"/>
        <w:rPr>
          <w:rFonts w:ascii="Palatino Linotype" w:eastAsia="Calibri" w:hAnsi="Palatino Linotype" w:cs="Tahoma"/>
          <w:bCs/>
          <w:lang w:val="es-MX"/>
        </w:rPr>
      </w:pPr>
    </w:p>
    <w:p w14:paraId="78D1D160" w14:textId="77777777" w:rsidR="009751C7" w:rsidRPr="00F16598" w:rsidRDefault="009751C7" w:rsidP="009751C7">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w:t>
      </w:r>
      <w:r w:rsidRPr="00F16598">
        <w:rPr>
          <w:rFonts w:ascii="Palatino Linotype" w:eastAsia="Calibri" w:hAnsi="Palatino Linotype" w:cs="Tahoma"/>
          <w:bCs/>
          <w:lang w:val="es-MX"/>
        </w:rPr>
        <w:lastRenderedPageBreak/>
        <w:t>amenazar la seguridad pública o las instituciones del Estado de México, la que sea producto de un intervención de comunicaciones privadas, o bien, la contenida en las averiguaciones previas, carpetas de investigación de los delitos y faltas administrativas.</w:t>
      </w:r>
    </w:p>
    <w:p w14:paraId="188681FB" w14:textId="77777777" w:rsidR="00745AE2" w:rsidRPr="009751C7" w:rsidRDefault="00745AE2" w:rsidP="00745AE2">
      <w:pPr>
        <w:spacing w:after="0" w:line="360" w:lineRule="auto"/>
        <w:jc w:val="both"/>
        <w:rPr>
          <w:rFonts w:ascii="Palatino Linotype" w:hAnsi="Palatino Linotype" w:cs="Tahoma"/>
          <w:lang w:val="es-MX"/>
        </w:rPr>
      </w:pPr>
    </w:p>
    <w:p w14:paraId="5291901F" w14:textId="0553A694" w:rsidR="001E6FB0" w:rsidRPr="001E6FB0" w:rsidRDefault="009751C7" w:rsidP="001E6FB0">
      <w:pPr>
        <w:spacing w:after="0" w:line="360" w:lineRule="auto"/>
        <w:jc w:val="both"/>
        <w:rPr>
          <w:rFonts w:ascii="Palatino Linotype" w:hAnsi="Palatino Linotype" w:cs="Tahoma"/>
        </w:rPr>
      </w:pPr>
      <w:r>
        <w:rPr>
          <w:rFonts w:ascii="Palatino Linotype" w:eastAsia="Calibri" w:hAnsi="Palatino Linotype" w:cs="Tahoma"/>
          <w:bCs/>
          <w:lang w:val="es-MX"/>
        </w:rPr>
        <w:t xml:space="preserve">En ese orden de ideas, es de señalar que la reserva del </w:t>
      </w:r>
      <w:r w:rsidRPr="009751C7">
        <w:rPr>
          <w:rFonts w:ascii="Palatino Linotype" w:eastAsia="Calibri" w:hAnsi="Palatino Linotype" w:cs="Tahoma"/>
          <w:b/>
          <w:lang w:val="es-MX"/>
        </w:rPr>
        <w:t>número</w:t>
      </w:r>
      <w:r w:rsidRPr="009751C7">
        <w:rPr>
          <w:rFonts w:ascii="Palatino Linotype" w:hAnsi="Palatino Linotype" w:cs="Tahoma"/>
          <w:b/>
        </w:rPr>
        <w:t xml:space="preserve"> de</w:t>
      </w:r>
      <w:r w:rsidRPr="009751C7">
        <w:rPr>
          <w:rFonts w:ascii="Palatino Linotype" w:hAnsi="Palatino Linotype" w:cs="Tahoma"/>
          <w:b/>
          <w:bCs/>
        </w:rPr>
        <w:t xml:space="preserve"> escoltas y de elementos comisionados al resguardo de instalaciones municipales</w:t>
      </w:r>
      <w:r>
        <w:rPr>
          <w:rFonts w:ascii="Palatino Linotype" w:hAnsi="Palatino Linotype" w:cs="Tahoma"/>
          <w:b/>
          <w:bCs/>
        </w:rPr>
        <w:t xml:space="preserve">, </w:t>
      </w:r>
      <w:r w:rsidR="001E6FB0">
        <w:rPr>
          <w:rFonts w:ascii="Palatino Linotype" w:hAnsi="Palatino Linotype" w:cs="Tahoma"/>
        </w:rPr>
        <w:t xml:space="preserve">debería reservarse en términos de la fracción VI, del artículo 140 de la Ley de Transparencia y Acceso a la Información Púbica del estado de México y Municipios, </w:t>
      </w:r>
      <w:r w:rsidR="001E6FB0" w:rsidRPr="001E6FB0">
        <w:rPr>
          <w:rFonts w:ascii="Palatino Linotype" w:hAnsi="Palatino Linotype"/>
          <w:bCs/>
          <w:iCs/>
        </w:rPr>
        <w:t xml:space="preserve">(homólogo del artículo 113, fracción </w:t>
      </w:r>
      <w:r w:rsidR="001E6FB0">
        <w:rPr>
          <w:rFonts w:ascii="Palatino Linotype" w:hAnsi="Palatino Linotype"/>
          <w:bCs/>
          <w:iCs/>
        </w:rPr>
        <w:t>VI</w:t>
      </w:r>
      <w:r w:rsidR="001E6FB0" w:rsidRPr="001E6FB0">
        <w:rPr>
          <w:rFonts w:ascii="Palatino Linotype" w:hAnsi="Palatino Linotype"/>
          <w:bCs/>
          <w:iCs/>
        </w:rPr>
        <w:t>I, de la Ley General de Transparencia y Acceso a la Información Pública), prevé lo siguiente:</w:t>
      </w:r>
    </w:p>
    <w:p w14:paraId="7D47BA30" w14:textId="77777777" w:rsidR="001E6FB0" w:rsidRPr="001E6FB0" w:rsidRDefault="001E6FB0" w:rsidP="001E6FB0">
      <w:pPr>
        <w:spacing w:after="0" w:line="360" w:lineRule="auto"/>
        <w:jc w:val="both"/>
        <w:rPr>
          <w:rFonts w:ascii="Palatino Linotype" w:hAnsi="Palatino Linotype"/>
          <w:bCs/>
        </w:rPr>
      </w:pPr>
    </w:p>
    <w:p w14:paraId="5941536F" w14:textId="77777777" w:rsidR="001E6FB0" w:rsidRPr="00F16598" w:rsidRDefault="001E6FB0" w:rsidP="001E6FB0">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3A2AAA0F" w14:textId="77777777" w:rsidR="001E6FB0" w:rsidRPr="00F16598" w:rsidRDefault="001E6FB0" w:rsidP="001E6FB0">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0C9043A" w14:textId="77777777" w:rsidR="001E6FB0" w:rsidRDefault="001E6FB0" w:rsidP="001E6FB0">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I. </w:t>
      </w:r>
      <w:r>
        <w:rPr>
          <w:rFonts w:ascii="Palatino Linotype" w:eastAsia="Calibri" w:hAnsi="Palatino Linotype" w:cs="Tahoma"/>
          <w:i/>
          <w:iCs/>
          <w:sz w:val="20"/>
          <w:szCs w:val="20"/>
          <w:lang w:val="es-MX" w:eastAsia="es-ES_tradnl"/>
        </w:rPr>
        <w:t>A … VI.</w:t>
      </w:r>
    </w:p>
    <w:p w14:paraId="32DD0F58" w14:textId="670DC3F0" w:rsidR="001E6FB0" w:rsidRDefault="001E6FB0" w:rsidP="001E6FB0">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Pr>
          <w:rFonts w:ascii="Palatino Linotype" w:eastAsia="Calibri" w:hAnsi="Palatino Linotype" w:cs="Tahoma"/>
          <w:i/>
          <w:iCs/>
          <w:sz w:val="20"/>
          <w:szCs w:val="20"/>
          <w:lang w:val="es-MX" w:eastAsia="es-ES_tradnl"/>
        </w:rPr>
        <w:t>…</w:t>
      </w:r>
    </w:p>
    <w:p w14:paraId="5927CE10" w14:textId="06C30BFF" w:rsidR="001E6FB0" w:rsidRDefault="001E6FB0" w:rsidP="001E6FB0">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Pr>
          <w:rFonts w:ascii="Palatino Linotype" w:eastAsia="Calibri" w:hAnsi="Palatino Linotype" w:cs="Tahoma"/>
          <w:i/>
          <w:iCs/>
          <w:sz w:val="20"/>
          <w:szCs w:val="20"/>
          <w:lang w:val="es-MX" w:eastAsia="es-ES_tradnl"/>
        </w:rPr>
        <w:t xml:space="preserve">VI. </w:t>
      </w:r>
      <w:r w:rsidRPr="001E6FB0">
        <w:rPr>
          <w:rFonts w:ascii="Palatino Linotype" w:eastAsia="Calibri" w:hAnsi="Palatino Linotype" w:cs="Tahoma"/>
          <w:i/>
          <w:iCs/>
          <w:sz w:val="20"/>
          <w:szCs w:val="20"/>
          <w:lang w:val="es-MX" w:eastAsia="es-ES_tradnl"/>
        </w:rPr>
        <w:t xml:space="preserve">Pueda causar daño u </w:t>
      </w:r>
      <w:r w:rsidRPr="001E6FB0">
        <w:rPr>
          <w:rFonts w:ascii="Palatino Linotype" w:eastAsia="Calibri" w:hAnsi="Palatino Linotype" w:cs="Tahoma"/>
          <w:i/>
          <w:iCs/>
          <w:sz w:val="20"/>
          <w:szCs w:val="20"/>
          <w:u w:val="single"/>
          <w:lang w:val="es-MX" w:eastAsia="es-ES_tradnl"/>
        </w:rPr>
        <w:t>obstruya la prevención</w:t>
      </w:r>
      <w:r w:rsidRPr="001E6FB0">
        <w:rPr>
          <w:rFonts w:ascii="Palatino Linotype" w:eastAsia="Calibri" w:hAnsi="Palatino Linotype" w:cs="Tahoma"/>
          <w:i/>
          <w:iCs/>
          <w:sz w:val="20"/>
          <w:szCs w:val="20"/>
          <w:lang w:val="es-MX" w:eastAsia="es-ES_tradnl"/>
        </w:rPr>
        <w:t xml:space="preserve"> o persecución </w:t>
      </w:r>
      <w:r w:rsidRPr="001E6FB0">
        <w:rPr>
          <w:rFonts w:ascii="Palatino Linotype" w:eastAsia="Calibri" w:hAnsi="Palatino Linotype" w:cs="Tahoma"/>
          <w:i/>
          <w:iCs/>
          <w:sz w:val="20"/>
          <w:szCs w:val="20"/>
          <w:u w:val="single"/>
          <w:lang w:val="es-MX" w:eastAsia="es-ES_tradnl"/>
        </w:rPr>
        <w:t>de los delitos</w:t>
      </w:r>
      <w:r w:rsidRPr="001E6FB0">
        <w:rPr>
          <w:rFonts w:ascii="Palatino Linotype" w:eastAsia="Calibri" w:hAnsi="Palatino Linotype" w:cs="Tahoma"/>
          <w:i/>
          <w:iCs/>
          <w:sz w:val="20"/>
          <w:szCs w:val="20"/>
          <w:lang w:val="es-MX" w:eastAsia="es-ES_tradnl"/>
        </w:rPr>
        <w:t>,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3B31B93" w14:textId="798FB1AD" w:rsidR="001E6FB0" w:rsidRDefault="001E6FB0" w:rsidP="001E6FB0">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Pr>
          <w:rFonts w:ascii="Palatino Linotype" w:eastAsia="Calibri" w:hAnsi="Palatino Linotype" w:cs="Tahoma"/>
          <w:i/>
          <w:iCs/>
          <w:sz w:val="20"/>
          <w:szCs w:val="20"/>
          <w:lang w:val="es-MX" w:eastAsia="es-ES_tradnl"/>
        </w:rPr>
        <w:t>…</w:t>
      </w:r>
    </w:p>
    <w:p w14:paraId="55F6D56F" w14:textId="4C005EF4" w:rsidR="001E6FB0" w:rsidRPr="00F16598" w:rsidRDefault="001E6FB0" w:rsidP="001E6FB0">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Pr>
          <w:rFonts w:ascii="Palatino Linotype" w:eastAsia="Calibri" w:hAnsi="Palatino Linotype" w:cs="Tahoma"/>
          <w:i/>
          <w:iCs/>
          <w:sz w:val="20"/>
          <w:szCs w:val="20"/>
          <w:lang w:val="es-MX" w:eastAsia="es-ES_tradnl"/>
        </w:rPr>
        <w:t>VII. A … XI.</w:t>
      </w:r>
    </w:p>
    <w:p w14:paraId="2B68B8CB" w14:textId="77777777" w:rsidR="001E6FB0" w:rsidRPr="00F16598" w:rsidRDefault="001E6FB0" w:rsidP="001E6FB0">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0975501E" w14:textId="77777777" w:rsidR="001E6FB0" w:rsidRDefault="001E6FB0" w:rsidP="001E6FB0">
      <w:pPr>
        <w:spacing w:after="0" w:line="360" w:lineRule="auto"/>
        <w:jc w:val="both"/>
        <w:rPr>
          <w:rFonts w:ascii="Palatino Linotype" w:hAnsi="Palatino Linotype"/>
          <w:bCs/>
          <w:lang w:val="es-MX"/>
        </w:rPr>
      </w:pPr>
    </w:p>
    <w:p w14:paraId="5FC62661" w14:textId="77777777" w:rsidR="001E6FB0" w:rsidRPr="00F16598" w:rsidRDefault="001E6FB0" w:rsidP="001E6FB0">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37C9C4D9" w14:textId="77777777" w:rsidR="001E6FB0" w:rsidRDefault="001E6FB0" w:rsidP="001E6FB0">
      <w:pPr>
        <w:spacing w:after="0" w:line="360" w:lineRule="auto"/>
        <w:jc w:val="both"/>
        <w:rPr>
          <w:rFonts w:ascii="Palatino Linotype" w:hAnsi="Palatino Linotype"/>
          <w:bCs/>
          <w:lang w:val="es-MX"/>
        </w:rPr>
      </w:pPr>
    </w:p>
    <w:p w14:paraId="08A93861" w14:textId="0FA47560" w:rsidR="00C91F3F" w:rsidRDefault="00C91F3F" w:rsidP="00C91F3F">
      <w:pPr>
        <w:spacing w:after="0" w:line="360" w:lineRule="auto"/>
        <w:ind w:left="567" w:right="567"/>
        <w:jc w:val="both"/>
        <w:rPr>
          <w:rFonts w:ascii="Palatino Linotype" w:hAnsi="Palatino Linotype"/>
          <w:bCs/>
          <w:i/>
          <w:iCs/>
          <w:sz w:val="20"/>
          <w:szCs w:val="20"/>
          <w:lang w:val="es-MX"/>
        </w:rPr>
      </w:pPr>
      <w:r>
        <w:rPr>
          <w:rFonts w:ascii="Palatino Linotype" w:hAnsi="Palatino Linotype"/>
          <w:b/>
          <w:bCs/>
          <w:i/>
          <w:iCs/>
          <w:sz w:val="20"/>
          <w:szCs w:val="20"/>
          <w:lang w:val="es-MX"/>
        </w:rPr>
        <w:t>“</w:t>
      </w:r>
      <w:r w:rsidRPr="00C91F3F">
        <w:rPr>
          <w:rFonts w:ascii="Palatino Linotype" w:hAnsi="Palatino Linotype"/>
          <w:b/>
          <w:bCs/>
          <w:i/>
          <w:iCs/>
          <w:sz w:val="20"/>
          <w:szCs w:val="20"/>
          <w:lang w:val="es-MX"/>
        </w:rPr>
        <w:t>Vigésimo sexto.</w:t>
      </w:r>
      <w:r w:rsidRPr="00C91F3F">
        <w:rPr>
          <w:rFonts w:ascii="Palatino Linotype" w:hAnsi="Palatino Linotype"/>
          <w:bCs/>
          <w:i/>
          <w:iCs/>
          <w:sz w:val="20"/>
          <w:szCs w:val="20"/>
          <w:lang w:val="es-MX"/>
        </w:rPr>
        <w:t xml:space="preserve"> De conformidad con el artículo 113, fracción VII de la Ley General, </w:t>
      </w:r>
      <w:r w:rsidRPr="00C91F3F">
        <w:rPr>
          <w:rFonts w:ascii="Palatino Linotype" w:hAnsi="Palatino Linotype"/>
          <w:bCs/>
          <w:i/>
          <w:iCs/>
          <w:sz w:val="20"/>
          <w:szCs w:val="20"/>
          <w:u w:val="single"/>
          <w:lang w:val="es-MX"/>
        </w:rPr>
        <w:t>podrá considerarse como información reservada, aquella que obstruya la prevención de delitos al obstaculizar las acciones implementadas por las autoridades para evitar su comisión, o menoscabar o limitar la capacidad de las autoridades para evitar la comisión de delitos</w:t>
      </w:r>
      <w:r w:rsidRPr="00C91F3F">
        <w:rPr>
          <w:rFonts w:ascii="Palatino Linotype" w:hAnsi="Palatino Linotype"/>
          <w:bCs/>
          <w:i/>
          <w:iCs/>
          <w:sz w:val="20"/>
          <w:szCs w:val="20"/>
          <w:lang w:val="es-MX"/>
        </w:rPr>
        <w:t>.</w:t>
      </w:r>
    </w:p>
    <w:p w14:paraId="4B7228FB" w14:textId="77777777" w:rsidR="00C91F3F" w:rsidRPr="00C91F3F" w:rsidRDefault="00C91F3F" w:rsidP="00C91F3F">
      <w:pPr>
        <w:spacing w:after="0" w:line="360" w:lineRule="auto"/>
        <w:ind w:left="567" w:right="567"/>
        <w:jc w:val="both"/>
        <w:rPr>
          <w:rFonts w:ascii="Palatino Linotype" w:hAnsi="Palatino Linotype"/>
          <w:bCs/>
          <w:i/>
          <w:iCs/>
          <w:sz w:val="20"/>
          <w:szCs w:val="20"/>
          <w:lang w:val="es-MX"/>
        </w:rPr>
      </w:pPr>
    </w:p>
    <w:p w14:paraId="5EE4A3FF" w14:textId="77777777" w:rsidR="00C91F3F" w:rsidRPr="00C91F3F" w:rsidRDefault="00C91F3F" w:rsidP="00C91F3F">
      <w:pPr>
        <w:spacing w:after="0" w:line="360" w:lineRule="auto"/>
        <w:ind w:left="567" w:right="567"/>
        <w:jc w:val="both"/>
        <w:rPr>
          <w:rFonts w:ascii="Palatino Linotype" w:hAnsi="Palatino Linotype"/>
          <w:bCs/>
          <w:i/>
          <w:iCs/>
          <w:sz w:val="20"/>
          <w:szCs w:val="20"/>
          <w:lang w:val="es-MX"/>
        </w:rPr>
      </w:pPr>
      <w:r w:rsidRPr="00C91F3F">
        <w:rPr>
          <w:rFonts w:ascii="Palatino Linotype" w:hAnsi="Palatino Linotype"/>
          <w:bCs/>
          <w:i/>
          <w:iCs/>
          <w:sz w:val="20"/>
          <w:szCs w:val="20"/>
          <w:lang w:val="es-MX"/>
        </w:rPr>
        <w:t>Para que se verifique el supuesto de reserva, cuando se cause un perjuicio a las actividades de persecución de los delitos, deben de actualizarse los siguientes elementos:</w:t>
      </w:r>
    </w:p>
    <w:p w14:paraId="047467C6" w14:textId="1B05737C" w:rsidR="00C91F3F" w:rsidRPr="00C91F3F" w:rsidRDefault="00C91F3F" w:rsidP="00C91F3F">
      <w:pPr>
        <w:spacing w:after="0" w:line="360" w:lineRule="auto"/>
        <w:ind w:left="567" w:right="567"/>
        <w:jc w:val="both"/>
        <w:rPr>
          <w:rFonts w:ascii="Palatino Linotype" w:hAnsi="Palatino Linotype"/>
          <w:bCs/>
          <w:i/>
          <w:iCs/>
          <w:sz w:val="20"/>
          <w:szCs w:val="20"/>
          <w:lang w:val="es-MX"/>
        </w:rPr>
      </w:pPr>
    </w:p>
    <w:p w14:paraId="062D13DD" w14:textId="753C6AAE" w:rsidR="00C91F3F" w:rsidRPr="00C91F3F" w:rsidRDefault="00C91F3F" w:rsidP="00C91F3F">
      <w:pPr>
        <w:spacing w:after="0" w:line="360" w:lineRule="auto"/>
        <w:ind w:left="567" w:right="567"/>
        <w:jc w:val="both"/>
        <w:rPr>
          <w:rFonts w:ascii="Palatino Linotype" w:hAnsi="Palatino Linotype"/>
          <w:bCs/>
          <w:i/>
          <w:iCs/>
          <w:sz w:val="20"/>
          <w:szCs w:val="20"/>
          <w:lang w:val="es-MX"/>
        </w:rPr>
      </w:pPr>
      <w:r w:rsidRPr="00C91F3F">
        <w:rPr>
          <w:rFonts w:ascii="Palatino Linotype" w:hAnsi="Palatino Linotype"/>
          <w:b/>
          <w:bCs/>
          <w:i/>
          <w:iCs/>
          <w:sz w:val="20"/>
          <w:szCs w:val="20"/>
          <w:lang w:val="es-MX"/>
        </w:rPr>
        <w:t>I.</w:t>
      </w:r>
      <w:r w:rsidRPr="00C91F3F">
        <w:rPr>
          <w:rFonts w:ascii="Palatino Linotype" w:hAnsi="Palatino Linotype"/>
          <w:bCs/>
          <w:i/>
          <w:iCs/>
          <w:sz w:val="20"/>
          <w:szCs w:val="20"/>
          <w:lang w:val="es-MX"/>
        </w:rPr>
        <w:t xml:space="preserve"> La existencia de un proceso penal en sustanciación o una carpeta de investigación en trámite;</w:t>
      </w:r>
    </w:p>
    <w:p w14:paraId="3A0B89B9" w14:textId="77777777" w:rsidR="00C91F3F" w:rsidRPr="00C91F3F" w:rsidRDefault="00C91F3F" w:rsidP="00C91F3F">
      <w:pPr>
        <w:spacing w:after="0" w:line="360" w:lineRule="auto"/>
        <w:ind w:left="567" w:right="567"/>
        <w:jc w:val="both"/>
        <w:rPr>
          <w:rFonts w:ascii="Palatino Linotype" w:hAnsi="Palatino Linotype"/>
          <w:bCs/>
          <w:i/>
          <w:iCs/>
          <w:sz w:val="20"/>
          <w:szCs w:val="20"/>
          <w:lang w:val="es-MX"/>
        </w:rPr>
      </w:pPr>
      <w:r w:rsidRPr="00C91F3F">
        <w:rPr>
          <w:rFonts w:ascii="Palatino Linotype" w:hAnsi="Palatino Linotype"/>
          <w:b/>
          <w:i/>
          <w:iCs/>
          <w:sz w:val="20"/>
          <w:szCs w:val="20"/>
          <w:lang w:val="es-MX"/>
        </w:rPr>
        <w:t>II.</w:t>
      </w:r>
      <w:r w:rsidRPr="00C91F3F">
        <w:rPr>
          <w:rFonts w:ascii="Palatino Linotype" w:hAnsi="Palatino Linotype"/>
          <w:bCs/>
          <w:i/>
          <w:iCs/>
          <w:sz w:val="20"/>
          <w:szCs w:val="20"/>
          <w:lang w:val="es-MX"/>
        </w:rPr>
        <w:t xml:space="preserve"> Que se acredite el vínculo que existe entre la información solicitada y la carpeta de investigación, o el proceso penal, según sea el caso, y</w:t>
      </w:r>
    </w:p>
    <w:p w14:paraId="7B4D6E21" w14:textId="052E5BFB" w:rsidR="001E6FB0" w:rsidRPr="00C91F3F" w:rsidRDefault="00C91F3F" w:rsidP="00C91F3F">
      <w:pPr>
        <w:spacing w:after="0" w:line="360" w:lineRule="auto"/>
        <w:ind w:left="567" w:right="567"/>
        <w:jc w:val="both"/>
        <w:rPr>
          <w:rFonts w:ascii="Palatino Linotype" w:hAnsi="Palatino Linotype"/>
          <w:bCs/>
          <w:i/>
          <w:iCs/>
          <w:sz w:val="20"/>
          <w:szCs w:val="20"/>
          <w:lang w:val="es-MX"/>
        </w:rPr>
      </w:pPr>
      <w:r w:rsidRPr="00C91F3F">
        <w:rPr>
          <w:rFonts w:ascii="Palatino Linotype" w:hAnsi="Palatino Linotype"/>
          <w:b/>
          <w:i/>
          <w:iCs/>
          <w:sz w:val="20"/>
          <w:szCs w:val="20"/>
          <w:lang w:val="es-MX"/>
        </w:rPr>
        <w:t>III.</w:t>
      </w:r>
      <w:r w:rsidRPr="00C91F3F">
        <w:rPr>
          <w:rFonts w:ascii="Palatino Linotype" w:hAnsi="Palatino Linotype"/>
          <w:bCs/>
          <w:i/>
          <w:iCs/>
          <w:sz w:val="20"/>
          <w:szCs w:val="20"/>
          <w:lang w:val="es-MX"/>
        </w:rPr>
        <w:t xml:space="preserve"> Que la difusión de la información pueda impedir u obstruir las funciones que ejerce el Ministerio Público o su equivalente durante la etapa de investigación o ante los tribunales judiciales con motivo del ejercicio de la acción penal.</w:t>
      </w:r>
      <w:r>
        <w:rPr>
          <w:rFonts w:ascii="Palatino Linotype" w:hAnsi="Palatino Linotype"/>
          <w:bCs/>
          <w:i/>
          <w:iCs/>
          <w:sz w:val="20"/>
          <w:szCs w:val="20"/>
          <w:lang w:val="es-MX"/>
        </w:rPr>
        <w:t>”</w:t>
      </w:r>
    </w:p>
    <w:p w14:paraId="24DA24E5" w14:textId="77777777" w:rsidR="001E6FB0" w:rsidRDefault="001E6FB0" w:rsidP="001E6FB0">
      <w:pPr>
        <w:spacing w:after="0" w:line="360" w:lineRule="auto"/>
        <w:jc w:val="both"/>
        <w:rPr>
          <w:rFonts w:ascii="Palatino Linotype" w:hAnsi="Palatino Linotype"/>
          <w:bCs/>
          <w:lang w:val="es-MX"/>
        </w:rPr>
      </w:pPr>
    </w:p>
    <w:p w14:paraId="0205A0FE" w14:textId="61BE90C0" w:rsidR="001E6FB0" w:rsidRPr="00C91F3F" w:rsidRDefault="00C91F3F" w:rsidP="001E6FB0">
      <w:pPr>
        <w:spacing w:after="0" w:line="360" w:lineRule="auto"/>
        <w:jc w:val="both"/>
        <w:rPr>
          <w:rFonts w:ascii="Palatino Linotype" w:hAnsi="Palatino Linotype"/>
          <w:lang w:val="es-MX"/>
        </w:rPr>
      </w:pPr>
      <w:r>
        <w:rPr>
          <w:rFonts w:ascii="Palatino Linotype" w:hAnsi="Palatino Linotype"/>
          <w:bCs/>
          <w:lang w:val="es-MX"/>
        </w:rPr>
        <w:t xml:space="preserve">Con base en lo anterior, se advierte que el número </w:t>
      </w:r>
      <w:r w:rsidRPr="00C91F3F">
        <w:rPr>
          <w:rFonts w:ascii="Palatino Linotype" w:hAnsi="Palatino Linotype"/>
          <w:b/>
          <w:bCs/>
        </w:rPr>
        <w:t>de escoltas y de elementos comisionados al resguardo de instalaciones municipales</w:t>
      </w:r>
      <w:r>
        <w:rPr>
          <w:rFonts w:ascii="Palatino Linotype" w:hAnsi="Palatino Linotype"/>
          <w:b/>
          <w:bCs/>
        </w:rPr>
        <w:t xml:space="preserve">, se relaciona directamente con el estado de fuerza o de rección para prevenir la comisión de delitos, que en el presente caso, de trata de las instalaciones del </w:t>
      </w:r>
      <w:r w:rsidRPr="00C91F3F">
        <w:rPr>
          <w:rFonts w:ascii="Palatino Linotype" w:hAnsi="Palatino Linotype"/>
          <w:b/>
          <w:bCs/>
        </w:rPr>
        <w:t>Ayuntamiento de Melchor Ocampo</w:t>
      </w:r>
      <w:r>
        <w:rPr>
          <w:rFonts w:ascii="Palatino Linotype" w:hAnsi="Palatino Linotype"/>
          <w:b/>
          <w:bCs/>
        </w:rPr>
        <w:t xml:space="preserve">. </w:t>
      </w:r>
    </w:p>
    <w:p w14:paraId="23C2097E" w14:textId="77777777" w:rsidR="00C91F3F" w:rsidRDefault="00C91F3F" w:rsidP="001E6FB0">
      <w:pPr>
        <w:spacing w:after="0" w:line="360" w:lineRule="auto"/>
        <w:jc w:val="both"/>
        <w:rPr>
          <w:rFonts w:ascii="Palatino Linotype" w:hAnsi="Palatino Linotype"/>
          <w:bCs/>
          <w:lang w:val="es-MX"/>
        </w:rPr>
      </w:pPr>
    </w:p>
    <w:p w14:paraId="61B6690A" w14:textId="77777777" w:rsidR="001E6FB0" w:rsidRPr="009073A7" w:rsidRDefault="001E6FB0" w:rsidP="001E6FB0">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2DE88BCF" w14:textId="77777777" w:rsidR="001E6FB0" w:rsidRPr="009073A7" w:rsidRDefault="001E6FB0" w:rsidP="001E6FB0">
      <w:pPr>
        <w:spacing w:after="0" w:line="360" w:lineRule="auto"/>
        <w:jc w:val="both"/>
        <w:rPr>
          <w:rFonts w:ascii="Palatino Linotype" w:eastAsia="Calibri" w:hAnsi="Palatino Linotype" w:cs="Tahoma"/>
          <w:lang w:val="es-MX"/>
        </w:rPr>
      </w:pPr>
    </w:p>
    <w:p w14:paraId="6CFBCF6A" w14:textId="3DF83BF6" w:rsidR="001E6FB0" w:rsidRPr="001E6FB0" w:rsidRDefault="001E6FB0" w:rsidP="001E6FB0">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r>
        <w:rPr>
          <w:rFonts w:ascii="Palatino Linotype" w:eastAsia="Calibri" w:hAnsi="Palatino Linotype" w:cs="Tahoma"/>
          <w:lang w:val="es-MX"/>
        </w:rPr>
        <w:t xml:space="preserve"> </w:t>
      </w: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 xml:space="preserve">estado de fuerza se conforma de los elementos </w:t>
      </w:r>
      <w:r w:rsidRPr="009073A7">
        <w:rPr>
          <w:rFonts w:ascii="Palatino Linotype" w:eastAsia="Calibri" w:hAnsi="Palatino Linotype" w:cs="Tahoma"/>
          <w:lang w:val="es-MX"/>
        </w:rPr>
        <w:lastRenderedPageBreak/>
        <w:t>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C91F3F">
        <w:rPr>
          <w:rFonts w:ascii="Palatino Linotype" w:eastAsia="Calibri" w:hAnsi="Palatino Linotype" w:cs="Tahoma"/>
          <w:b/>
          <w:bCs/>
          <w:u w:val="single"/>
          <w:lang w:val="es-MX"/>
        </w:rPr>
        <w:t>únicamente en el total de servidores públicos operativos, sino que se debe ceñir a otros factores, como el turno, las necesidades y actividades operativas</w:t>
      </w:r>
      <w:r>
        <w:rPr>
          <w:rFonts w:ascii="Palatino Linotype" w:eastAsia="Calibri" w:hAnsi="Palatino Linotype" w:cs="Tahoma"/>
          <w:b/>
          <w:bCs/>
          <w:lang w:val="es-MX"/>
        </w:rPr>
        <w:t>.</w:t>
      </w:r>
    </w:p>
    <w:p w14:paraId="1351000F" w14:textId="77777777" w:rsidR="001E6FB0" w:rsidRDefault="001E6FB0" w:rsidP="001E6FB0">
      <w:pPr>
        <w:spacing w:after="0" w:line="360" w:lineRule="auto"/>
        <w:jc w:val="both"/>
        <w:rPr>
          <w:rFonts w:ascii="Palatino Linotype" w:eastAsia="Calibri" w:hAnsi="Palatino Linotype" w:cs="Tahoma"/>
          <w:b/>
          <w:bCs/>
          <w:lang w:val="es-MX"/>
        </w:rPr>
      </w:pPr>
    </w:p>
    <w:p w14:paraId="257BFE51" w14:textId="77777777" w:rsidR="001E6FB0" w:rsidRDefault="001E6FB0" w:rsidP="001E6FB0">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61533B23" w14:textId="77777777" w:rsidR="00187830" w:rsidRDefault="00187830" w:rsidP="001E6FB0">
      <w:pPr>
        <w:spacing w:after="0" w:line="360" w:lineRule="auto"/>
        <w:jc w:val="both"/>
        <w:rPr>
          <w:rFonts w:ascii="Palatino Linotype" w:eastAsia="Calibri" w:hAnsi="Palatino Linotype" w:cs="Tahoma"/>
          <w:b/>
          <w:lang w:val="es-MX"/>
        </w:rPr>
      </w:pPr>
    </w:p>
    <w:p w14:paraId="51108B26" w14:textId="5FFBBCAC" w:rsidR="00187830" w:rsidRPr="00187830" w:rsidRDefault="00187830" w:rsidP="001E6FB0">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Ahora bien, suponiendo sin conceder, que existan elementos operativos destinados a realizar funciones de escoltas, también podría actualizar el supuesto de reserva de la fracción IV, del artículo 140, de la Ley de materia, en los términos planteados en el apartado anterior.</w:t>
      </w:r>
    </w:p>
    <w:p w14:paraId="200EF158" w14:textId="77777777" w:rsidR="001E6FB0" w:rsidRPr="001E6FB0" w:rsidRDefault="001E6FB0" w:rsidP="001E6FB0">
      <w:pPr>
        <w:spacing w:after="0" w:line="360" w:lineRule="auto"/>
        <w:jc w:val="both"/>
        <w:rPr>
          <w:rFonts w:ascii="Palatino Linotype" w:hAnsi="Palatino Linotype"/>
          <w:bCs/>
          <w:lang w:val="es-MX"/>
        </w:rPr>
      </w:pPr>
    </w:p>
    <w:p w14:paraId="628D8A96" w14:textId="18A7F10D" w:rsidR="001E6FB0" w:rsidRDefault="00A714F3" w:rsidP="001E6FB0">
      <w:pPr>
        <w:spacing w:after="0" w:line="360" w:lineRule="auto"/>
        <w:jc w:val="both"/>
        <w:rPr>
          <w:rFonts w:ascii="Palatino Linotype" w:hAnsi="Palatino Linotype" w:cs="Tahoma"/>
        </w:rPr>
      </w:pPr>
      <w:r>
        <w:rPr>
          <w:rFonts w:ascii="Palatino Linotype" w:hAnsi="Palatino Linotype" w:cs="Tahoma"/>
        </w:rPr>
        <w:t>Por todo lo anterior, recalco</w:t>
      </w:r>
      <w:r w:rsidR="001E6FB0">
        <w:rPr>
          <w:rFonts w:ascii="Palatino Linotype" w:hAnsi="Palatino Linotype" w:cs="Tahoma"/>
        </w:rPr>
        <w:t xml:space="preserve">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6B0A88E9" w14:textId="77777777" w:rsidR="001E6FB0" w:rsidRDefault="001E6FB0" w:rsidP="001E6FB0">
      <w:pPr>
        <w:spacing w:after="0" w:line="360" w:lineRule="auto"/>
        <w:jc w:val="both"/>
        <w:rPr>
          <w:rFonts w:ascii="Palatino Linotype" w:hAnsi="Palatino Linotype" w:cs="Tahoma"/>
        </w:rPr>
      </w:pPr>
    </w:p>
    <w:p w14:paraId="2E00C7AD" w14:textId="50314571" w:rsidR="00745AE2" w:rsidRPr="001E6FB0" w:rsidRDefault="001E6FB0" w:rsidP="001E6FB0">
      <w:pPr>
        <w:spacing w:after="0" w:line="360" w:lineRule="auto"/>
        <w:ind w:right="49"/>
        <w:jc w:val="both"/>
        <w:rPr>
          <w:rFonts w:ascii="Palatino Linotype" w:eastAsia="Calibri" w:hAnsi="Palatino Linotype" w:cs="Times New Roman"/>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 xml:space="preserve">con base en los razonamientos expuestos, se emite el Presente </w:t>
      </w:r>
      <w:r w:rsidRPr="001E6FB0">
        <w:rPr>
          <w:rFonts w:ascii="Palatino Linotype" w:hAnsi="Palatino Linotype" w:cs="Tahoma"/>
          <w:b/>
          <w:bCs/>
        </w:rPr>
        <w:t>Voto Particular</w:t>
      </w:r>
      <w:r>
        <w:rPr>
          <w:rFonts w:ascii="Palatino Linotype" w:eastAsia="Calibri" w:hAnsi="Palatino Linotype" w:cs="Times New Roman"/>
        </w:rPr>
        <w:t xml:space="preserve">. </w:t>
      </w:r>
      <w:r w:rsidR="00745AE2" w:rsidRPr="00EE18BD">
        <w:rPr>
          <w:rFonts w:ascii="Palatino Linotype" w:hAnsi="Palatino Linotype" w:cs="Tahoma"/>
        </w:rPr>
        <w:t>-------------------------------------------------------------------------------</w:t>
      </w:r>
      <w:r w:rsidR="00745AE2">
        <w:rPr>
          <w:rFonts w:ascii="Palatino Linotype" w:hAnsi="Palatino Linotype" w:cs="Tahoma"/>
        </w:rPr>
        <w:t>--</w:t>
      </w:r>
      <w:r w:rsidR="00745AE2" w:rsidRPr="00EE18BD">
        <w:rPr>
          <w:rFonts w:ascii="Palatino Linotype" w:hAnsi="Palatino Linotype" w:cs="Tahoma"/>
        </w:rPr>
        <w:t>---------------------------------------------------</w:t>
      </w:r>
      <w:r w:rsidR="00745AE2">
        <w:rPr>
          <w:rFonts w:ascii="Palatino Linotype" w:hAnsi="Palatino Linotype" w:cs="Tahoma"/>
        </w:rPr>
        <w:t>--------------</w:t>
      </w:r>
      <w:r>
        <w:rPr>
          <w:rFonts w:ascii="Palatino Linotype" w:hAnsi="Palatino Linotype" w:cs="Tahoma"/>
        </w:rPr>
        <w:t>---------------------------------------------</w:t>
      </w:r>
    </w:p>
    <w:p w14:paraId="6EF8FE5A" w14:textId="77777777" w:rsidR="00745AE2" w:rsidRDefault="00745AE2" w:rsidP="00745AE2">
      <w:pPr>
        <w:rPr>
          <w:rFonts w:ascii="Palatino Linotype" w:hAnsi="Palatino Linotype" w:cs="Tahoma"/>
        </w:rPr>
      </w:pPr>
      <w:r>
        <w:rPr>
          <w:rFonts w:ascii="Palatino Linotype" w:hAnsi="Palatino Linotype" w:cs="Tahoma"/>
        </w:rPr>
        <w:br w:type="page"/>
      </w:r>
    </w:p>
    <w:p w14:paraId="6142BFF9" w14:textId="77777777" w:rsidR="00745AE2" w:rsidRDefault="00745AE2" w:rsidP="00745AE2">
      <w:pPr>
        <w:spacing w:after="0" w:line="360" w:lineRule="auto"/>
        <w:jc w:val="both"/>
        <w:rPr>
          <w:rFonts w:ascii="Palatino Linotype" w:hAnsi="Palatino Linotype" w:cs="Tahoma"/>
        </w:rPr>
      </w:pPr>
    </w:p>
    <w:p w14:paraId="58CBA845" w14:textId="77777777" w:rsidR="00745AE2" w:rsidRPr="00C80258" w:rsidRDefault="00745AE2" w:rsidP="00745AE2"/>
    <w:p w14:paraId="69186D52" w14:textId="77777777" w:rsidR="00A65C55" w:rsidRDefault="00A65C55"/>
    <w:sectPr w:rsidR="00A65C55" w:rsidSect="007B2260">
      <w:headerReference w:type="default" r:id="rId7"/>
      <w:footerReference w:type="default" r:id="rId8"/>
      <w:pgSz w:w="12240" w:h="15840"/>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32A5D" w14:textId="77777777" w:rsidR="00E81425" w:rsidRDefault="00E81425" w:rsidP="00745AE2">
      <w:pPr>
        <w:spacing w:after="0" w:line="240" w:lineRule="auto"/>
      </w:pPr>
      <w:r>
        <w:separator/>
      </w:r>
    </w:p>
  </w:endnote>
  <w:endnote w:type="continuationSeparator" w:id="0">
    <w:p w14:paraId="42F91890" w14:textId="77777777" w:rsidR="00E81425" w:rsidRDefault="00E81425" w:rsidP="0074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321105"/>
      <w:docPartObj>
        <w:docPartGallery w:val="Page Numbers (Bottom of Page)"/>
        <w:docPartUnique/>
      </w:docPartObj>
    </w:sdtPr>
    <w:sdtEndPr/>
    <w:sdtContent>
      <w:sdt>
        <w:sdtPr>
          <w:id w:val="-1769616900"/>
          <w:docPartObj>
            <w:docPartGallery w:val="Page Numbers (Top of Page)"/>
            <w:docPartUnique/>
          </w:docPartObj>
        </w:sdtPr>
        <w:sdtEndPr/>
        <w:sdtContent>
          <w:p w14:paraId="3CF7DFBA" w14:textId="77777777" w:rsidR="00C91F3F" w:rsidRDefault="00C91F3F">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714F3">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714F3">
              <w:rPr>
                <w:b/>
                <w:bCs/>
                <w:noProof/>
              </w:rPr>
              <w:t>17</w:t>
            </w:r>
            <w:r>
              <w:rPr>
                <w:b/>
                <w:bCs/>
                <w:sz w:val="24"/>
                <w:szCs w:val="24"/>
              </w:rPr>
              <w:fldChar w:fldCharType="end"/>
            </w:r>
          </w:p>
        </w:sdtContent>
      </w:sdt>
    </w:sdtContent>
  </w:sdt>
  <w:p w14:paraId="0C4EADCD" w14:textId="77777777" w:rsidR="00C91F3F" w:rsidRDefault="00C91F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8105D" w14:textId="77777777" w:rsidR="00E81425" w:rsidRDefault="00E81425" w:rsidP="00745AE2">
      <w:pPr>
        <w:spacing w:after="0" w:line="240" w:lineRule="auto"/>
      </w:pPr>
      <w:r>
        <w:separator/>
      </w:r>
    </w:p>
  </w:footnote>
  <w:footnote w:type="continuationSeparator" w:id="0">
    <w:p w14:paraId="14353CCC" w14:textId="77777777" w:rsidR="00E81425" w:rsidRDefault="00E81425" w:rsidP="00745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544"/>
    </w:tblGrid>
    <w:tr w:rsidR="007B2260" w:rsidRPr="007B2260" w14:paraId="417F2715" w14:textId="77777777" w:rsidTr="00745AE2">
      <w:trPr>
        <w:trHeight w:val="132"/>
      </w:trPr>
      <w:tc>
        <w:tcPr>
          <w:tcW w:w="2551" w:type="dxa"/>
        </w:tcPr>
        <w:p w14:paraId="18033FBA" w14:textId="77777777" w:rsidR="00C91F3F" w:rsidRPr="007B2260" w:rsidRDefault="00C91F3F" w:rsidP="00745AE2">
          <w:pPr>
            <w:tabs>
              <w:tab w:val="right" w:pos="8838"/>
            </w:tabs>
            <w:ind w:left="-813" w:right="-105" w:firstLine="813"/>
            <w:rPr>
              <w:rFonts w:ascii="Palatino Linotype" w:eastAsia="Calibri" w:hAnsi="Palatino Linotype" w:cs="Tahoma"/>
              <w:b/>
              <w:lang w:val="es-MX"/>
            </w:rPr>
          </w:pPr>
          <w:r w:rsidRPr="007B2260">
            <w:rPr>
              <w:rFonts w:ascii="Palatino Linotype" w:eastAsia="Calibri" w:hAnsi="Palatino Linotype" w:cs="Tahoma"/>
              <w:b/>
              <w:lang w:val="es-MX"/>
            </w:rPr>
            <w:t xml:space="preserve">Voto </w:t>
          </w:r>
          <w:r>
            <w:rPr>
              <w:rFonts w:ascii="Palatino Linotype" w:eastAsia="Calibri" w:hAnsi="Palatino Linotype" w:cs="Tahoma"/>
              <w:b/>
              <w:lang w:val="es-MX"/>
            </w:rPr>
            <w:t>Particular</w:t>
          </w:r>
        </w:p>
      </w:tc>
      <w:tc>
        <w:tcPr>
          <w:tcW w:w="3544" w:type="dxa"/>
        </w:tcPr>
        <w:p w14:paraId="4FB0822F" w14:textId="77777777" w:rsidR="00C91F3F" w:rsidRPr="007B2260" w:rsidRDefault="00C91F3F" w:rsidP="007B2260">
          <w:pPr>
            <w:tabs>
              <w:tab w:val="right" w:pos="8838"/>
            </w:tabs>
            <w:ind w:left="-111" w:right="-32"/>
            <w:rPr>
              <w:rFonts w:ascii="Palatino Linotype" w:eastAsia="Calibri" w:hAnsi="Palatino Linotype" w:cs="Tahoma"/>
              <w:lang w:val="es-MX"/>
            </w:rPr>
          </w:pPr>
        </w:p>
      </w:tc>
    </w:tr>
    <w:tr w:rsidR="007B2260" w:rsidRPr="007B2260" w14:paraId="482BCC46" w14:textId="77777777" w:rsidTr="00745AE2">
      <w:trPr>
        <w:trHeight w:val="132"/>
      </w:trPr>
      <w:tc>
        <w:tcPr>
          <w:tcW w:w="2551" w:type="dxa"/>
        </w:tcPr>
        <w:p w14:paraId="460B1A95" w14:textId="77777777" w:rsidR="00C91F3F" w:rsidRPr="007B2260" w:rsidRDefault="00C91F3F"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Recurso de Revisión:</w:t>
          </w:r>
        </w:p>
      </w:tc>
      <w:tc>
        <w:tcPr>
          <w:tcW w:w="3544" w:type="dxa"/>
        </w:tcPr>
        <w:p w14:paraId="3307AAAF" w14:textId="0904F6F2" w:rsidR="00C91F3F" w:rsidRPr="007B2260" w:rsidRDefault="00745AE2" w:rsidP="007B2260">
          <w:pPr>
            <w:tabs>
              <w:tab w:val="right" w:pos="8838"/>
            </w:tabs>
            <w:ind w:left="-111" w:right="-32"/>
            <w:rPr>
              <w:rFonts w:ascii="Palatino Linotype" w:eastAsia="Calibri" w:hAnsi="Palatino Linotype" w:cs="Tahoma"/>
            </w:rPr>
          </w:pPr>
          <w:r w:rsidRPr="00745AE2">
            <w:rPr>
              <w:rFonts w:ascii="Palatino Linotype" w:eastAsia="Calibri" w:hAnsi="Palatino Linotype" w:cs="Tahoma"/>
              <w:lang w:val="es-MX"/>
            </w:rPr>
            <w:t>14612/INFOEM/IP/RR/2022</w:t>
          </w:r>
        </w:p>
      </w:tc>
    </w:tr>
    <w:tr w:rsidR="007B2260" w:rsidRPr="007B2260" w14:paraId="49C2FDEF" w14:textId="77777777" w:rsidTr="00745AE2">
      <w:trPr>
        <w:trHeight w:val="261"/>
      </w:trPr>
      <w:tc>
        <w:tcPr>
          <w:tcW w:w="2551" w:type="dxa"/>
        </w:tcPr>
        <w:p w14:paraId="534864F5" w14:textId="77777777" w:rsidR="00C91F3F" w:rsidRPr="007B2260" w:rsidRDefault="00C91F3F"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Sujeto Obligado:</w:t>
          </w:r>
        </w:p>
      </w:tc>
      <w:tc>
        <w:tcPr>
          <w:tcW w:w="3544" w:type="dxa"/>
        </w:tcPr>
        <w:p w14:paraId="1B55E871" w14:textId="3A58DAA7" w:rsidR="00C91F3F" w:rsidRPr="007B2260" w:rsidRDefault="00745AE2" w:rsidP="00C80258">
          <w:pPr>
            <w:tabs>
              <w:tab w:val="right" w:pos="8838"/>
            </w:tabs>
            <w:ind w:left="-111" w:right="-32"/>
            <w:jc w:val="both"/>
            <w:rPr>
              <w:rFonts w:ascii="Palatino Linotype" w:eastAsia="Calibri" w:hAnsi="Palatino Linotype" w:cs="Tahoma"/>
              <w:lang w:val="es-MX"/>
            </w:rPr>
          </w:pPr>
          <w:r w:rsidRPr="00745AE2">
            <w:rPr>
              <w:rFonts w:ascii="Palatino Linotype" w:eastAsia="Calibri" w:hAnsi="Palatino Linotype" w:cs="Tahoma"/>
              <w:lang w:val="es-MX"/>
            </w:rPr>
            <w:t>Ayuntamiento de Melchor Ocampo</w:t>
          </w:r>
        </w:p>
      </w:tc>
    </w:tr>
    <w:tr w:rsidR="007B2260" w:rsidRPr="007B2260" w14:paraId="05AF6CC2" w14:textId="77777777" w:rsidTr="00745AE2">
      <w:trPr>
        <w:trHeight w:val="261"/>
      </w:trPr>
      <w:tc>
        <w:tcPr>
          <w:tcW w:w="2551" w:type="dxa"/>
        </w:tcPr>
        <w:p w14:paraId="58948D38" w14:textId="77777777" w:rsidR="00C91F3F" w:rsidRPr="007B2260" w:rsidRDefault="00C91F3F"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Comisionado Ponente:</w:t>
          </w:r>
        </w:p>
      </w:tc>
      <w:tc>
        <w:tcPr>
          <w:tcW w:w="3544" w:type="dxa"/>
        </w:tcPr>
        <w:p w14:paraId="55FA7D8D" w14:textId="05133EA1" w:rsidR="00C91F3F" w:rsidRPr="007B2260" w:rsidRDefault="00745AE2" w:rsidP="007B2260">
          <w:pPr>
            <w:tabs>
              <w:tab w:val="right" w:pos="8838"/>
            </w:tabs>
            <w:ind w:left="-111" w:right="-32"/>
            <w:rPr>
              <w:rFonts w:ascii="Palatino Linotype" w:eastAsia="Calibri" w:hAnsi="Palatino Linotype" w:cs="Tahoma"/>
              <w:bCs/>
              <w:lang w:val="es-MX"/>
            </w:rPr>
          </w:pPr>
          <w:r w:rsidRPr="00745AE2">
            <w:rPr>
              <w:rFonts w:ascii="Palatino Linotype" w:eastAsia="Calibri" w:hAnsi="Palatino Linotype" w:cs="Tahoma"/>
              <w:bCs/>
              <w:lang w:val="es-ES_tradnl"/>
            </w:rPr>
            <w:t>Sharon Cristina Morales Martínez</w:t>
          </w:r>
        </w:p>
      </w:tc>
    </w:tr>
    <w:tr w:rsidR="007B2260" w:rsidRPr="007B2260" w14:paraId="308B076F" w14:textId="77777777" w:rsidTr="00745AE2">
      <w:trPr>
        <w:trHeight w:val="261"/>
      </w:trPr>
      <w:tc>
        <w:tcPr>
          <w:tcW w:w="2551" w:type="dxa"/>
        </w:tcPr>
        <w:p w14:paraId="35EBFC7C" w14:textId="77777777" w:rsidR="00C91F3F" w:rsidRPr="007B2260" w:rsidRDefault="00C91F3F" w:rsidP="007B2260">
          <w:pPr>
            <w:tabs>
              <w:tab w:val="right" w:pos="8838"/>
            </w:tabs>
            <w:ind w:right="-105"/>
            <w:rPr>
              <w:rFonts w:ascii="Palatino Linotype" w:eastAsia="Calibri" w:hAnsi="Palatino Linotype" w:cs="Tahoma"/>
              <w:b/>
              <w:lang w:val="es-MX"/>
            </w:rPr>
          </w:pPr>
        </w:p>
      </w:tc>
      <w:tc>
        <w:tcPr>
          <w:tcW w:w="3544" w:type="dxa"/>
        </w:tcPr>
        <w:p w14:paraId="3941E8C1" w14:textId="77777777" w:rsidR="00C91F3F" w:rsidRPr="007B2260" w:rsidRDefault="00C91F3F" w:rsidP="007B2260">
          <w:pPr>
            <w:tabs>
              <w:tab w:val="right" w:pos="8838"/>
            </w:tabs>
            <w:ind w:left="-111" w:right="-32"/>
            <w:rPr>
              <w:rFonts w:ascii="Palatino Linotype" w:eastAsia="Calibri" w:hAnsi="Palatino Linotype" w:cs="Tahoma"/>
              <w:bCs/>
              <w:lang w:val="es-ES_tradnl"/>
            </w:rPr>
          </w:pPr>
        </w:p>
      </w:tc>
    </w:tr>
  </w:tbl>
  <w:p w14:paraId="60A90690" w14:textId="77777777" w:rsidR="00C91F3F" w:rsidRDefault="00C91F3F">
    <w:pPr>
      <w:pStyle w:val="Encabezado"/>
    </w:pPr>
    <w:r>
      <w:rPr>
        <w:noProof/>
        <w:sz w:val="10"/>
        <w:szCs w:val="10"/>
        <w:lang w:val="es-MX" w:eastAsia="es-MX"/>
      </w:rPr>
      <w:drawing>
        <wp:anchor distT="0" distB="0" distL="114300" distR="114300" simplePos="0" relativeHeight="251659264" behindDoc="0" locked="0" layoutInCell="1" allowOverlap="1" wp14:anchorId="407457A3" wp14:editId="4A52DA1C">
          <wp:simplePos x="0" y="0"/>
          <wp:positionH relativeFrom="column">
            <wp:posOffset>11430</wp:posOffset>
          </wp:positionH>
          <wp:positionV relativeFrom="paragraph">
            <wp:posOffset>-1219200</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96768A6"/>
    <w:multiLevelType w:val="hybridMultilevel"/>
    <w:tmpl w:val="8FA4147E"/>
    <w:lvl w:ilvl="0" w:tplc="78BE948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D479A8"/>
    <w:multiLevelType w:val="hybridMultilevel"/>
    <w:tmpl w:val="1BB2DB44"/>
    <w:lvl w:ilvl="0" w:tplc="3F620B4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E2"/>
    <w:rsid w:val="00187830"/>
    <w:rsid w:val="001E6FB0"/>
    <w:rsid w:val="00745AE2"/>
    <w:rsid w:val="009751C7"/>
    <w:rsid w:val="00A65C55"/>
    <w:rsid w:val="00A714F3"/>
    <w:rsid w:val="00B01539"/>
    <w:rsid w:val="00C91F3F"/>
    <w:rsid w:val="00E76690"/>
    <w:rsid w:val="00E81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D053"/>
  <w15:chartTrackingRefBased/>
  <w15:docId w15:val="{642BA3B7-8249-4F62-B40B-29FB80F2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AE2"/>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A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5AE2"/>
    <w:rPr>
      <w:kern w:val="0"/>
      <w:lang w:val="es-ES"/>
      <w14:ligatures w14:val="none"/>
    </w:rPr>
  </w:style>
  <w:style w:type="paragraph" w:styleId="Piedepgina">
    <w:name w:val="footer"/>
    <w:basedOn w:val="Normal"/>
    <w:link w:val="PiedepginaCar"/>
    <w:uiPriority w:val="99"/>
    <w:unhideWhenUsed/>
    <w:rsid w:val="00745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AE2"/>
    <w:rPr>
      <w:kern w:val="0"/>
      <w:lang w:val="es-ES"/>
      <w14:ligatures w14:val="none"/>
    </w:rPr>
  </w:style>
  <w:style w:type="table" w:styleId="Tablaconcuadrcula">
    <w:name w:val="Table Grid"/>
    <w:basedOn w:val="Tablanormal"/>
    <w:uiPriority w:val="59"/>
    <w:qFormat/>
    <w:rsid w:val="00745AE2"/>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B01539"/>
    <w:rPr>
      <w:b/>
      <w:bCs/>
    </w:rPr>
  </w:style>
  <w:style w:type="paragraph" w:styleId="Prrafodelista">
    <w:name w:val="List Paragraph"/>
    <w:basedOn w:val="Normal"/>
    <w:uiPriority w:val="34"/>
    <w:qFormat/>
    <w:rsid w:val="001E6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87687">
      <w:bodyDiv w:val="1"/>
      <w:marLeft w:val="0"/>
      <w:marRight w:val="0"/>
      <w:marTop w:val="0"/>
      <w:marBottom w:val="0"/>
      <w:divBdr>
        <w:top w:val="none" w:sz="0" w:space="0" w:color="auto"/>
        <w:left w:val="none" w:sz="0" w:space="0" w:color="auto"/>
        <w:bottom w:val="none" w:sz="0" w:space="0" w:color="auto"/>
        <w:right w:val="none" w:sz="0" w:space="0" w:color="auto"/>
      </w:divBdr>
      <w:divsChild>
        <w:div w:id="1903322737">
          <w:marLeft w:val="0"/>
          <w:marRight w:val="0"/>
          <w:marTop w:val="0"/>
          <w:marBottom w:val="0"/>
          <w:divBdr>
            <w:top w:val="none" w:sz="0" w:space="0" w:color="auto"/>
            <w:left w:val="none" w:sz="0" w:space="0" w:color="auto"/>
            <w:bottom w:val="none" w:sz="0" w:space="0" w:color="auto"/>
            <w:right w:val="none" w:sz="0" w:space="0" w:color="auto"/>
          </w:divBdr>
          <w:divsChild>
            <w:div w:id="1389764881">
              <w:marLeft w:val="0"/>
              <w:marRight w:val="0"/>
              <w:marTop w:val="0"/>
              <w:marBottom w:val="101"/>
              <w:divBdr>
                <w:top w:val="none" w:sz="0" w:space="0" w:color="auto"/>
                <w:left w:val="none" w:sz="0" w:space="0" w:color="auto"/>
                <w:bottom w:val="none" w:sz="0" w:space="0" w:color="auto"/>
                <w:right w:val="none" w:sz="0" w:space="0" w:color="auto"/>
              </w:divBdr>
            </w:div>
            <w:div w:id="327178148">
              <w:marLeft w:val="0"/>
              <w:marRight w:val="0"/>
              <w:marTop w:val="0"/>
              <w:marBottom w:val="101"/>
              <w:divBdr>
                <w:top w:val="none" w:sz="0" w:space="0" w:color="auto"/>
                <w:left w:val="none" w:sz="0" w:space="0" w:color="auto"/>
                <w:bottom w:val="none" w:sz="0" w:space="0" w:color="auto"/>
                <w:right w:val="none" w:sz="0" w:space="0" w:color="auto"/>
              </w:divBdr>
            </w:div>
            <w:div w:id="1277761764">
              <w:marLeft w:val="864"/>
              <w:marRight w:val="0"/>
              <w:marTop w:val="0"/>
              <w:marBottom w:val="101"/>
              <w:divBdr>
                <w:top w:val="none" w:sz="0" w:space="0" w:color="auto"/>
                <w:left w:val="none" w:sz="0" w:space="0" w:color="auto"/>
                <w:bottom w:val="none" w:sz="0" w:space="0" w:color="auto"/>
                <w:right w:val="none" w:sz="0" w:space="0" w:color="auto"/>
              </w:divBdr>
            </w:div>
          </w:divsChild>
        </w:div>
        <w:div w:id="43988827">
          <w:marLeft w:val="0"/>
          <w:marRight w:val="0"/>
          <w:marTop w:val="0"/>
          <w:marBottom w:val="0"/>
          <w:divBdr>
            <w:top w:val="none" w:sz="0" w:space="0" w:color="auto"/>
            <w:left w:val="none" w:sz="0" w:space="0" w:color="auto"/>
            <w:bottom w:val="none" w:sz="0" w:space="0" w:color="auto"/>
            <w:right w:val="none" w:sz="0" w:space="0" w:color="auto"/>
          </w:divBdr>
          <w:divsChild>
            <w:div w:id="798450108">
              <w:marLeft w:val="864"/>
              <w:marRight w:val="0"/>
              <w:marTop w:val="0"/>
              <w:marBottom w:val="101"/>
              <w:divBdr>
                <w:top w:val="none" w:sz="0" w:space="0" w:color="auto"/>
                <w:left w:val="none" w:sz="0" w:space="0" w:color="auto"/>
                <w:bottom w:val="none" w:sz="0" w:space="0" w:color="auto"/>
                <w:right w:val="none" w:sz="0" w:space="0" w:color="auto"/>
              </w:divBdr>
            </w:div>
            <w:div w:id="2127655878">
              <w:marLeft w:val="864"/>
              <w:marRight w:val="0"/>
              <w:marTop w:val="0"/>
              <w:marBottom w:val="101"/>
              <w:divBdr>
                <w:top w:val="none" w:sz="0" w:space="0" w:color="auto"/>
                <w:left w:val="none" w:sz="0" w:space="0" w:color="auto"/>
                <w:bottom w:val="none" w:sz="0" w:space="0" w:color="auto"/>
                <w:right w:val="none" w:sz="0" w:space="0" w:color="auto"/>
              </w:divBdr>
            </w:div>
            <w:div w:id="206842473">
              <w:marLeft w:val="864"/>
              <w:marRight w:val="0"/>
              <w:marTop w:val="0"/>
              <w:marBottom w:val="101"/>
              <w:divBdr>
                <w:top w:val="none" w:sz="0" w:space="0" w:color="auto"/>
                <w:left w:val="none" w:sz="0" w:space="0" w:color="auto"/>
                <w:bottom w:val="none" w:sz="0" w:space="0" w:color="auto"/>
                <w:right w:val="none" w:sz="0" w:space="0" w:color="auto"/>
              </w:divBdr>
            </w:div>
          </w:divsChild>
        </w:div>
      </w:divsChild>
    </w:div>
    <w:div w:id="1822499253">
      <w:bodyDiv w:val="1"/>
      <w:marLeft w:val="0"/>
      <w:marRight w:val="0"/>
      <w:marTop w:val="0"/>
      <w:marBottom w:val="0"/>
      <w:divBdr>
        <w:top w:val="none" w:sz="0" w:space="0" w:color="auto"/>
        <w:left w:val="none" w:sz="0" w:space="0" w:color="auto"/>
        <w:bottom w:val="none" w:sz="0" w:space="0" w:color="auto"/>
        <w:right w:val="none" w:sz="0" w:space="0" w:color="auto"/>
      </w:divBdr>
      <w:divsChild>
        <w:div w:id="1674189570">
          <w:marLeft w:val="0"/>
          <w:marRight w:val="0"/>
          <w:marTop w:val="0"/>
          <w:marBottom w:val="0"/>
          <w:divBdr>
            <w:top w:val="none" w:sz="0" w:space="0" w:color="auto"/>
            <w:left w:val="none" w:sz="0" w:space="0" w:color="auto"/>
            <w:bottom w:val="none" w:sz="0" w:space="0" w:color="auto"/>
            <w:right w:val="none" w:sz="0" w:space="0" w:color="auto"/>
          </w:divBdr>
          <w:divsChild>
            <w:div w:id="2089231027">
              <w:marLeft w:val="0"/>
              <w:marRight w:val="0"/>
              <w:marTop w:val="0"/>
              <w:marBottom w:val="101"/>
              <w:divBdr>
                <w:top w:val="none" w:sz="0" w:space="0" w:color="auto"/>
                <w:left w:val="none" w:sz="0" w:space="0" w:color="auto"/>
                <w:bottom w:val="none" w:sz="0" w:space="0" w:color="auto"/>
                <w:right w:val="none" w:sz="0" w:space="0" w:color="auto"/>
              </w:divBdr>
            </w:div>
            <w:div w:id="1083840696">
              <w:marLeft w:val="0"/>
              <w:marRight w:val="0"/>
              <w:marTop w:val="0"/>
              <w:marBottom w:val="101"/>
              <w:divBdr>
                <w:top w:val="none" w:sz="0" w:space="0" w:color="auto"/>
                <w:left w:val="none" w:sz="0" w:space="0" w:color="auto"/>
                <w:bottom w:val="none" w:sz="0" w:space="0" w:color="auto"/>
                <w:right w:val="none" w:sz="0" w:space="0" w:color="auto"/>
              </w:divBdr>
            </w:div>
            <w:div w:id="1574847795">
              <w:marLeft w:val="864"/>
              <w:marRight w:val="0"/>
              <w:marTop w:val="0"/>
              <w:marBottom w:val="101"/>
              <w:divBdr>
                <w:top w:val="none" w:sz="0" w:space="0" w:color="auto"/>
                <w:left w:val="none" w:sz="0" w:space="0" w:color="auto"/>
                <w:bottom w:val="none" w:sz="0" w:space="0" w:color="auto"/>
                <w:right w:val="none" w:sz="0" w:space="0" w:color="auto"/>
              </w:divBdr>
            </w:div>
          </w:divsChild>
        </w:div>
        <w:div w:id="1115294163">
          <w:marLeft w:val="0"/>
          <w:marRight w:val="0"/>
          <w:marTop w:val="0"/>
          <w:marBottom w:val="0"/>
          <w:divBdr>
            <w:top w:val="none" w:sz="0" w:space="0" w:color="auto"/>
            <w:left w:val="none" w:sz="0" w:space="0" w:color="auto"/>
            <w:bottom w:val="none" w:sz="0" w:space="0" w:color="auto"/>
            <w:right w:val="none" w:sz="0" w:space="0" w:color="auto"/>
          </w:divBdr>
          <w:divsChild>
            <w:div w:id="1001158614">
              <w:marLeft w:val="864"/>
              <w:marRight w:val="0"/>
              <w:marTop w:val="0"/>
              <w:marBottom w:val="101"/>
              <w:divBdr>
                <w:top w:val="none" w:sz="0" w:space="0" w:color="auto"/>
                <w:left w:val="none" w:sz="0" w:space="0" w:color="auto"/>
                <w:bottom w:val="none" w:sz="0" w:space="0" w:color="auto"/>
                <w:right w:val="none" w:sz="0" w:space="0" w:color="auto"/>
              </w:divBdr>
            </w:div>
            <w:div w:id="187565257">
              <w:marLeft w:val="864"/>
              <w:marRight w:val="0"/>
              <w:marTop w:val="0"/>
              <w:marBottom w:val="101"/>
              <w:divBdr>
                <w:top w:val="none" w:sz="0" w:space="0" w:color="auto"/>
                <w:left w:val="none" w:sz="0" w:space="0" w:color="auto"/>
                <w:bottom w:val="none" w:sz="0" w:space="0" w:color="auto"/>
                <w:right w:val="none" w:sz="0" w:space="0" w:color="auto"/>
              </w:divBdr>
            </w:div>
            <w:div w:id="161940512">
              <w:marLeft w:val="864"/>
              <w:marRight w:val="0"/>
              <w:marTop w:val="0"/>
              <w:marBottom w:val="101"/>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4976</Words>
  <Characters>27374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3</cp:revision>
  <dcterms:created xsi:type="dcterms:W3CDTF">2023-08-05T02:05:00Z</dcterms:created>
  <dcterms:modified xsi:type="dcterms:W3CDTF">2023-08-07T17:56:00Z</dcterms:modified>
</cp:coreProperties>
</file>