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385E8" w14:textId="55E80E39" w:rsidR="0094263D" w:rsidRPr="000422FF" w:rsidRDefault="00D04B9D" w:rsidP="003148DE">
      <w:pPr>
        <w:pStyle w:val="Ttulo1"/>
        <w:spacing w:before="0" w:line="360" w:lineRule="auto"/>
        <w:ind w:left="0"/>
        <w:jc w:val="both"/>
        <w:rPr>
          <w:color w:val="000000" w:themeColor="text1"/>
        </w:rPr>
      </w:pPr>
      <w:bookmarkStart w:id="0" w:name="_heading=h.gjdgxs" w:colFirst="0" w:colLast="0"/>
      <w:bookmarkStart w:id="1" w:name="_GoBack"/>
      <w:bookmarkEnd w:id="0"/>
      <w:bookmarkEnd w:id="1"/>
      <w:r w:rsidRPr="000422FF">
        <w:rPr>
          <w:color w:val="000000" w:themeColor="text1"/>
        </w:rPr>
        <w:t xml:space="preserve">VOTO </w:t>
      </w:r>
      <w:r w:rsidR="005756CB" w:rsidRPr="000422FF">
        <w:rPr>
          <w:color w:val="000000" w:themeColor="text1"/>
        </w:rPr>
        <w:t>PARTICULAR</w:t>
      </w:r>
      <w:r w:rsidRPr="000422FF">
        <w:rPr>
          <w:color w:val="000000" w:themeColor="text1"/>
        </w:rPr>
        <w:t xml:space="preserve"> CONCURRENTE QUE FORMULAN LA</w:t>
      </w:r>
      <w:r w:rsidR="00427A2E" w:rsidRPr="000422FF">
        <w:rPr>
          <w:color w:val="000000" w:themeColor="text1"/>
        </w:rPr>
        <w:t>S</w:t>
      </w:r>
      <w:r w:rsidRPr="000422FF">
        <w:rPr>
          <w:color w:val="000000" w:themeColor="text1"/>
        </w:rPr>
        <w:t xml:space="preserve"> COMISIONADA</w:t>
      </w:r>
      <w:r w:rsidR="00427A2E" w:rsidRPr="000422FF">
        <w:rPr>
          <w:color w:val="000000" w:themeColor="text1"/>
        </w:rPr>
        <w:t>S</w:t>
      </w:r>
      <w:r w:rsidRPr="000422FF">
        <w:rPr>
          <w:color w:val="000000" w:themeColor="text1"/>
        </w:rPr>
        <w:t xml:space="preserve"> </w:t>
      </w:r>
      <w:r w:rsidR="005756CB" w:rsidRPr="000422FF">
        <w:rPr>
          <w:color w:val="000000" w:themeColor="text1"/>
        </w:rPr>
        <w:t xml:space="preserve">SHARON CRISTINA MORALES MARTÍNEZ Y </w:t>
      </w:r>
      <w:r w:rsidRPr="000422FF">
        <w:rPr>
          <w:color w:val="000000" w:themeColor="text1"/>
        </w:rPr>
        <w:t xml:space="preserve">GUADALUPE RAMÍREZ PEÑA, EN RELACIÓN CON LA RESOLUCIÓN DICTADA POR EL PLENO DEL INSTITUTO DE TRANSPARENCIA, ACCESO A LA INFORMACIÓN PÚBLICA Y PROTECCIÓN DE DATOS PERSONALES DEL ESTADO DE MÉXICO Y MUNICIPIOS, EN LA </w:t>
      </w:r>
      <w:r w:rsidR="004A03BB" w:rsidRPr="000422FF">
        <w:rPr>
          <w:color w:val="000000" w:themeColor="text1"/>
        </w:rPr>
        <w:t>VIGÉSIMA</w:t>
      </w:r>
      <w:r w:rsidRPr="000422FF">
        <w:rPr>
          <w:color w:val="000000" w:themeColor="text1"/>
        </w:rPr>
        <w:t xml:space="preserve"> </w:t>
      </w:r>
      <w:r w:rsidR="00EC029C" w:rsidRPr="000422FF">
        <w:rPr>
          <w:color w:val="000000" w:themeColor="text1"/>
        </w:rPr>
        <w:t xml:space="preserve">SÉPTIMA </w:t>
      </w:r>
      <w:r w:rsidRPr="000422FF">
        <w:rPr>
          <w:color w:val="000000" w:themeColor="text1"/>
        </w:rPr>
        <w:t xml:space="preserve">SESIÓN ORDINARIA CELEBRADA EL </w:t>
      </w:r>
      <w:r w:rsidR="00EC029C" w:rsidRPr="000422FF">
        <w:rPr>
          <w:color w:val="000000" w:themeColor="text1"/>
        </w:rPr>
        <w:t>DOS DE AGOSTO D</w:t>
      </w:r>
      <w:r w:rsidRPr="000422FF">
        <w:rPr>
          <w:color w:val="000000" w:themeColor="text1"/>
        </w:rPr>
        <w:t xml:space="preserve">E DOS MIL VEINTITRÉS, EN EL RECURSO DE REVISIÓN NÚMERO </w:t>
      </w:r>
      <w:r w:rsidR="00EC029C" w:rsidRPr="000422FF">
        <w:rPr>
          <w:color w:val="000000" w:themeColor="text1"/>
        </w:rPr>
        <w:t>14612/INFOEM/IP/RR/2022</w:t>
      </w:r>
      <w:r w:rsidRPr="000422FF">
        <w:rPr>
          <w:color w:val="000000" w:themeColor="text1"/>
        </w:rPr>
        <w:t>.</w:t>
      </w:r>
    </w:p>
    <w:p w14:paraId="6CE502E6" w14:textId="77777777" w:rsidR="0094263D" w:rsidRPr="000422FF" w:rsidRDefault="0094263D" w:rsidP="000422FF">
      <w:pPr>
        <w:pStyle w:val="Ttulo1"/>
        <w:spacing w:before="0" w:line="360" w:lineRule="auto"/>
        <w:ind w:right="338" w:firstLine="101"/>
        <w:jc w:val="center"/>
        <w:rPr>
          <w:color w:val="000000" w:themeColor="text1"/>
        </w:rPr>
      </w:pPr>
    </w:p>
    <w:p w14:paraId="309BAF9C" w14:textId="77777777" w:rsidR="00EC029C" w:rsidRPr="000422FF" w:rsidRDefault="00EC029C" w:rsidP="000422FF">
      <w:pPr>
        <w:spacing w:after="0" w:line="360" w:lineRule="auto"/>
        <w:jc w:val="both"/>
        <w:rPr>
          <w:rFonts w:ascii="Palatino Linotype" w:hAnsi="Palatino Linotype" w:cs="Arial"/>
        </w:rPr>
      </w:pPr>
      <w:r w:rsidRPr="000422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las que suscriben</w:t>
      </w:r>
      <w:r w:rsidRPr="000422FF">
        <w:rPr>
          <w:rFonts w:ascii="Palatino Linotype" w:hAnsi="Palatino Linotype" w:cs="Arial"/>
          <w:b/>
          <w:lang w:val="es-ES_tradnl"/>
        </w:rPr>
        <w:t xml:space="preserve"> </w:t>
      </w:r>
      <w:r w:rsidRPr="000422FF">
        <w:rPr>
          <w:rFonts w:ascii="Palatino Linotype" w:hAnsi="Palatino Linotype" w:cs="Arial"/>
          <w:b/>
        </w:rPr>
        <w:t xml:space="preserve">SHARON CRISTINA MORALES MARTÍNEZ </w:t>
      </w:r>
      <w:r w:rsidRPr="000422FF">
        <w:rPr>
          <w:rFonts w:ascii="Palatino Linotype" w:hAnsi="Palatino Linotype" w:cs="Arial"/>
        </w:rPr>
        <w:t xml:space="preserve">y </w:t>
      </w:r>
      <w:r w:rsidRPr="000422FF">
        <w:rPr>
          <w:rFonts w:ascii="Palatino Linotype" w:hAnsi="Palatino Linotype" w:cs="Arial"/>
          <w:b/>
        </w:rPr>
        <w:t xml:space="preserve">GUADALUPE RAMÍREZ PEÑA, </w:t>
      </w:r>
      <w:r w:rsidRPr="000422FF">
        <w:rPr>
          <w:rFonts w:ascii="Palatino Linotype" w:hAnsi="Palatino Linotype" w:cs="Arial"/>
        </w:rPr>
        <w:t xml:space="preserve">emiten </w:t>
      </w:r>
      <w:r w:rsidRPr="000422FF">
        <w:rPr>
          <w:rFonts w:ascii="Palatino Linotype" w:hAnsi="Palatino Linotype" w:cs="Arial"/>
          <w:b/>
        </w:rPr>
        <w:t xml:space="preserve">VOTO PARTICULAR CONCURRENTE </w:t>
      </w:r>
      <w:r w:rsidRPr="000422FF">
        <w:rPr>
          <w:rFonts w:ascii="Palatino Linotype" w:hAnsi="Palatino Linotype" w:cs="Arial"/>
        </w:rPr>
        <w:t xml:space="preserve">respecto de la resolución dictada en el recurso de revisión </w:t>
      </w:r>
      <w:r w:rsidRPr="000422FF">
        <w:rPr>
          <w:rFonts w:ascii="Palatino Linotype" w:hAnsi="Palatino Linotype"/>
          <w:color w:val="000000" w:themeColor="text1"/>
        </w:rPr>
        <w:t>14612/INFOEM/IP/RR/2022</w:t>
      </w:r>
      <w:r w:rsidRPr="000422FF">
        <w:rPr>
          <w:rFonts w:ascii="Palatino Linotype" w:hAnsi="Palatino Linotype" w:cs="Arial"/>
        </w:rPr>
        <w:t xml:space="preserve">, pronunciada por el Pleno de este Instituto ante el proyecto presentado por engrose por la </w:t>
      </w:r>
      <w:r w:rsidRPr="000422FF">
        <w:rPr>
          <w:rFonts w:ascii="Palatino Linotype" w:hAnsi="Palatino Linotype" w:cs="Arial"/>
          <w:b/>
        </w:rPr>
        <w:t>Comisionada</w:t>
      </w:r>
      <w:r w:rsidRPr="000422FF">
        <w:rPr>
          <w:rFonts w:ascii="Palatino Linotype" w:hAnsi="Palatino Linotype" w:cs="Arial"/>
        </w:rPr>
        <w:t xml:space="preserve"> </w:t>
      </w:r>
      <w:r w:rsidRPr="000422FF">
        <w:rPr>
          <w:rFonts w:ascii="Palatino Linotype" w:hAnsi="Palatino Linotype" w:cs="Arial"/>
          <w:b/>
        </w:rPr>
        <w:t>Sharon Cristina Morales Martínez</w:t>
      </w:r>
      <w:r w:rsidRPr="000422FF">
        <w:rPr>
          <w:rFonts w:ascii="Palatino Linotype" w:hAnsi="Palatino Linotype" w:cs="Arial"/>
        </w:rPr>
        <w:t>.</w:t>
      </w:r>
    </w:p>
    <w:p w14:paraId="4BEBF774" w14:textId="6E223016" w:rsidR="00EC029C" w:rsidRPr="000422FF" w:rsidRDefault="00EC029C" w:rsidP="000422FF">
      <w:pPr>
        <w:spacing w:after="0" w:line="360" w:lineRule="auto"/>
        <w:contextualSpacing/>
        <w:jc w:val="both"/>
        <w:rPr>
          <w:rFonts w:ascii="Palatino Linotype" w:hAnsi="Palatino Linotype" w:cs="Arial"/>
        </w:rPr>
      </w:pPr>
    </w:p>
    <w:p w14:paraId="36810046" w14:textId="31D03018" w:rsidR="00EC029C" w:rsidRPr="000422FF" w:rsidRDefault="00EC029C" w:rsidP="000422FF">
      <w:pPr>
        <w:spacing w:after="0" w:line="360" w:lineRule="auto"/>
        <w:contextualSpacing/>
        <w:jc w:val="both"/>
        <w:rPr>
          <w:rFonts w:ascii="Palatino Linotype" w:hAnsi="Palatino Linotype"/>
        </w:rPr>
      </w:pPr>
      <w:r w:rsidRPr="000422FF">
        <w:rPr>
          <w:rFonts w:ascii="Palatino Linotype" w:hAnsi="Palatino Linotype"/>
        </w:rPr>
        <w:t xml:space="preserve">Es de destacar, que el presente asunto se resolvió con el criterio mayoritario de Pleno de este Instituto, </w:t>
      </w:r>
      <w:r w:rsidR="00E708EF">
        <w:rPr>
          <w:rFonts w:ascii="Palatino Linotype" w:hAnsi="Palatino Linotype"/>
        </w:rPr>
        <w:t xml:space="preserve">no obstante, </w:t>
      </w:r>
      <w:r w:rsidRPr="000422FF">
        <w:rPr>
          <w:rFonts w:ascii="Palatino Linotype" w:hAnsi="Palatino Linotype"/>
        </w:rPr>
        <w:t>las suscritas no coinciden con parte del estudio realizado en la resolución del Recurso de Revisión</w:t>
      </w:r>
      <w:r w:rsidR="00E708EF">
        <w:rPr>
          <w:rFonts w:ascii="Palatino Linotype" w:hAnsi="Palatino Linotype"/>
        </w:rPr>
        <w:t xml:space="preserve"> en comento</w:t>
      </w:r>
      <w:r w:rsidRPr="000422FF">
        <w:rPr>
          <w:rFonts w:ascii="Palatino Linotype" w:hAnsi="Palatino Linotype"/>
        </w:rPr>
        <w:t>, en atención a lo siguiente:</w:t>
      </w:r>
    </w:p>
    <w:p w14:paraId="0DF43CD3" w14:textId="77777777" w:rsidR="00EC029C" w:rsidRPr="000422FF" w:rsidRDefault="00EC029C" w:rsidP="000422FF">
      <w:pPr>
        <w:spacing w:after="0" w:line="360" w:lineRule="auto"/>
        <w:contextualSpacing/>
        <w:jc w:val="both"/>
        <w:rPr>
          <w:rFonts w:ascii="Palatino Linotype" w:hAnsi="Palatino Linotype"/>
        </w:rPr>
      </w:pPr>
    </w:p>
    <w:p w14:paraId="6DCE1163" w14:textId="16C4CB65" w:rsidR="00EC029C" w:rsidRDefault="00EC029C" w:rsidP="000422FF">
      <w:pPr>
        <w:spacing w:after="0" w:line="360" w:lineRule="auto"/>
        <w:jc w:val="both"/>
        <w:rPr>
          <w:rFonts w:ascii="Palatino Linotype" w:hAnsi="Palatino Linotype" w:cs="Arial"/>
          <w:lang w:val="es-419"/>
        </w:rPr>
      </w:pPr>
      <w:r w:rsidRPr="000422FF">
        <w:rPr>
          <w:rFonts w:ascii="Palatino Linotype" w:hAnsi="Palatino Linotype"/>
        </w:rPr>
        <w:lastRenderedPageBreak/>
        <w:t xml:space="preserve">Tal y como quedó asentado en la Resolución materia del presente Voto Particular, el particular requirió del </w:t>
      </w:r>
      <w:r w:rsidRPr="000422FF">
        <w:rPr>
          <w:rFonts w:ascii="Palatino Linotype" w:hAnsi="Palatino Linotype"/>
          <w:b/>
        </w:rPr>
        <w:t xml:space="preserve">SUJETO OBLIGADO </w:t>
      </w:r>
      <w:r w:rsidRPr="000422FF">
        <w:rPr>
          <w:rFonts w:ascii="Palatino Linotype" w:hAnsi="Palatino Linotype"/>
        </w:rPr>
        <w:t xml:space="preserve">en la Solicitud de Acceso a la Información </w:t>
      </w:r>
      <w:r w:rsidRPr="000422FF">
        <w:rPr>
          <w:rFonts w:ascii="Palatino Linotype" w:hAnsi="Palatino Linotype" w:cs="Arial"/>
          <w:b/>
          <w:color w:val="000000" w:themeColor="text1"/>
        </w:rPr>
        <w:t>00296/MELOCAM/IP/2022</w:t>
      </w:r>
      <w:r w:rsidRPr="000422FF">
        <w:rPr>
          <w:rFonts w:ascii="Palatino Linotype" w:hAnsi="Palatino Linotype" w:cs="Arial"/>
          <w:lang w:val="es-419"/>
        </w:rPr>
        <w:t>, mediante la cual solicitó:</w:t>
      </w:r>
    </w:p>
    <w:p w14:paraId="26C1C248" w14:textId="77777777" w:rsidR="000422FF" w:rsidRPr="000422FF" w:rsidRDefault="000422FF" w:rsidP="000422FF">
      <w:pPr>
        <w:spacing w:after="0" w:line="240" w:lineRule="auto"/>
        <w:jc w:val="both"/>
        <w:rPr>
          <w:rFonts w:ascii="Palatino Linotype" w:hAnsi="Palatino Linotype"/>
          <w:i/>
          <w:color w:val="000000"/>
        </w:rPr>
      </w:pPr>
    </w:p>
    <w:p w14:paraId="5F4241A3" w14:textId="77777777" w:rsidR="00EC029C" w:rsidRPr="000422FF" w:rsidRDefault="00EC029C" w:rsidP="000422FF">
      <w:pPr>
        <w:pStyle w:val="Prrafodelista"/>
        <w:tabs>
          <w:tab w:val="left" w:pos="7088"/>
        </w:tabs>
        <w:ind w:left="851" w:right="616"/>
        <w:jc w:val="both"/>
        <w:rPr>
          <w:rFonts w:ascii="Palatino Linotype" w:hAnsi="Palatino Linotype" w:cs="Arial"/>
          <w:i/>
          <w:color w:val="000000" w:themeColor="text1"/>
          <w:sz w:val="22"/>
        </w:rPr>
      </w:pPr>
      <w:bookmarkStart w:id="2" w:name="_Hlk96896517"/>
      <w:r w:rsidRPr="000422FF">
        <w:rPr>
          <w:rFonts w:ascii="Palatino Linotype" w:hAnsi="Palatino Linotype" w:cs="Arial"/>
          <w:i/>
          <w:color w:val="000000" w:themeColor="text1"/>
          <w:sz w:val="22"/>
        </w:rPr>
        <w:t xml:space="preserve">“¿Se cuenta con un sistema propio de recaudación? Especificar generalidades del mismo 2. ¿Se cuenta con registros actualizados de predial y cuando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¿cúales? 17. ¿A cuanto asciende la deuda total del municipio? Especificar conceptos, nombres de acreedores y montos de deuda, incluyendo deuda por pago de compras, proveedores y juicios (Civiles, mercantiles, laborales y otros) 18. ¿Cuántos elementos de seguridad por cada 1000 habitantes tiene el municipio? 19. ¿Cuántos elementos son en total? 20. ¿Cuántos elementos se encuentran comisionados a labores distintas a la prevención del delito y seguridad pública? ¿Cuántos tienen función de escolta y cuantos estan comisionados al resguardo de instalaciones municipales? 21. ¿Cuentan los elementos de seguridad con el equipo básico y en qué consiste? 22. ¿El municipio está implementando el Servicio Profesional de Carrera Policial? 23. ¿Lleva a cabo el municipio acciones tendientes al cumplimiento de los exámenes de control de </w:t>
      </w:r>
      <w:r w:rsidRPr="000422FF">
        <w:rPr>
          <w:rFonts w:ascii="Palatino Linotype" w:hAnsi="Palatino Linotype" w:cs="Arial"/>
          <w:i/>
          <w:color w:val="000000" w:themeColor="text1"/>
          <w:sz w:val="22"/>
        </w:rPr>
        <w:lastRenderedPageBreak/>
        <w:t>confianza? Y ¿Cuándo se realizaron los últimos? 24. ¿Existe y se opera un Comisión de Honor y Justicia de los cuerpos de Seguridad Pública? ¿Quiénes la integran? Numero, Nombres, cargos y sueldos y fecha de última sesión 25. ¿Se cuenta con indicadores de medición y seguimiento del personal de policía municipal con participación de instancias ciudadanas? 26. ¿El municipio ha gestionado la incorporación de sus elementos de seguridad a la licencia colectiva para la portación de armamento? 27. ¿Se cuenta con la información referente a la incidencia de delitos y de faltas administrativas? Favor de anexar información desde enero 2022 a la fecha de recepción de la presente 28. ¿Se operan programas para la prevención de conductas antisociales? 29. ¿Se tiene coordinación interinstitucional con otros órdenes de gobierno en materia de seguridad pública y de qué forma?” (Sic).</w:t>
      </w:r>
    </w:p>
    <w:bookmarkEnd w:id="2"/>
    <w:p w14:paraId="334357C7" w14:textId="77777777" w:rsidR="00EC029C" w:rsidRPr="000422FF" w:rsidRDefault="00EC029C" w:rsidP="000422FF">
      <w:pPr>
        <w:spacing w:after="0" w:line="240" w:lineRule="auto"/>
        <w:ind w:left="1417" w:right="1417"/>
        <w:rPr>
          <w:rFonts w:ascii="Palatino Linotype" w:hAnsi="Palatino Linotype"/>
          <w:i/>
          <w:color w:val="000000"/>
        </w:rPr>
      </w:pPr>
    </w:p>
    <w:p w14:paraId="2AD3A776" w14:textId="03069B30" w:rsidR="00EC029C" w:rsidRDefault="00EC029C" w:rsidP="000422FF">
      <w:pPr>
        <w:spacing w:after="0" w:line="360" w:lineRule="auto"/>
        <w:jc w:val="both"/>
        <w:rPr>
          <w:rFonts w:ascii="Palatino Linotype" w:hAnsi="Palatino Linotype" w:cs="Arial"/>
          <w:color w:val="000000" w:themeColor="text1"/>
        </w:rPr>
      </w:pPr>
      <w:r w:rsidRPr="000422FF">
        <w:rPr>
          <w:rFonts w:ascii="Palatino Linotype" w:hAnsi="Palatino Linotype" w:cs="Arial"/>
          <w:b/>
        </w:rPr>
        <w:t>EL</w:t>
      </w:r>
      <w:r w:rsidRPr="000422FF">
        <w:rPr>
          <w:rFonts w:ascii="Palatino Linotype" w:hAnsi="Palatino Linotype" w:cs="Arial"/>
        </w:rPr>
        <w:t xml:space="preserve"> </w:t>
      </w:r>
      <w:r w:rsidRPr="000422FF">
        <w:rPr>
          <w:rFonts w:ascii="Palatino Linotype" w:hAnsi="Palatino Linotype" w:cs="Arial"/>
          <w:b/>
          <w:color w:val="000000" w:themeColor="text1"/>
        </w:rPr>
        <w:t>SUJETO OBLIGADO</w:t>
      </w:r>
      <w:r w:rsidRPr="000422FF">
        <w:rPr>
          <w:rFonts w:ascii="Palatino Linotype" w:hAnsi="Palatino Linotype" w:cs="Arial"/>
          <w:color w:val="000000" w:themeColor="text1"/>
        </w:rPr>
        <w:t xml:space="preserve"> emitió su respuesta a través de los archivos electrónicos que a continuación se describen:</w:t>
      </w:r>
    </w:p>
    <w:p w14:paraId="610C8307" w14:textId="77777777" w:rsidR="000422FF" w:rsidRPr="000422FF" w:rsidRDefault="000422FF" w:rsidP="000422FF">
      <w:pPr>
        <w:spacing w:after="0" w:line="360" w:lineRule="auto"/>
        <w:jc w:val="both"/>
        <w:rPr>
          <w:rFonts w:ascii="Palatino Linotype" w:hAnsi="Palatino Linotype" w:cs="Arial"/>
          <w:color w:val="000000" w:themeColor="text1"/>
        </w:rPr>
      </w:pPr>
    </w:p>
    <w:p w14:paraId="4A98C4E6" w14:textId="77777777" w:rsidR="00EC029C" w:rsidRPr="000422FF" w:rsidRDefault="00EC029C" w:rsidP="000422FF">
      <w:pPr>
        <w:pStyle w:val="Prrafodelista"/>
        <w:numPr>
          <w:ilvl w:val="0"/>
          <w:numId w:val="19"/>
        </w:numPr>
        <w:spacing w:line="360" w:lineRule="auto"/>
        <w:contextualSpacing w:val="0"/>
        <w:jc w:val="both"/>
        <w:rPr>
          <w:rFonts w:ascii="Palatino Linotype" w:hAnsi="Palatino Linotype" w:cs="Arial"/>
          <w:b/>
          <w:i/>
          <w:color w:val="000000" w:themeColor="text1"/>
        </w:rPr>
      </w:pPr>
      <w:r w:rsidRPr="000422FF">
        <w:rPr>
          <w:rFonts w:ascii="Palatino Linotype" w:hAnsi="Palatino Linotype" w:cs="Arial"/>
          <w:b/>
          <w:i/>
          <w:color w:val="000000" w:themeColor="text1"/>
        </w:rPr>
        <w:t xml:space="preserve">296.pdf, </w:t>
      </w:r>
      <w:r w:rsidRPr="000422FF">
        <w:rPr>
          <w:rFonts w:ascii="Palatino Linotype" w:hAnsi="Palatino Linotype" w:cs="Arial"/>
          <w:color w:val="000000" w:themeColor="text1"/>
        </w:rPr>
        <w:t xml:space="preserve">el cual contiene el oficio número DDE/0348/08/2022 del once de agosto de dos mil veintidós, por medio del cual el Director de Desarrollo Económico y Fomento al Empleo, refiere que no obra documentación concerniente a la solicitud. </w:t>
      </w:r>
    </w:p>
    <w:p w14:paraId="61C68A43" w14:textId="77777777" w:rsidR="00EC029C" w:rsidRPr="000422FF" w:rsidRDefault="00EC029C" w:rsidP="000422FF">
      <w:pPr>
        <w:pStyle w:val="Prrafodelista"/>
        <w:numPr>
          <w:ilvl w:val="0"/>
          <w:numId w:val="19"/>
        </w:numPr>
        <w:spacing w:line="360" w:lineRule="auto"/>
        <w:contextualSpacing w:val="0"/>
        <w:jc w:val="both"/>
        <w:rPr>
          <w:rFonts w:ascii="Palatino Linotype" w:hAnsi="Palatino Linotype" w:cs="Arial"/>
          <w:b/>
          <w:i/>
          <w:color w:val="000000" w:themeColor="text1"/>
        </w:rPr>
      </w:pPr>
      <w:r w:rsidRPr="000422FF">
        <w:rPr>
          <w:rFonts w:ascii="Palatino Linotype" w:hAnsi="Palatino Linotype" w:cs="Arial"/>
          <w:b/>
          <w:i/>
          <w:color w:val="000000" w:themeColor="text1"/>
        </w:rPr>
        <w:t xml:space="preserve">296-630.pdf, </w:t>
      </w:r>
      <w:r w:rsidRPr="000422FF">
        <w:rPr>
          <w:rFonts w:ascii="Palatino Linotype" w:hAnsi="Palatino Linotype" w:cs="Arial"/>
          <w:color w:val="000000" w:themeColor="text1"/>
        </w:rPr>
        <w:t xml:space="preserve">el cual contiene el oficio número DSCYM/0630/2022 del diecinueve de agosto de dos mil veintidós, por medio del cual el Director de Seguridad Ciudadana y Movilidad, en el que refiere que no es posible proporcionar la información solicitada en los numerales dieciocho al veintidós, en virtud de que dicha información es clasificada como reservada mediante acuerdo 006/MELOCAM/CT/PA/SP/PM/2022. Asimismo, se pronuncia respecto del numeral veintitrés, comenta que todo el personal operativo conforme a la Ley de Seguridad del Estado de México debe ser evaluado por el Centro de Control de Confianza; respecto al numeral veinticuatro, refirió que si existe y opera una Comisión de Honor y Justicia, para ello proporciona el nombre de los integrantes; respecto al numeral veinticinco, refiere que no es comprensible la solicitud; respecto al numeral veintiséis, señala que si se gestiona la incorporación del personal, por conducto de la Secretaría de Seguridad del Estado de México; respecto al numeral veintisiete, refiere que la incidencia delictiva puede ser consultada en el Secretariado Ejecutivo del Sistema Nacional de Seguridad Pública, para ello proporciona ligas electrónicas; respecto al numeral veintiocho, refiere que el área de prevención del delito realiza diversas actividades a bien de la población de manera constante; finalmente, por cuanto hace al requerimiento identificado con el numeral veintinueve, comenta que existe coordinación con los tres niveles de gobierno respecto de materia de seguridad pública, en operativos conjuntos. </w:t>
      </w:r>
    </w:p>
    <w:p w14:paraId="18B31CF6" w14:textId="77777777" w:rsidR="00EC029C" w:rsidRPr="000422FF" w:rsidRDefault="00EC029C" w:rsidP="000422FF">
      <w:pPr>
        <w:pStyle w:val="Prrafodelista"/>
        <w:numPr>
          <w:ilvl w:val="0"/>
          <w:numId w:val="19"/>
        </w:numPr>
        <w:spacing w:line="360" w:lineRule="auto"/>
        <w:contextualSpacing w:val="0"/>
        <w:jc w:val="both"/>
        <w:rPr>
          <w:rFonts w:ascii="Palatino Linotype" w:hAnsi="Palatino Linotype" w:cs="Arial"/>
          <w:b/>
          <w:i/>
          <w:color w:val="000000" w:themeColor="text1"/>
        </w:rPr>
      </w:pPr>
      <w:r w:rsidRPr="000422FF">
        <w:rPr>
          <w:rFonts w:ascii="Palatino Linotype" w:hAnsi="Palatino Linotype" w:cs="Arial"/>
          <w:b/>
          <w:i/>
          <w:color w:val="000000" w:themeColor="text1"/>
        </w:rPr>
        <w:t xml:space="preserve">296.pdf, </w:t>
      </w:r>
      <w:r w:rsidRPr="000422FF">
        <w:rPr>
          <w:rFonts w:ascii="Palatino Linotype" w:hAnsi="Palatino Linotype" w:cs="Arial"/>
          <w:color w:val="000000" w:themeColor="text1"/>
        </w:rPr>
        <w:t xml:space="preserve">el cual de su contenido se advierte el oficio número TM/488/2022 del dos de septiembre de dos mil veintidós, por medio del cual el Tesorero Municipal medularmente refiere que considera viable el cambio de modalidad, por lo que, señala los días, horarios, lugar, persona que atenderá para la consulta de información. </w:t>
      </w:r>
    </w:p>
    <w:p w14:paraId="2A6ABD12" w14:textId="77777777" w:rsidR="00EC029C" w:rsidRPr="000422FF" w:rsidRDefault="00EC029C" w:rsidP="000422FF">
      <w:pPr>
        <w:pStyle w:val="Prrafodelista"/>
        <w:numPr>
          <w:ilvl w:val="0"/>
          <w:numId w:val="19"/>
        </w:numPr>
        <w:spacing w:line="360" w:lineRule="auto"/>
        <w:contextualSpacing w:val="0"/>
        <w:jc w:val="both"/>
        <w:rPr>
          <w:rFonts w:ascii="Palatino Linotype" w:hAnsi="Palatino Linotype" w:cs="Arial"/>
          <w:b/>
          <w:i/>
          <w:color w:val="000000" w:themeColor="text1"/>
        </w:rPr>
      </w:pPr>
      <w:r w:rsidRPr="000422FF">
        <w:rPr>
          <w:rFonts w:ascii="Palatino Linotype" w:hAnsi="Palatino Linotype" w:cs="Arial"/>
          <w:b/>
          <w:i/>
          <w:color w:val="000000" w:themeColor="text1"/>
        </w:rPr>
        <w:t xml:space="preserve">Acuerdo 006_Reserva de inf..pdf, </w:t>
      </w:r>
      <w:r w:rsidRPr="000422FF">
        <w:rPr>
          <w:rFonts w:ascii="Palatino Linotype" w:hAnsi="Palatino Linotype" w:cs="Arial"/>
          <w:color w:val="000000" w:themeColor="text1"/>
        </w:rPr>
        <w:t xml:space="preserve">el cual de su contenido se advierte el Acuerdo por el que se aprueba la reserva el número y nombre de elementos de seguridad pública operativos y/o administrativos, horarios específicos en los que están distribuidos, el tipo y características del armamento con que cuenta, equipamiento de seguridad personal de los elementos y sus características, logística, datos sobre cantidad, ubicación, funcionalidad y monitoreo del equipamiento de video vigilancia, zonificación municipal en la materia, documentos derivados de trámites, procesos y resultados de evaluaciones de control y confianza y en general, información con la cual pudieran deducirse cuestiones que se determine supongan un riesgo para la seguridad pública del municipio. </w:t>
      </w:r>
    </w:p>
    <w:p w14:paraId="5BE41BC0" w14:textId="77777777" w:rsidR="00EC029C" w:rsidRPr="000422FF" w:rsidRDefault="00EC029C" w:rsidP="000422FF">
      <w:pPr>
        <w:autoSpaceDE w:val="0"/>
        <w:autoSpaceDN w:val="0"/>
        <w:adjustRightInd w:val="0"/>
        <w:spacing w:after="0" w:line="360" w:lineRule="auto"/>
        <w:jc w:val="both"/>
        <w:rPr>
          <w:rFonts w:ascii="Palatino Linotype" w:hAnsi="Palatino Linotype" w:cs="Arial"/>
          <w:lang w:val="es-419"/>
        </w:rPr>
      </w:pPr>
    </w:p>
    <w:p w14:paraId="464C1D16" w14:textId="01F9CC35" w:rsidR="00B82F01" w:rsidRDefault="00EC029C" w:rsidP="000422FF">
      <w:pPr>
        <w:autoSpaceDE w:val="0"/>
        <w:autoSpaceDN w:val="0"/>
        <w:adjustRightInd w:val="0"/>
        <w:spacing w:after="0" w:line="360" w:lineRule="auto"/>
        <w:jc w:val="both"/>
        <w:rPr>
          <w:rFonts w:ascii="Palatino Linotype" w:hAnsi="Palatino Linotype" w:cs="Arial"/>
          <w:i/>
          <w:lang w:val="es-419"/>
        </w:rPr>
      </w:pPr>
      <w:r w:rsidRPr="000422FF">
        <w:rPr>
          <w:rFonts w:ascii="Palatino Linotype" w:hAnsi="Palatino Linotype" w:cs="Arial"/>
          <w:lang w:val="es-419"/>
        </w:rPr>
        <w:t xml:space="preserve">Inconforme con la respuesta, </w:t>
      </w:r>
      <w:r w:rsidRPr="000422FF">
        <w:rPr>
          <w:rFonts w:ascii="Palatino Linotype" w:hAnsi="Palatino Linotype" w:cs="Arial"/>
          <w:b/>
          <w:lang w:val="es-419"/>
        </w:rPr>
        <w:t>EL RECURRENTE</w:t>
      </w:r>
      <w:r w:rsidRPr="000422FF">
        <w:rPr>
          <w:rFonts w:ascii="Palatino Linotype" w:hAnsi="Palatino Linotype" w:cs="Arial"/>
          <w:lang w:val="es-419"/>
        </w:rPr>
        <w:t xml:space="preserve"> interpuso el presente medio de defensa, señalando </w:t>
      </w:r>
      <w:r w:rsidR="00B82F01" w:rsidRPr="000422FF">
        <w:rPr>
          <w:rFonts w:ascii="Palatino Linotype" w:hAnsi="Palatino Linotype" w:cs="Arial"/>
          <w:lang w:val="es-419"/>
        </w:rPr>
        <w:t xml:space="preserve">como acto impugnado; así como, razones o motivos de inconformidad la </w:t>
      </w:r>
      <w:r w:rsidR="00B82F01" w:rsidRPr="000422FF">
        <w:rPr>
          <w:rFonts w:ascii="Palatino Linotype" w:hAnsi="Palatino Linotype" w:cs="Arial"/>
          <w:i/>
          <w:lang w:val="es-419"/>
        </w:rPr>
        <w:t>“Información incompleta” (sic)</w:t>
      </w:r>
    </w:p>
    <w:p w14:paraId="581DD0A6" w14:textId="77777777" w:rsidR="000422FF" w:rsidRPr="000422FF" w:rsidRDefault="000422FF" w:rsidP="000422FF">
      <w:pPr>
        <w:autoSpaceDE w:val="0"/>
        <w:autoSpaceDN w:val="0"/>
        <w:adjustRightInd w:val="0"/>
        <w:spacing w:after="0" w:line="360" w:lineRule="auto"/>
        <w:jc w:val="both"/>
        <w:rPr>
          <w:rFonts w:ascii="Palatino Linotype" w:hAnsi="Palatino Linotype" w:cs="Arial"/>
          <w:i/>
          <w:lang w:val="es-419"/>
        </w:rPr>
      </w:pPr>
    </w:p>
    <w:p w14:paraId="750EDC38" w14:textId="79F0FAB1" w:rsidR="00B82F01" w:rsidRPr="000422FF" w:rsidRDefault="00EC029C" w:rsidP="000422FF">
      <w:pPr>
        <w:spacing w:after="0" w:line="360" w:lineRule="auto"/>
        <w:jc w:val="both"/>
        <w:rPr>
          <w:rFonts w:ascii="Palatino Linotype" w:hAnsi="Palatino Linotype"/>
          <w:i/>
        </w:rPr>
      </w:pPr>
      <w:r w:rsidRPr="000422FF">
        <w:rPr>
          <w:rFonts w:ascii="Palatino Linotype" w:hAnsi="Palatino Linotype"/>
        </w:rPr>
        <w:t xml:space="preserve">Así las cosas, la Comisionada Ponente </w:t>
      </w:r>
      <w:r w:rsidRPr="000422FF">
        <w:rPr>
          <w:rFonts w:ascii="Palatino Linotype" w:hAnsi="Palatino Linotype"/>
          <w:b/>
          <w:u w:val="single"/>
        </w:rPr>
        <w:t>determinó modificar la respuesta del Sujeto Obligado</w:t>
      </w:r>
      <w:r w:rsidRPr="000422FF">
        <w:rPr>
          <w:rFonts w:ascii="Palatino Linotype" w:hAnsi="Palatino Linotype"/>
        </w:rPr>
        <w:t xml:space="preserve"> y ordenar, entre otras </w:t>
      </w:r>
      <w:r w:rsidR="00B82F01" w:rsidRPr="000422FF">
        <w:rPr>
          <w:rFonts w:ascii="Palatino Linotype" w:hAnsi="Palatino Linotype"/>
        </w:rPr>
        <w:t xml:space="preserve">los </w:t>
      </w:r>
      <w:r w:rsidR="00B82F01" w:rsidRPr="000422FF">
        <w:rPr>
          <w:rFonts w:ascii="Palatino Linotype" w:hAnsi="Palatino Linotype"/>
          <w:i/>
        </w:rPr>
        <w:t xml:space="preserve">“…t) Número de elementos con función de escolta y número de elementos comisionados al resguardo de instalaciones municipales.” (sic). </w:t>
      </w:r>
    </w:p>
    <w:p w14:paraId="587F57E0" w14:textId="77777777" w:rsidR="00B82F01" w:rsidRPr="000422FF" w:rsidRDefault="00B82F01" w:rsidP="000422FF">
      <w:pPr>
        <w:spacing w:after="0" w:line="360" w:lineRule="auto"/>
        <w:contextualSpacing/>
        <w:jc w:val="both"/>
        <w:rPr>
          <w:rFonts w:ascii="Palatino Linotype" w:hAnsi="Palatino Linotype" w:cs="Arial"/>
        </w:rPr>
      </w:pPr>
    </w:p>
    <w:p w14:paraId="3E86E643" w14:textId="0100E54E" w:rsidR="00EC029C" w:rsidRPr="000422FF" w:rsidRDefault="00EC029C" w:rsidP="000422FF">
      <w:pPr>
        <w:spacing w:after="0" w:line="360" w:lineRule="auto"/>
        <w:contextualSpacing/>
        <w:jc w:val="both"/>
        <w:rPr>
          <w:rFonts w:ascii="Palatino Linotype" w:eastAsia="Palatino Linotype" w:hAnsi="Palatino Linotype" w:cs="Palatino Linotype"/>
          <w:b/>
        </w:rPr>
      </w:pPr>
      <w:r w:rsidRPr="000422FF">
        <w:rPr>
          <w:rFonts w:ascii="Palatino Linotype" w:hAnsi="Palatino Linotype" w:cs="Arial"/>
        </w:rPr>
        <w:t xml:space="preserve">Cabe precisar que las suscritas emiten voto particular concurrente, ya que </w:t>
      </w:r>
      <w:r w:rsidRPr="000422FF">
        <w:rPr>
          <w:rFonts w:ascii="Palatino Linotype" w:hAnsi="Palatino Linotype" w:cs="Tahoma"/>
        </w:rPr>
        <w:t xml:space="preserve">coinciden con los términos generales planteados en la Resolución, sin embargo, consideramos que </w:t>
      </w:r>
      <w:r w:rsidRPr="000422FF">
        <w:rPr>
          <w:rFonts w:ascii="Palatino Linotype" w:hAnsi="Palatino Linotype" w:cs="Arial"/>
        </w:rPr>
        <w:t xml:space="preserve">de la información ordenada entregar al particular, se debió clasificar como reservada lo correspondiente al </w:t>
      </w:r>
      <w:r w:rsidRPr="000422FF">
        <w:rPr>
          <w:rFonts w:ascii="Palatino Linotype" w:eastAsia="Palatino Linotype" w:hAnsi="Palatino Linotype" w:cs="Palatino Linotype"/>
          <w:b/>
        </w:rPr>
        <w:t xml:space="preserve">número de elementos de seguridad </w:t>
      </w:r>
      <w:r w:rsidR="00B82F01" w:rsidRPr="000422FF">
        <w:rPr>
          <w:rFonts w:ascii="Palatino Linotype" w:eastAsia="Palatino Linotype" w:hAnsi="Palatino Linotype" w:cs="Palatino Linotype"/>
          <w:b/>
        </w:rPr>
        <w:t xml:space="preserve">que </w:t>
      </w:r>
      <w:r w:rsidRPr="000422FF">
        <w:rPr>
          <w:rFonts w:ascii="Palatino Linotype" w:eastAsia="Palatino Linotype" w:hAnsi="Palatino Linotype" w:cs="Palatino Linotype"/>
          <w:b/>
        </w:rPr>
        <w:t>tienen funciones de escoltas</w:t>
      </w:r>
      <w:r w:rsidR="00B82F01" w:rsidRPr="000422FF">
        <w:rPr>
          <w:rFonts w:ascii="Palatino Linotype" w:eastAsia="Palatino Linotype" w:hAnsi="Palatino Linotype" w:cs="Palatino Linotype"/>
          <w:b/>
        </w:rPr>
        <w:t xml:space="preserve"> y </w:t>
      </w:r>
      <w:r w:rsidRPr="000422FF">
        <w:rPr>
          <w:rFonts w:ascii="Palatino Linotype" w:eastAsia="Palatino Linotype" w:hAnsi="Palatino Linotype" w:cs="Palatino Linotype"/>
          <w:b/>
        </w:rPr>
        <w:t xml:space="preserve">número de elementos de seguridad comisionados al resguardo de las instalaciones municipales. </w:t>
      </w:r>
    </w:p>
    <w:p w14:paraId="583C66B7" w14:textId="77777777" w:rsidR="00EC029C" w:rsidRPr="000422FF" w:rsidRDefault="00EC029C" w:rsidP="000422FF">
      <w:pPr>
        <w:spacing w:after="0" w:line="360" w:lineRule="auto"/>
        <w:contextualSpacing/>
        <w:jc w:val="both"/>
        <w:rPr>
          <w:rFonts w:ascii="Palatino Linotype" w:eastAsia="Palatino Linotype" w:hAnsi="Palatino Linotype" w:cs="Palatino Linotype"/>
          <w:b/>
        </w:rPr>
      </w:pPr>
    </w:p>
    <w:p w14:paraId="203D542C" w14:textId="1A6981DC" w:rsidR="00EC029C" w:rsidRPr="000422FF" w:rsidRDefault="00EC029C" w:rsidP="000422FF">
      <w:pPr>
        <w:spacing w:after="0" w:line="360" w:lineRule="auto"/>
        <w:contextualSpacing/>
        <w:jc w:val="both"/>
        <w:rPr>
          <w:rFonts w:ascii="Palatino Linotype" w:hAnsi="Palatino Linotype" w:cs="Arial"/>
        </w:rPr>
      </w:pPr>
      <w:r w:rsidRPr="000422FF">
        <w:rPr>
          <w:rFonts w:ascii="Palatino Linotype" w:eastAsia="Palatino Linotype" w:hAnsi="Palatino Linotype" w:cs="Palatino Linotype"/>
        </w:rPr>
        <w:t>Toda vez, que si bien es cierto la información requerida por el particular son datos estadísticos</w:t>
      </w:r>
      <w:r w:rsidRPr="000422FF">
        <w:rPr>
          <w:rFonts w:ascii="Palatino Linotype" w:hAnsi="Palatino Linotype" w:cs="Arial"/>
        </w:rPr>
        <w:t xml:space="preserve">, es posible que con la información que se ordena entregar se puede dar a conocer el estado de fuerza con el que cuenta el Municipio y, con ello, afectar la capacidad y reacción del personal de seguridad pública que realiza funciones de escolta pondría ponerlos en desventaja ante los grupos criminales. </w:t>
      </w:r>
    </w:p>
    <w:p w14:paraId="6BD2DFB8" w14:textId="77777777" w:rsidR="00EC029C" w:rsidRPr="000422FF" w:rsidRDefault="00EC029C" w:rsidP="000422FF">
      <w:pPr>
        <w:spacing w:after="0" w:line="360" w:lineRule="auto"/>
        <w:contextualSpacing/>
        <w:jc w:val="both"/>
        <w:rPr>
          <w:rFonts w:ascii="Palatino Linotype" w:hAnsi="Palatino Linotype" w:cs="Arial"/>
        </w:rPr>
      </w:pPr>
    </w:p>
    <w:p w14:paraId="13DD777A" w14:textId="77777777" w:rsidR="00EC029C" w:rsidRPr="000422FF" w:rsidRDefault="00EC029C" w:rsidP="000422FF">
      <w:pPr>
        <w:spacing w:after="0" w:line="360" w:lineRule="auto"/>
        <w:contextualSpacing/>
        <w:jc w:val="both"/>
        <w:rPr>
          <w:rFonts w:ascii="Palatino Linotype" w:hAnsi="Palatino Linotype" w:cs="Arial"/>
        </w:rPr>
      </w:pPr>
      <w:r w:rsidRPr="000422FF">
        <w:rPr>
          <w:rFonts w:ascii="Palatino Linotype" w:hAnsi="Palatino Linotype" w:cs="Arial"/>
        </w:rPr>
        <w:t xml:space="preserve">Cabe destacar que el derecho a la información pública prevé excepciones de reserva cuando lo requerido por la ciudadanía corresponde a temas de seguridad pública, ello se establece </w:t>
      </w:r>
      <w:r w:rsidRPr="000422FF">
        <w:rPr>
          <w:rFonts w:ascii="Palatino Linotype" w:hAnsi="Palatino Linotype" w:cs="Tahoma"/>
        </w:rPr>
        <w:t xml:space="preserve">en el artículo 140, fracciones I y IV, de la </w:t>
      </w:r>
      <w:r w:rsidRPr="000422FF">
        <w:rPr>
          <w:rFonts w:ascii="Palatino Linotype" w:eastAsia="MS Mincho" w:hAnsi="Palatino Linotype" w:cs="Tahoma"/>
        </w:rPr>
        <w:t>Ley de Transparencia y Acceso a la Información Pública del Estado de México y Municipios, que a la letra dicen:</w:t>
      </w:r>
    </w:p>
    <w:p w14:paraId="323D50DF" w14:textId="77777777" w:rsidR="00EC029C" w:rsidRPr="000422FF" w:rsidRDefault="00EC029C" w:rsidP="000422FF">
      <w:pPr>
        <w:spacing w:after="0" w:line="240" w:lineRule="auto"/>
        <w:jc w:val="both"/>
        <w:rPr>
          <w:rFonts w:ascii="Palatino Linotype" w:eastAsia="MS Mincho" w:hAnsi="Palatino Linotype" w:cs="Tahoma"/>
        </w:rPr>
      </w:pPr>
    </w:p>
    <w:p w14:paraId="755454C6" w14:textId="77777777" w:rsidR="00EC029C" w:rsidRPr="000422FF" w:rsidRDefault="00EC029C" w:rsidP="000422FF">
      <w:pPr>
        <w:spacing w:after="0" w:line="240" w:lineRule="auto"/>
        <w:ind w:left="851" w:right="616"/>
        <w:jc w:val="both"/>
        <w:rPr>
          <w:rFonts w:ascii="Palatino Linotype" w:eastAsia="MS Mincho" w:hAnsi="Palatino Linotype" w:cs="Arial"/>
          <w:i/>
        </w:rPr>
      </w:pPr>
      <w:r w:rsidRPr="000422FF">
        <w:rPr>
          <w:rFonts w:ascii="Palatino Linotype" w:eastAsia="MS Mincho" w:hAnsi="Palatino Linotype" w:cs="Arial"/>
          <w:i/>
        </w:rPr>
        <w:t>“</w:t>
      </w:r>
      <w:r w:rsidRPr="000422FF">
        <w:rPr>
          <w:rFonts w:ascii="Palatino Linotype" w:eastAsia="MS Mincho" w:hAnsi="Palatino Linotype" w:cs="Arial"/>
          <w:b/>
          <w:i/>
        </w:rPr>
        <w:t xml:space="preserve">Artículo 140. </w:t>
      </w:r>
      <w:r w:rsidRPr="000422FF">
        <w:rPr>
          <w:rFonts w:ascii="Palatino Linotype" w:eastAsia="MS Mincho" w:hAnsi="Palatino Linotype" w:cs="Arial"/>
          <w:i/>
        </w:rPr>
        <w:t>El acceso a la información pública será restringido excepcionalmente, cuando por razones de interés público, ésta sea clasificada como reservada, conforme a los criterios siguientes:</w:t>
      </w:r>
    </w:p>
    <w:p w14:paraId="3F4520FF" w14:textId="77777777" w:rsidR="00EC029C" w:rsidRPr="000422FF" w:rsidRDefault="00EC029C" w:rsidP="000422FF">
      <w:pPr>
        <w:spacing w:after="0" w:line="240" w:lineRule="auto"/>
        <w:ind w:left="851" w:right="616"/>
        <w:jc w:val="both"/>
        <w:rPr>
          <w:rFonts w:ascii="Palatino Linotype" w:eastAsia="MS Mincho" w:hAnsi="Palatino Linotype" w:cs="Arial"/>
          <w:i/>
        </w:rPr>
      </w:pPr>
      <w:r w:rsidRPr="000422FF">
        <w:rPr>
          <w:rFonts w:ascii="Palatino Linotype" w:eastAsia="MS Mincho" w:hAnsi="Palatino Linotype" w:cs="Arial"/>
          <w:i/>
        </w:rPr>
        <w:t>…</w:t>
      </w:r>
    </w:p>
    <w:p w14:paraId="5A0FB439" w14:textId="77777777" w:rsidR="00EC029C" w:rsidRDefault="00EC029C" w:rsidP="000422FF">
      <w:pPr>
        <w:spacing w:after="0" w:line="240" w:lineRule="auto"/>
        <w:ind w:left="851" w:right="616"/>
        <w:jc w:val="both"/>
        <w:rPr>
          <w:rFonts w:ascii="Palatino Linotype" w:eastAsia="MS Mincho" w:hAnsi="Palatino Linotype" w:cs="Arial"/>
          <w:i/>
        </w:rPr>
      </w:pPr>
      <w:r w:rsidRPr="000422FF">
        <w:rPr>
          <w:rFonts w:ascii="Palatino Linotype" w:eastAsia="MS Mincho" w:hAnsi="Palatino Linotype" w:cs="Arial"/>
          <w:b/>
          <w:i/>
        </w:rPr>
        <w:t>I.</w:t>
      </w:r>
      <w:r w:rsidRPr="000422FF">
        <w:rPr>
          <w:rFonts w:ascii="Palatino Linotype" w:eastAsia="MS Mincho" w:hAnsi="Palatino Linotype" w:cs="Arial"/>
          <w:i/>
        </w:rPr>
        <w:t xml:space="preserve"> Comprometa la seguridad pública y cuente con un propósito genuino y un efecto demostrable;</w:t>
      </w:r>
    </w:p>
    <w:p w14:paraId="38D4B626" w14:textId="16B9B1C3" w:rsidR="000422FF" w:rsidRPr="000422FF" w:rsidRDefault="000422FF" w:rsidP="000422FF">
      <w:pPr>
        <w:spacing w:after="0" w:line="240" w:lineRule="auto"/>
        <w:ind w:left="851" w:right="616"/>
        <w:jc w:val="both"/>
        <w:rPr>
          <w:rFonts w:ascii="Palatino Linotype" w:eastAsia="MS Mincho" w:hAnsi="Palatino Linotype" w:cs="Arial"/>
          <w:i/>
        </w:rPr>
      </w:pPr>
      <w:r>
        <w:rPr>
          <w:rFonts w:ascii="Palatino Linotype" w:eastAsia="MS Mincho" w:hAnsi="Palatino Linotype" w:cs="Arial"/>
          <w:i/>
        </w:rPr>
        <w:t>…</w:t>
      </w:r>
    </w:p>
    <w:p w14:paraId="2781C387" w14:textId="77777777" w:rsidR="00EC029C" w:rsidRPr="000422FF" w:rsidRDefault="00EC029C" w:rsidP="000422FF">
      <w:pPr>
        <w:spacing w:after="0" w:line="240" w:lineRule="auto"/>
        <w:ind w:left="851" w:right="616"/>
        <w:jc w:val="both"/>
        <w:rPr>
          <w:rFonts w:ascii="Palatino Linotype" w:eastAsia="MS Mincho" w:hAnsi="Palatino Linotype" w:cs="Arial"/>
          <w:i/>
        </w:rPr>
      </w:pPr>
      <w:r w:rsidRPr="000422FF">
        <w:rPr>
          <w:rFonts w:ascii="Palatino Linotype" w:eastAsia="MS Mincho" w:hAnsi="Palatino Linotype" w:cs="Arial"/>
          <w:b/>
          <w:i/>
        </w:rPr>
        <w:t>IV.</w:t>
      </w:r>
      <w:r w:rsidRPr="000422FF">
        <w:rPr>
          <w:rFonts w:ascii="Palatino Linotype" w:eastAsia="MS Mincho" w:hAnsi="Palatino Linotype" w:cs="Arial"/>
          <w:i/>
        </w:rPr>
        <w:t xml:space="preserve"> Ponga en riesgo la vida, la seguridad o la salud de una persona física;</w:t>
      </w:r>
    </w:p>
    <w:p w14:paraId="3836DD32" w14:textId="77777777" w:rsidR="00EC029C" w:rsidRPr="000422FF" w:rsidRDefault="00EC029C" w:rsidP="000422FF">
      <w:pPr>
        <w:spacing w:after="0" w:line="240" w:lineRule="auto"/>
        <w:ind w:left="851" w:right="616"/>
        <w:jc w:val="both"/>
        <w:rPr>
          <w:rFonts w:ascii="Palatino Linotype" w:eastAsia="MS Mincho" w:hAnsi="Palatino Linotype" w:cs="Arial"/>
          <w:i/>
        </w:rPr>
      </w:pPr>
      <w:r w:rsidRPr="000422FF">
        <w:rPr>
          <w:rFonts w:ascii="Palatino Linotype" w:eastAsia="MS Mincho" w:hAnsi="Palatino Linotype" w:cs="Arial"/>
          <w:i/>
        </w:rPr>
        <w:t>…”</w:t>
      </w:r>
    </w:p>
    <w:p w14:paraId="2BD0A81F" w14:textId="77777777" w:rsidR="00EC029C" w:rsidRPr="000422FF" w:rsidRDefault="00EC029C" w:rsidP="000422FF">
      <w:pPr>
        <w:spacing w:after="0" w:line="240" w:lineRule="auto"/>
        <w:jc w:val="both"/>
        <w:rPr>
          <w:rFonts w:ascii="Palatino Linotype" w:hAnsi="Palatino Linotype" w:cs="Tahoma"/>
        </w:rPr>
      </w:pPr>
    </w:p>
    <w:p w14:paraId="7ECE88BF" w14:textId="77777777" w:rsidR="00EC029C" w:rsidRPr="000422FF" w:rsidRDefault="00EC029C" w:rsidP="000422FF">
      <w:pPr>
        <w:spacing w:after="0" w:line="360" w:lineRule="auto"/>
        <w:jc w:val="both"/>
        <w:rPr>
          <w:rFonts w:ascii="Palatino Linotype" w:hAnsi="Palatino Linotype" w:cs="Tahoma"/>
        </w:rPr>
      </w:pPr>
      <w:r w:rsidRPr="000422FF">
        <w:rPr>
          <w:rFonts w:ascii="Palatino Linotype" w:hAnsi="Palatino Linotype" w:cs="Tahoma"/>
        </w:rPr>
        <w:t xml:space="preserve">Del artículo antes citado, se advierte que los </w:t>
      </w:r>
      <w:r w:rsidRPr="000422FF">
        <w:rPr>
          <w:rFonts w:ascii="Palatino Linotype" w:hAnsi="Palatino Linotype" w:cs="Tahoma"/>
          <w:b/>
        </w:rPr>
        <w:t>SUJETOS OBLIGADOS</w:t>
      </w:r>
      <w:r w:rsidRPr="000422FF">
        <w:rPr>
          <w:rFonts w:ascii="Palatino Linotype" w:hAnsi="Palatino Linotype" w:cs="Tahoma"/>
        </w:rPr>
        <w:t xml:space="preserve"> podrán clasificar la información como reservada cuando se comprometa la seguridad pública, o bien, se ponga </w:t>
      </w:r>
      <w:r w:rsidRPr="000422FF">
        <w:rPr>
          <w:rFonts w:ascii="Palatino Linotype" w:hAnsi="Palatino Linotype" w:cs="Tahoma"/>
          <w:bCs/>
        </w:rPr>
        <w:t xml:space="preserve">en riesgo la vida, seguridad o salud de una persona física. </w:t>
      </w:r>
    </w:p>
    <w:p w14:paraId="5460FF45" w14:textId="77777777" w:rsidR="00EC029C" w:rsidRPr="000422FF" w:rsidRDefault="00EC029C" w:rsidP="000422FF">
      <w:pPr>
        <w:spacing w:after="0" w:line="360" w:lineRule="auto"/>
        <w:jc w:val="both"/>
        <w:rPr>
          <w:rFonts w:ascii="Palatino Linotype" w:hAnsi="Palatino Linotype" w:cs="Tahoma"/>
        </w:rPr>
      </w:pPr>
    </w:p>
    <w:p w14:paraId="282DEBE2" w14:textId="77777777" w:rsidR="00EC029C" w:rsidRPr="000422FF" w:rsidRDefault="00EC029C" w:rsidP="000422FF">
      <w:pPr>
        <w:spacing w:after="0" w:line="360" w:lineRule="auto"/>
        <w:jc w:val="both"/>
        <w:rPr>
          <w:rFonts w:ascii="Palatino Linotype" w:eastAsia="MS Mincho" w:hAnsi="Palatino Linotype" w:cs="Arial"/>
        </w:rPr>
      </w:pPr>
      <w:r w:rsidRPr="000422FF">
        <w:rPr>
          <w:rFonts w:ascii="Palatino Linotype" w:hAnsi="Palatino Linotype" w:cs="Tahoma"/>
        </w:rPr>
        <w:t xml:space="preserve">De igual modo, </w:t>
      </w:r>
      <w:r w:rsidRPr="000422FF">
        <w:rPr>
          <w:rFonts w:ascii="Palatino Linotype" w:eastAsia="MS Mincho" w:hAnsi="Palatino Linotype" w:cs="Arial"/>
          <w:lang w:val="es-ES_tradnl"/>
        </w:rPr>
        <w:t xml:space="preserve">el artículo 81, fracciones de la I a la III, de la Ley de Seguridad del Estado de México disponen lo siguiente:  </w:t>
      </w:r>
    </w:p>
    <w:p w14:paraId="04BF1393" w14:textId="77777777" w:rsidR="00EC029C" w:rsidRPr="000422FF" w:rsidRDefault="00EC029C" w:rsidP="000422FF">
      <w:pPr>
        <w:spacing w:after="0" w:line="240" w:lineRule="auto"/>
        <w:ind w:left="851" w:right="851"/>
        <w:jc w:val="both"/>
        <w:rPr>
          <w:rFonts w:ascii="Palatino Linotype" w:eastAsia="MS Mincho" w:hAnsi="Palatino Linotype" w:cs="Arial"/>
          <w:i/>
          <w:lang w:val="es-ES_tradnl"/>
        </w:rPr>
      </w:pPr>
    </w:p>
    <w:p w14:paraId="315E930B" w14:textId="77777777" w:rsidR="00EC029C" w:rsidRPr="000422FF" w:rsidRDefault="00EC029C" w:rsidP="000422FF">
      <w:pPr>
        <w:spacing w:after="0" w:line="240" w:lineRule="auto"/>
        <w:ind w:left="851" w:right="616"/>
        <w:jc w:val="both"/>
        <w:rPr>
          <w:rFonts w:ascii="Palatino Linotype" w:eastAsia="MS Mincho" w:hAnsi="Palatino Linotype" w:cs="Arial"/>
          <w:i/>
          <w:lang w:val="es-ES_tradnl"/>
        </w:rPr>
      </w:pPr>
      <w:r w:rsidRPr="000422FF">
        <w:rPr>
          <w:rFonts w:ascii="Palatino Linotype" w:eastAsia="MS Mincho" w:hAnsi="Palatino Linotype" w:cs="Arial"/>
          <w:i/>
          <w:lang w:val="es-ES_tradnl"/>
        </w:rPr>
        <w:t>“</w:t>
      </w:r>
      <w:r w:rsidRPr="000422FF">
        <w:rPr>
          <w:rFonts w:ascii="Palatino Linotype" w:eastAsia="MS Mincho" w:hAnsi="Palatino Linotype" w:cs="Arial"/>
          <w:b/>
          <w:i/>
          <w:lang w:val="es-ES_tradnl"/>
        </w:rPr>
        <w:t>Artículo 81.-</w:t>
      </w:r>
      <w:r w:rsidRPr="000422FF">
        <w:rPr>
          <w:rFonts w:ascii="Palatino Linotype" w:eastAsia="MS Mincho" w:hAnsi="Palatino Linotype" w:cs="Arial"/>
          <w:i/>
          <w:lang w:val="es-ES_tradnl"/>
        </w:rPr>
        <w:t xml:space="preserve"> </w:t>
      </w:r>
      <w:r w:rsidRPr="000422FF">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0422FF">
        <w:rPr>
          <w:rFonts w:ascii="Palatino Linotype" w:eastAsia="MS Mincho" w:hAnsi="Palatino Linotype" w:cs="Arial"/>
          <w:b/>
          <w:i/>
          <w:u w:val="single"/>
          <w:lang w:val="es-ES_tradnl"/>
        </w:rPr>
        <w:t>No obstante, lo anterior, esta información se considerará reservada</w:t>
      </w:r>
      <w:r w:rsidRPr="000422FF">
        <w:rPr>
          <w:rFonts w:ascii="Palatino Linotype" w:eastAsia="MS Mincho" w:hAnsi="Palatino Linotype" w:cs="Arial"/>
          <w:i/>
          <w:lang w:val="es-ES_tradnl"/>
        </w:rPr>
        <w:t xml:space="preserve"> en los casos siguientes:</w:t>
      </w:r>
    </w:p>
    <w:p w14:paraId="143BE005" w14:textId="77777777" w:rsidR="00EC029C" w:rsidRPr="000422FF" w:rsidRDefault="00EC029C" w:rsidP="000422FF">
      <w:pPr>
        <w:spacing w:after="0" w:line="240" w:lineRule="auto"/>
        <w:ind w:left="851" w:right="616"/>
        <w:jc w:val="both"/>
        <w:rPr>
          <w:rFonts w:ascii="Palatino Linotype" w:eastAsia="MS Mincho" w:hAnsi="Palatino Linotype" w:cs="Arial"/>
          <w:i/>
          <w:lang w:val="es-ES_tradnl"/>
        </w:rPr>
      </w:pPr>
      <w:r w:rsidRPr="000422FF">
        <w:rPr>
          <w:rFonts w:ascii="Palatino Linotype" w:eastAsia="MS Mincho" w:hAnsi="Palatino Linotype" w:cs="Arial"/>
          <w:i/>
          <w:lang w:val="es-ES_tradnl"/>
        </w:rPr>
        <w:t>…</w:t>
      </w:r>
    </w:p>
    <w:p w14:paraId="580DDD2E" w14:textId="77777777" w:rsidR="00EC029C" w:rsidRPr="000422FF" w:rsidRDefault="00EC029C" w:rsidP="000422FF">
      <w:pPr>
        <w:spacing w:after="0" w:line="240" w:lineRule="auto"/>
        <w:ind w:left="851" w:right="616"/>
        <w:jc w:val="both"/>
        <w:rPr>
          <w:rFonts w:ascii="Palatino Linotype" w:eastAsia="MS Mincho" w:hAnsi="Palatino Linotype" w:cs="Arial"/>
          <w:b/>
          <w:i/>
          <w:lang w:val="es-ES_tradnl"/>
        </w:rPr>
      </w:pPr>
      <w:r w:rsidRPr="000422FF">
        <w:rPr>
          <w:rFonts w:ascii="Palatino Linotype" w:eastAsia="MS Mincho" w:hAnsi="Palatino Linotype" w:cs="Arial"/>
          <w:b/>
          <w:i/>
          <w:lang w:val="es-ES_tradnl"/>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6EB24D9" w14:textId="77777777" w:rsidR="00EC029C" w:rsidRPr="000422FF" w:rsidRDefault="00EC029C" w:rsidP="000422FF">
      <w:pPr>
        <w:spacing w:after="0" w:line="240" w:lineRule="auto"/>
        <w:ind w:left="851" w:right="616"/>
        <w:jc w:val="both"/>
        <w:rPr>
          <w:rFonts w:ascii="Palatino Linotype" w:eastAsia="MS Mincho" w:hAnsi="Palatino Linotype" w:cs="Arial"/>
          <w:i/>
          <w:lang w:val="es-ES_tradnl"/>
        </w:rPr>
      </w:pPr>
      <w:r w:rsidRPr="000422FF">
        <w:rPr>
          <w:rFonts w:ascii="Palatino Linotype" w:eastAsia="MS Mincho" w:hAnsi="Palatino Linotype" w:cs="Arial"/>
          <w:b/>
          <w:i/>
          <w:lang w:val="es-ES_tradnl"/>
        </w:rPr>
        <w:t>II. Aquella cuya revelación pueda ser utilizada para actualizar o potenciar una amenaza a la seguridad pública o a las instituciones del Estado de México;</w:t>
      </w:r>
      <w:r w:rsidRPr="000422FF">
        <w:rPr>
          <w:rFonts w:ascii="Palatino Linotype" w:eastAsia="MS Mincho" w:hAnsi="Palatino Linotype" w:cs="Arial"/>
          <w:b/>
          <w:i/>
          <w:lang w:val="es-ES_tradnl"/>
        </w:rPr>
        <w:cr/>
        <w:t>III.</w:t>
      </w:r>
      <w:r w:rsidRPr="000422FF">
        <w:rPr>
          <w:rFonts w:ascii="Palatino Linotype" w:eastAsia="MS Mincho" w:hAnsi="Palatino Linotype" w:cs="Arial"/>
          <w:i/>
          <w:lang w:val="es-ES_tradnl"/>
        </w:rPr>
        <w:t xml:space="preserve"> </w:t>
      </w:r>
      <w:r w:rsidRPr="000422FF">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0422FF">
        <w:rPr>
          <w:rFonts w:ascii="Palatino Linotype" w:eastAsia="MS Mincho" w:hAnsi="Palatino Linotype" w:cs="Arial"/>
          <w:i/>
          <w:lang w:val="es-ES_tradnl"/>
        </w:rPr>
        <w:t>”</w:t>
      </w:r>
    </w:p>
    <w:p w14:paraId="25F16B54" w14:textId="77777777" w:rsidR="00EC029C" w:rsidRPr="000422FF" w:rsidRDefault="00EC029C" w:rsidP="000422FF">
      <w:pPr>
        <w:spacing w:after="0" w:line="240" w:lineRule="auto"/>
        <w:jc w:val="both"/>
        <w:rPr>
          <w:rFonts w:ascii="Palatino Linotype" w:hAnsi="Palatino Linotype" w:cs="Arial"/>
        </w:rPr>
      </w:pPr>
    </w:p>
    <w:p w14:paraId="39AF4ED5" w14:textId="77777777" w:rsidR="00EC029C" w:rsidRPr="000422FF" w:rsidRDefault="00EC029C" w:rsidP="000422FF">
      <w:pPr>
        <w:spacing w:after="0" w:line="360" w:lineRule="auto"/>
        <w:jc w:val="both"/>
        <w:rPr>
          <w:rFonts w:ascii="Palatino Linotype" w:hAnsi="Palatino Linotype"/>
        </w:rPr>
      </w:pPr>
      <w:r w:rsidRPr="000422FF">
        <w:rPr>
          <w:rFonts w:ascii="Palatino Linotype" w:hAnsi="Palatino Linotype" w:cs="Arial"/>
        </w:rPr>
        <w:t>Del artículo antes citado, se advierte que la información referente al personal con funciones de escolta debe ser protegida</w:t>
      </w:r>
      <w:r w:rsidRPr="000422FF">
        <w:rPr>
          <w:rFonts w:ascii="Palatino Linotype" w:hAnsi="Palatino Linotype"/>
        </w:rPr>
        <w:t xml:space="preserve"> con la finalidad de evitar hacerlos identificables, así como proteger su vida, salud e integridad física;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57008A3" w14:textId="77777777" w:rsidR="00EC029C" w:rsidRPr="000422FF" w:rsidRDefault="00EC029C" w:rsidP="000422FF">
      <w:pPr>
        <w:spacing w:after="0" w:line="360" w:lineRule="auto"/>
        <w:jc w:val="both"/>
        <w:rPr>
          <w:rFonts w:ascii="Palatino Linotype" w:hAnsi="Palatino Linotype"/>
        </w:rPr>
      </w:pPr>
    </w:p>
    <w:p w14:paraId="06082518" w14:textId="77777777" w:rsidR="00EC029C" w:rsidRPr="000422FF" w:rsidRDefault="00EC029C" w:rsidP="000422FF">
      <w:pPr>
        <w:spacing w:after="0" w:line="360" w:lineRule="auto"/>
        <w:jc w:val="both"/>
        <w:rPr>
          <w:rFonts w:ascii="Palatino Linotype" w:eastAsia="MS Mincho" w:hAnsi="Palatino Linotype" w:cs="Arial"/>
          <w:lang w:val="es-ES_tradnl"/>
        </w:rPr>
      </w:pPr>
      <w:r w:rsidRPr="000422FF">
        <w:rPr>
          <w:rFonts w:ascii="Palatino Linotype" w:hAnsi="Palatino Linotype"/>
        </w:rPr>
        <w:t xml:space="preserve">Es importante precisar que, los grupos delincuenciales puede </w:t>
      </w:r>
      <w:r w:rsidRPr="000422FF">
        <w:rPr>
          <w:rFonts w:ascii="Palatino Linotype" w:eastAsia="MS Mincho" w:hAnsi="Palatino Linotype" w:cs="Arial"/>
        </w:rPr>
        <w:t xml:space="preserve">llegar a poner en riesgo la seguridad de los habitantes del Estado de México, es precisamente anulando, impidiendo u obstaculizando la actuación de los servidores públicos que realizan funciones de escolta, por lo que, con la información que se ordena entregar referente a dicho personal es posible hacerlos identificables, circunstancia que </w:t>
      </w:r>
      <w:r w:rsidRPr="000422FF">
        <w:rPr>
          <w:rFonts w:ascii="Palatino Linotype" w:eastAsia="MS Mincho" w:hAnsi="Palatino Linotype" w:cs="Arial"/>
          <w:lang w:val="es-ES_tradnl"/>
        </w:rPr>
        <w:t>puede poner en riesgo la vida e integridad física de los integrantes de los cuerpos de seguridad, sus familias y allegados.</w:t>
      </w:r>
    </w:p>
    <w:p w14:paraId="0183AEF6" w14:textId="77777777" w:rsidR="00EC029C" w:rsidRPr="000422FF" w:rsidRDefault="00EC029C" w:rsidP="000422FF">
      <w:pPr>
        <w:spacing w:after="0" w:line="360" w:lineRule="auto"/>
        <w:jc w:val="both"/>
        <w:rPr>
          <w:rFonts w:ascii="Palatino Linotype" w:eastAsia="MS Mincho" w:hAnsi="Palatino Linotype" w:cs="Arial"/>
          <w:lang w:val="es-ES_tradnl"/>
        </w:rPr>
      </w:pPr>
    </w:p>
    <w:p w14:paraId="33DBD169" w14:textId="7D3D9C78" w:rsidR="00EC029C" w:rsidRPr="000422FF" w:rsidRDefault="00EC029C" w:rsidP="000422FF">
      <w:pPr>
        <w:spacing w:after="0" w:line="360" w:lineRule="auto"/>
        <w:jc w:val="both"/>
        <w:rPr>
          <w:rFonts w:ascii="Palatino Linotype" w:eastAsia="MS Mincho" w:hAnsi="Palatino Linotype" w:cs="Arial"/>
          <w:lang w:val="es-ES_tradnl"/>
        </w:rPr>
      </w:pPr>
      <w:r w:rsidRPr="000422FF">
        <w:rPr>
          <w:rFonts w:ascii="Palatino Linotype" w:eastAsia="MS Mincho" w:hAnsi="Palatino Linotype" w:cs="Arial"/>
          <w:lang w:val="es-ES_tradnl"/>
        </w:rPr>
        <w:t xml:space="preserve">En ese tener de ideas, se desprende que en el caso que nos ocupa, se debió clasificar como reservada la información referente al </w:t>
      </w:r>
      <w:r w:rsidRPr="000422FF">
        <w:rPr>
          <w:rFonts w:ascii="Palatino Linotype" w:eastAsia="Palatino Linotype" w:hAnsi="Palatino Linotype" w:cs="Palatino Linotype"/>
          <w:b/>
        </w:rPr>
        <w:t>número de elementos de seguridad tienen funciones de escoltas</w:t>
      </w:r>
      <w:r w:rsidR="00B82F01" w:rsidRPr="000422FF">
        <w:rPr>
          <w:rFonts w:ascii="Palatino Linotype" w:eastAsia="Palatino Linotype" w:hAnsi="Palatino Linotype" w:cs="Palatino Linotype"/>
          <w:b/>
        </w:rPr>
        <w:t xml:space="preserve"> y</w:t>
      </w:r>
      <w:r w:rsidRPr="000422FF">
        <w:rPr>
          <w:rFonts w:ascii="Palatino Linotype" w:eastAsia="Palatino Linotype" w:hAnsi="Palatino Linotype" w:cs="Palatino Linotype"/>
          <w:b/>
        </w:rPr>
        <w:t xml:space="preserve"> número de elementos de seguridad comisionados al resguardo de las instalaciones municipales, </w:t>
      </w:r>
      <w:r w:rsidRPr="000422FF">
        <w:rPr>
          <w:rFonts w:ascii="Palatino Linotype" w:eastAsia="Palatino Linotype" w:hAnsi="Palatino Linotype" w:cs="Palatino Linotype"/>
        </w:rPr>
        <w:t xml:space="preserve">ello con el fin de revelar </w:t>
      </w:r>
      <w:r w:rsidRPr="000422FF">
        <w:rPr>
          <w:rFonts w:ascii="Palatino Linotype" w:eastAsia="MS Mincho" w:hAnsi="Palatino Linotype" w:cs="Arial"/>
          <w:lang w:val="es-ES_tradnl"/>
        </w:rPr>
        <w:t>datos que pudieran ser aprovechados para conocer la capacidad de reacción de las instituciones encargadas de la seguridad pública y que pongan en peligro la seguridad pública y funciones de los Municipios, tendientes a preservar y resguardar la vida e integridad física de los gobernados.</w:t>
      </w:r>
    </w:p>
    <w:p w14:paraId="12FD6BE9" w14:textId="4F846D3D" w:rsidR="00EC029C" w:rsidRPr="000422FF" w:rsidRDefault="00207B87" w:rsidP="00207B87">
      <w:pPr>
        <w:tabs>
          <w:tab w:val="left" w:pos="3690"/>
        </w:tabs>
        <w:spacing w:after="0" w:line="360" w:lineRule="auto"/>
        <w:jc w:val="both"/>
        <w:rPr>
          <w:rFonts w:ascii="Palatino Linotype" w:hAnsi="Palatino Linotype" w:cs="Tahoma"/>
        </w:rPr>
      </w:pPr>
      <w:r>
        <w:rPr>
          <w:rFonts w:ascii="Palatino Linotype" w:hAnsi="Palatino Linotype" w:cs="Tahoma"/>
        </w:rPr>
        <w:tab/>
      </w:r>
    </w:p>
    <w:p w14:paraId="1F21828E" w14:textId="3E416061" w:rsidR="00EC029C" w:rsidRPr="000422FF" w:rsidRDefault="00EC029C" w:rsidP="000422FF">
      <w:pPr>
        <w:spacing w:after="0" w:line="360" w:lineRule="auto"/>
        <w:jc w:val="both"/>
        <w:rPr>
          <w:rFonts w:ascii="Palatino Linotype" w:hAnsi="Palatino Linotype" w:cs="Arial"/>
        </w:rPr>
      </w:pPr>
      <w:r w:rsidRPr="000422FF">
        <w:rPr>
          <w:rFonts w:ascii="Palatino Linotype" w:hAnsi="Palatino Linotype" w:cs="Arial"/>
        </w:rPr>
        <w:t xml:space="preserve">De lo anteriormente expuesto emitimos este </w:t>
      </w:r>
      <w:r w:rsidRPr="000422FF">
        <w:rPr>
          <w:rFonts w:ascii="Palatino Linotype" w:hAnsi="Palatino Linotype" w:cs="Arial"/>
          <w:b/>
          <w:bCs/>
        </w:rPr>
        <w:t>VOTO PARTICULAR CONCURRENTE</w:t>
      </w:r>
      <w:r w:rsidRPr="000422FF">
        <w:rPr>
          <w:rFonts w:ascii="Palatino Linotype" w:hAnsi="Palatino Linotype" w:cs="Arial"/>
          <w:b/>
        </w:rPr>
        <w:t xml:space="preserve">, </w:t>
      </w:r>
      <w:r w:rsidRPr="000422FF">
        <w:rPr>
          <w:rFonts w:ascii="Palatino Linotype" w:hAnsi="Palatino Linotype" w:cs="Arial"/>
        </w:rPr>
        <w:t xml:space="preserve">pues se debió privilegiar la </w:t>
      </w:r>
      <w:r w:rsidRPr="000422FF">
        <w:rPr>
          <w:rFonts w:ascii="Palatino Linotype" w:hAnsi="Palatino Linotype" w:cs="Arial"/>
          <w:b/>
        </w:rPr>
        <w:t>reserva del número de personal con funciones de escolta</w:t>
      </w:r>
      <w:r w:rsidR="00B82F01" w:rsidRPr="000422FF">
        <w:rPr>
          <w:rFonts w:ascii="Palatino Linotype" w:hAnsi="Palatino Linotype" w:cs="Arial"/>
          <w:b/>
        </w:rPr>
        <w:t xml:space="preserve"> y</w:t>
      </w:r>
      <w:r w:rsidRPr="000422FF">
        <w:rPr>
          <w:rFonts w:ascii="Palatino Linotype" w:hAnsi="Palatino Linotype" w:cs="Arial"/>
          <w:b/>
        </w:rPr>
        <w:t xml:space="preserve"> n</w:t>
      </w:r>
      <w:r w:rsidRPr="000422FF">
        <w:rPr>
          <w:rFonts w:ascii="Palatino Linotype" w:eastAsia="Palatino Linotype" w:hAnsi="Palatino Linotype" w:cs="Palatino Linotype"/>
          <w:b/>
        </w:rPr>
        <w:t>úmero de elementos de seguridad comisionados al resguardo de las instalaciones municipales</w:t>
      </w:r>
      <w:r w:rsidRPr="000422FF">
        <w:rPr>
          <w:rFonts w:ascii="Palatino Linotype" w:hAnsi="Palatino Linotype" w:cs="Arial"/>
          <w:lang w:eastAsia="en-US"/>
        </w:rPr>
        <w:t>, al poner en riesgo</w:t>
      </w:r>
      <w:r w:rsidRPr="000422FF">
        <w:rPr>
          <w:rFonts w:ascii="Palatino Linotype" w:hAnsi="Palatino Linotype" w:cs="Arial"/>
        </w:rPr>
        <w:t xml:space="preserve"> la seguridad, integridad y la vida de una persona.</w:t>
      </w:r>
    </w:p>
    <w:p w14:paraId="5AD8FBCF" w14:textId="631416EA" w:rsidR="00EC029C" w:rsidRPr="000422FF" w:rsidRDefault="00EC029C" w:rsidP="000422FF">
      <w:pPr>
        <w:pStyle w:val="Ttulo1"/>
        <w:spacing w:before="0" w:line="360" w:lineRule="auto"/>
        <w:ind w:right="338" w:firstLine="101"/>
        <w:jc w:val="center"/>
        <w:rPr>
          <w:color w:val="000000" w:themeColor="text1"/>
        </w:rPr>
      </w:pPr>
      <w:r w:rsidRPr="000422FF">
        <w:rPr>
          <w:rFonts w:eastAsia="Calibri" w:cs="Arial"/>
          <w:color w:val="000000" w:themeColor="text1"/>
        </w:rPr>
        <w:br w:type="page"/>
      </w:r>
    </w:p>
    <w:p w14:paraId="33E7A356" w14:textId="5871D822" w:rsidR="00564CEF" w:rsidRPr="000422FF" w:rsidRDefault="00564CEF" w:rsidP="000422FF">
      <w:pPr>
        <w:spacing w:after="0" w:line="360" w:lineRule="auto"/>
        <w:rPr>
          <w:rFonts w:ascii="Palatino Linotype" w:hAnsi="Palatino Linotype"/>
          <w:color w:val="000000" w:themeColor="text1"/>
        </w:rPr>
      </w:pPr>
    </w:p>
    <w:p w14:paraId="227D6B8B" w14:textId="40936925" w:rsidR="00564CEF" w:rsidRPr="000422FF" w:rsidRDefault="00564CEF" w:rsidP="000422FF">
      <w:pPr>
        <w:spacing w:after="0" w:line="360" w:lineRule="auto"/>
        <w:rPr>
          <w:rFonts w:ascii="Palatino Linotype" w:hAnsi="Palatino Linotype"/>
        </w:rPr>
      </w:pPr>
    </w:p>
    <w:p w14:paraId="128E3F36" w14:textId="77777777" w:rsidR="00211256" w:rsidRPr="000422FF" w:rsidRDefault="00211256" w:rsidP="000422FF">
      <w:pPr>
        <w:spacing w:after="0" w:line="360" w:lineRule="auto"/>
        <w:rPr>
          <w:rFonts w:ascii="Palatino Linotype" w:hAnsi="Palatino Linotype"/>
        </w:rPr>
      </w:pPr>
    </w:p>
    <w:p w14:paraId="761BBF40" w14:textId="77777777" w:rsidR="00211256" w:rsidRPr="000422FF" w:rsidRDefault="00211256" w:rsidP="000422FF">
      <w:pPr>
        <w:spacing w:after="0" w:line="360" w:lineRule="auto"/>
        <w:rPr>
          <w:rFonts w:ascii="Palatino Linotype" w:hAnsi="Palatino Linotype"/>
        </w:rPr>
      </w:pPr>
    </w:p>
    <w:p w14:paraId="2184E2C7" w14:textId="77777777" w:rsidR="00211256" w:rsidRPr="000422FF" w:rsidRDefault="00211256" w:rsidP="000422FF">
      <w:pPr>
        <w:spacing w:after="0" w:line="360" w:lineRule="auto"/>
        <w:rPr>
          <w:rFonts w:ascii="Palatino Linotype" w:hAnsi="Palatino Linotype"/>
        </w:rPr>
      </w:pPr>
    </w:p>
    <w:p w14:paraId="01FCAEC2" w14:textId="77777777" w:rsidR="00211256" w:rsidRPr="000422FF" w:rsidRDefault="00211256" w:rsidP="000422FF">
      <w:pPr>
        <w:spacing w:after="0" w:line="360" w:lineRule="auto"/>
        <w:rPr>
          <w:rFonts w:ascii="Palatino Linotype" w:hAnsi="Palatino Linotype"/>
        </w:rPr>
      </w:pPr>
    </w:p>
    <w:p w14:paraId="55C9005F" w14:textId="77777777" w:rsidR="00211256" w:rsidRPr="000422FF" w:rsidRDefault="00211256" w:rsidP="000422FF">
      <w:pPr>
        <w:spacing w:after="0" w:line="360" w:lineRule="auto"/>
        <w:rPr>
          <w:rFonts w:ascii="Palatino Linotype" w:hAnsi="Palatino Linotype"/>
        </w:rPr>
      </w:pPr>
    </w:p>
    <w:p w14:paraId="1B2029B0" w14:textId="77777777" w:rsidR="00211256" w:rsidRPr="000422FF" w:rsidRDefault="00211256" w:rsidP="000422FF">
      <w:pPr>
        <w:spacing w:after="0" w:line="360" w:lineRule="auto"/>
        <w:rPr>
          <w:rFonts w:ascii="Palatino Linotype" w:hAnsi="Palatino Linotype"/>
        </w:rPr>
      </w:pPr>
    </w:p>
    <w:p w14:paraId="3BEC0201" w14:textId="77777777" w:rsidR="00211256" w:rsidRPr="000422FF" w:rsidRDefault="00211256" w:rsidP="000422FF">
      <w:pPr>
        <w:spacing w:after="0" w:line="360" w:lineRule="auto"/>
        <w:rPr>
          <w:rFonts w:ascii="Palatino Linotype" w:hAnsi="Palatino Linotype"/>
        </w:rPr>
      </w:pPr>
    </w:p>
    <w:p w14:paraId="05551C04" w14:textId="77777777" w:rsidR="004E12F6" w:rsidRPr="000422FF" w:rsidRDefault="004E12F6" w:rsidP="000422FF">
      <w:pPr>
        <w:spacing w:after="0" w:line="360" w:lineRule="auto"/>
        <w:rPr>
          <w:rFonts w:ascii="Palatino Linotype" w:hAnsi="Palatino Linotype"/>
        </w:rPr>
      </w:pPr>
    </w:p>
    <w:sectPr w:rsidR="004E12F6" w:rsidRPr="000422FF">
      <w:headerReference w:type="default" r:id="rId8"/>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2FCC5" w14:textId="77777777" w:rsidR="000C51EB" w:rsidRDefault="000C51EB">
      <w:pPr>
        <w:spacing w:after="0" w:line="240" w:lineRule="auto"/>
      </w:pPr>
      <w:r>
        <w:separator/>
      </w:r>
    </w:p>
  </w:endnote>
  <w:endnote w:type="continuationSeparator" w:id="0">
    <w:p w14:paraId="583FF0DF" w14:textId="77777777" w:rsidR="000C51EB" w:rsidRDefault="000C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09644" w14:textId="77777777" w:rsidR="000C51EB" w:rsidRDefault="000C51EB">
      <w:pPr>
        <w:spacing w:after="0" w:line="240" w:lineRule="auto"/>
      </w:pPr>
      <w:r>
        <w:separator/>
      </w:r>
    </w:p>
  </w:footnote>
  <w:footnote w:type="continuationSeparator" w:id="0">
    <w:p w14:paraId="0F056657" w14:textId="77777777" w:rsidR="000C51EB" w:rsidRDefault="000C5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77777777"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CEFE550" w14:textId="64DB531C" w:rsidR="0094263D" w:rsidRPr="00EC029C"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EC029C" w:rsidRPr="00EC029C">
      <w:rPr>
        <w:rFonts w:ascii="Palatino Linotype" w:eastAsia="Palatino Linotype" w:hAnsi="Palatino Linotype" w:cs="Palatino Linotype"/>
        <w:b/>
        <w:color w:val="000000" w:themeColor="text1"/>
        <w:sz w:val="20"/>
        <w:szCs w:val="20"/>
      </w:rPr>
      <w:t>14612/INFOEM/IP/RR/2022</w:t>
    </w:r>
    <w:r w:rsidR="00E00DC8" w:rsidRPr="00EC029C">
      <w:rPr>
        <w:rFonts w:ascii="Palatino Linotype" w:eastAsia="Palatino Linotype" w:hAnsi="Palatino Linotype" w:cs="Palatino Linotype"/>
        <w:b/>
        <w:color w:val="000000" w:themeColor="text1"/>
        <w:sz w:val="20"/>
        <w:szCs w:val="20"/>
      </w:rPr>
      <w:t>.</w:t>
    </w:r>
  </w:p>
  <w:p w14:paraId="6A3CF850" w14:textId="77777777" w:rsidR="0094263D" w:rsidRDefault="0094263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p w14:paraId="691B6786"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1">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3">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7"/>
  </w:num>
  <w:num w:numId="8">
    <w:abstractNumId w:val="15"/>
  </w:num>
  <w:num w:numId="9">
    <w:abstractNumId w:val="8"/>
  </w:num>
  <w:num w:numId="10">
    <w:abstractNumId w:val="18"/>
  </w:num>
  <w:num w:numId="11">
    <w:abstractNumId w:val="3"/>
  </w:num>
  <w:num w:numId="12">
    <w:abstractNumId w:val="10"/>
  </w:num>
  <w:num w:numId="13">
    <w:abstractNumId w:val="14"/>
  </w:num>
  <w:num w:numId="14">
    <w:abstractNumId w:val="11"/>
  </w:num>
  <w:num w:numId="15">
    <w:abstractNumId w:val="13"/>
  </w:num>
  <w:num w:numId="16">
    <w:abstractNumId w:val="9"/>
  </w:num>
  <w:num w:numId="17">
    <w:abstractNumId w:val="17"/>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422FF"/>
    <w:rsid w:val="00072506"/>
    <w:rsid w:val="00075193"/>
    <w:rsid w:val="00097FA2"/>
    <w:rsid w:val="000C51EB"/>
    <w:rsid w:val="00126427"/>
    <w:rsid w:val="001269F7"/>
    <w:rsid w:val="001C0792"/>
    <w:rsid w:val="001C3D28"/>
    <w:rsid w:val="00207B87"/>
    <w:rsid w:val="00211256"/>
    <w:rsid w:val="002524E1"/>
    <w:rsid w:val="003148DE"/>
    <w:rsid w:val="00427A2E"/>
    <w:rsid w:val="00481A51"/>
    <w:rsid w:val="004A03BB"/>
    <w:rsid w:val="004B1A3E"/>
    <w:rsid w:val="004E12F6"/>
    <w:rsid w:val="004F6FB2"/>
    <w:rsid w:val="005408D5"/>
    <w:rsid w:val="00564CEF"/>
    <w:rsid w:val="00570E35"/>
    <w:rsid w:val="005756CB"/>
    <w:rsid w:val="0058223B"/>
    <w:rsid w:val="00596CB2"/>
    <w:rsid w:val="005B7D2D"/>
    <w:rsid w:val="006165CC"/>
    <w:rsid w:val="00751B2E"/>
    <w:rsid w:val="008024C4"/>
    <w:rsid w:val="008567DB"/>
    <w:rsid w:val="008F3F42"/>
    <w:rsid w:val="0094263D"/>
    <w:rsid w:val="009B1725"/>
    <w:rsid w:val="009B4154"/>
    <w:rsid w:val="009F0249"/>
    <w:rsid w:val="00A47AA8"/>
    <w:rsid w:val="00A539F2"/>
    <w:rsid w:val="00A62BC1"/>
    <w:rsid w:val="00B82F01"/>
    <w:rsid w:val="00C466DB"/>
    <w:rsid w:val="00CB1747"/>
    <w:rsid w:val="00D03735"/>
    <w:rsid w:val="00D04B9D"/>
    <w:rsid w:val="00E00DC8"/>
    <w:rsid w:val="00E500CF"/>
    <w:rsid w:val="00E51BA9"/>
    <w:rsid w:val="00E708EF"/>
    <w:rsid w:val="00EC029C"/>
    <w:rsid w:val="00F177AB"/>
    <w:rsid w:val="00F34FAD"/>
    <w:rsid w:val="00F35BFF"/>
    <w:rsid w:val="00F41151"/>
    <w:rsid w:val="00F43034"/>
    <w:rsid w:val="00F5102C"/>
    <w:rsid w:val="00F54A89"/>
    <w:rsid w:val="00F86520"/>
    <w:rsid w:val="00FA59FB"/>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Rocío Popoca</cp:lastModifiedBy>
  <cp:revision>2</cp:revision>
  <dcterms:created xsi:type="dcterms:W3CDTF">2023-08-07T17:45:00Z</dcterms:created>
  <dcterms:modified xsi:type="dcterms:W3CDTF">2023-08-07T17:45:00Z</dcterms:modified>
</cp:coreProperties>
</file>