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AFC39" w14:textId="54D1B8D4" w:rsidR="00F47FB5" w:rsidRDefault="00F47FB5" w:rsidP="00F47FB5">
      <w:pPr>
        <w:spacing w:line="360" w:lineRule="auto"/>
        <w:jc w:val="both"/>
        <w:rPr>
          <w:rFonts w:ascii="Palatino Linotype" w:hAnsi="Palatino Linotype" w:cs="Tahoma"/>
          <w:b/>
          <w:lang w:val="es-MX"/>
        </w:rPr>
      </w:pPr>
      <w:r>
        <w:rPr>
          <w:rFonts w:ascii="Palatino Linotype" w:hAnsi="Palatino Linotype" w:cs="Tahoma"/>
          <w:b/>
        </w:rPr>
        <w:t xml:space="preserve">VOTO PARTICULAR QUE FORMULA DE LA COMISIONADA MARÍA DEL ROSARIO MEJÍA AYALA, CON RELACIÓN A LA RESOLUCIÓN EMITIDA POR EL PLENO DEL INSTITUTO DE TRANSPARENCIA, ACCESO A LA INFORMACIÓN PÚBLICA Y PROTECCIÓN DE DATOS PERSONALES DEL ESTADO </w:t>
      </w:r>
      <w:r w:rsidR="008C2DB1">
        <w:rPr>
          <w:rFonts w:ascii="Palatino Linotype" w:hAnsi="Palatino Linotype" w:cs="Tahoma"/>
          <w:b/>
        </w:rPr>
        <w:t>DE</w:t>
      </w:r>
      <w:r w:rsidR="00866A51">
        <w:rPr>
          <w:rFonts w:ascii="Palatino Linotype" w:hAnsi="Palatino Linotype" w:cs="Tahoma"/>
          <w:b/>
        </w:rPr>
        <w:t xml:space="preserve"> MÉXICO Y MUNICIPIOS AL RECURSO DE REVISIÓN </w:t>
      </w:r>
      <w:r w:rsidR="00866A51">
        <w:rPr>
          <w:rFonts w:ascii="Palatino Linotype" w:hAnsi="Palatino Linotype" w:cs="Arial"/>
          <w:b/>
          <w:bCs/>
          <w:lang w:eastAsia="es-MX"/>
        </w:rPr>
        <w:t>12380/INFOEM/IP/RR/2022</w:t>
      </w:r>
      <w:r w:rsidR="00866A51">
        <w:rPr>
          <w:rFonts w:ascii="Palatino Linotype" w:hAnsi="Palatino Linotype" w:cs="Tahoma"/>
          <w:b/>
        </w:rPr>
        <w:t xml:space="preserve">, PROMOVIDO EN CONTRA DEL </w:t>
      </w:r>
      <w:r w:rsidR="00866A51" w:rsidRPr="00866A51">
        <w:rPr>
          <w:rFonts w:ascii="Palatino Linotype" w:eastAsia="Palatino Linotype" w:hAnsi="Palatino Linotype" w:cs="Palatino Linotype"/>
          <w:b/>
          <w:color w:val="000000"/>
        </w:rPr>
        <w:t>AYUNTAMIENTO DE TEPETLIXPA</w:t>
      </w:r>
      <w:r w:rsidR="00960590">
        <w:rPr>
          <w:rFonts w:ascii="Palatino Linotype" w:hAnsi="Palatino Linotype" w:cs="Tahoma"/>
          <w:b/>
        </w:rPr>
        <w:t>.</w:t>
      </w:r>
      <w:bookmarkStart w:id="0" w:name="_GoBack"/>
      <w:bookmarkEnd w:id="0"/>
    </w:p>
    <w:p w14:paraId="4B300B03" w14:textId="77777777" w:rsidR="00326EEA" w:rsidRPr="00CF3F65" w:rsidRDefault="00326EEA" w:rsidP="00CF3F65">
      <w:pPr>
        <w:spacing w:line="360" w:lineRule="auto"/>
        <w:jc w:val="both"/>
        <w:rPr>
          <w:rFonts w:ascii="Palatino Linotype" w:hAnsi="Palatino Linotype" w:cs="Arial"/>
          <w:b/>
        </w:rPr>
      </w:pPr>
    </w:p>
    <w:p w14:paraId="51A10ACA" w14:textId="77777777" w:rsidR="007B1CFA" w:rsidRPr="00CF3F65" w:rsidRDefault="007B1CFA" w:rsidP="00CF3F65">
      <w:pPr>
        <w:pStyle w:val="Ttulo1"/>
        <w:numPr>
          <w:ilvl w:val="0"/>
          <w:numId w:val="2"/>
        </w:numPr>
        <w:spacing w:before="0" w:line="360" w:lineRule="auto"/>
        <w:ind w:left="993" w:hanging="567"/>
        <w:rPr>
          <w:rFonts w:ascii="Palatino Linotype" w:hAnsi="Palatino Linotype"/>
          <w:color w:val="000000" w:themeColor="text1"/>
          <w:sz w:val="24"/>
          <w:szCs w:val="24"/>
        </w:rPr>
      </w:pPr>
      <w:bookmarkStart w:id="1" w:name="_Toc70345222"/>
      <w:r w:rsidRPr="00CF3F65">
        <w:rPr>
          <w:rFonts w:ascii="Palatino Linotype" w:hAnsi="Palatino Linotype"/>
          <w:color w:val="000000" w:themeColor="text1"/>
          <w:sz w:val="24"/>
          <w:szCs w:val="24"/>
        </w:rPr>
        <w:t>Consideraciones Generales.</w:t>
      </w:r>
      <w:bookmarkEnd w:id="1"/>
    </w:p>
    <w:p w14:paraId="2A27C14C" w14:textId="77777777" w:rsidR="007B1CFA" w:rsidRPr="00CF3F65" w:rsidRDefault="007B1CFA" w:rsidP="00CF3F65">
      <w:pPr>
        <w:spacing w:line="360" w:lineRule="auto"/>
        <w:rPr>
          <w:rFonts w:ascii="Palatino Linotype" w:hAnsi="Palatino Linotype"/>
        </w:rPr>
      </w:pPr>
    </w:p>
    <w:p w14:paraId="60F0E591" w14:textId="45AF262D" w:rsidR="00530898" w:rsidRDefault="00CF3F65" w:rsidP="008F67BC">
      <w:pPr>
        <w:spacing w:line="360" w:lineRule="auto"/>
        <w:jc w:val="both"/>
        <w:rPr>
          <w:rFonts w:ascii="Palatino Linotype" w:eastAsia="Palatino Linotype" w:hAnsi="Palatino Linotype" w:cs="Palatino Linotype"/>
          <w:b/>
        </w:rPr>
      </w:pPr>
      <w:r w:rsidRPr="0024476F">
        <w:rPr>
          <w:rFonts w:ascii="Palatino Linotype" w:hAnsi="Palatino Linotype" w:cs="Arial"/>
        </w:rPr>
        <w:t>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w:t>
      </w:r>
      <w:r>
        <w:rPr>
          <w:rFonts w:ascii="Palatino Linotype" w:hAnsi="Palatino Linotype" w:cs="Arial"/>
        </w:rPr>
        <w:t>,</w:t>
      </w:r>
      <w:r w:rsidRPr="0024476F">
        <w:rPr>
          <w:rFonts w:ascii="Palatino Linotype" w:hAnsi="Palatino Linotype" w:cs="Arial"/>
        </w:rPr>
        <w:t xml:space="preserve"> por no compartir en su totalidad las consideraciones</w:t>
      </w:r>
      <w:r w:rsidR="00EF3513">
        <w:rPr>
          <w:rFonts w:ascii="Palatino Linotype" w:hAnsi="Palatino Linotype" w:cs="Arial"/>
        </w:rPr>
        <w:t xml:space="preserve"> que sustentan la Resolución del</w:t>
      </w:r>
      <w:r w:rsidR="006A7AB7">
        <w:rPr>
          <w:rFonts w:ascii="Palatino Linotype" w:hAnsi="Palatino Linotype" w:cs="Arial"/>
        </w:rPr>
        <w:t xml:space="preserve"> </w:t>
      </w:r>
      <w:r w:rsidRPr="0024476F">
        <w:rPr>
          <w:rFonts w:ascii="Palatino Linotype" w:hAnsi="Palatino Linotype" w:cs="Arial"/>
        </w:rPr>
        <w:t xml:space="preserve">Recurso de Revisión </w:t>
      </w:r>
      <w:r w:rsidR="00866A51">
        <w:rPr>
          <w:rFonts w:ascii="Palatino Linotype" w:hAnsi="Palatino Linotype" w:cs="Arial"/>
          <w:b/>
          <w:bCs/>
          <w:lang w:eastAsia="es-MX"/>
        </w:rPr>
        <w:t>12380/INFOEM/IP/RR/2022</w:t>
      </w:r>
      <w:r w:rsidR="008C2DB1">
        <w:rPr>
          <w:rFonts w:ascii="Palatino Linotype" w:eastAsia="Palatino Linotype" w:hAnsi="Palatino Linotype" w:cs="Palatino Linotype"/>
          <w:color w:val="000000"/>
        </w:rPr>
        <w:t xml:space="preserve">, </w:t>
      </w:r>
      <w:r w:rsidR="008B0A68">
        <w:rPr>
          <w:rFonts w:ascii="Palatino Linotype" w:hAnsi="Palatino Linotype" w:cs="Arial"/>
        </w:rPr>
        <w:t xml:space="preserve">presentado </w:t>
      </w:r>
      <w:r w:rsidR="008B0A68" w:rsidRPr="008B0A68">
        <w:rPr>
          <w:rFonts w:ascii="Palatino Linotype" w:hAnsi="Palatino Linotype" w:cs="Arial"/>
        </w:rPr>
        <w:t>conforme al criterio mayoritario del Pleno,</w:t>
      </w:r>
      <w:r w:rsidR="008B0A68">
        <w:rPr>
          <w:rFonts w:ascii="Palatino Linotype" w:hAnsi="Palatino Linotype" w:cs="Arial"/>
        </w:rPr>
        <w:t xml:space="preserve"> </w:t>
      </w:r>
      <w:r w:rsidRPr="0024476F">
        <w:rPr>
          <w:rFonts w:ascii="Palatino Linotype" w:hAnsi="Palatino Linotype" w:cs="Arial"/>
        </w:rPr>
        <w:t>promovido en contra de</w:t>
      </w:r>
      <w:r w:rsidR="0068101D">
        <w:rPr>
          <w:rFonts w:ascii="Palatino Linotype" w:hAnsi="Palatino Linotype" w:cs="Arial"/>
        </w:rPr>
        <w:t xml:space="preserve">l </w:t>
      </w:r>
      <w:r w:rsidR="00BC1756">
        <w:rPr>
          <w:rFonts w:ascii="Palatino Linotype" w:hAnsi="Palatino Linotype" w:cs="Arial"/>
        </w:rPr>
        <w:t xml:space="preserve"> </w:t>
      </w:r>
      <w:r w:rsidR="00866A51">
        <w:rPr>
          <w:rFonts w:ascii="Palatino Linotype" w:hAnsi="Palatino Linotype" w:cs="Arial"/>
          <w:b/>
        </w:rPr>
        <w:t>Ayuntamiento de Tepetlixpa</w:t>
      </w:r>
      <w:r w:rsidR="006A7AB7">
        <w:rPr>
          <w:rFonts w:ascii="Palatino Linotype" w:eastAsia="Palatino Linotype" w:hAnsi="Palatino Linotype" w:cs="Palatino Linotype"/>
          <w:b/>
        </w:rPr>
        <w:t>.</w:t>
      </w:r>
    </w:p>
    <w:p w14:paraId="66D32CD4" w14:textId="77777777" w:rsidR="00EF3513" w:rsidRDefault="00EF3513" w:rsidP="008F67BC">
      <w:pPr>
        <w:spacing w:line="360" w:lineRule="auto"/>
        <w:jc w:val="both"/>
        <w:rPr>
          <w:rFonts w:ascii="Palatino Linotype" w:eastAsia="Palatino Linotype" w:hAnsi="Palatino Linotype" w:cs="Palatino Linotype"/>
          <w:b/>
        </w:rPr>
      </w:pPr>
    </w:p>
    <w:p w14:paraId="2CD2271C" w14:textId="5AB74A8A" w:rsidR="00BF358F" w:rsidRDefault="00EF3513" w:rsidP="00BF358F">
      <w:pPr>
        <w:spacing w:line="360" w:lineRule="auto"/>
        <w:jc w:val="both"/>
        <w:rPr>
          <w:rFonts w:ascii="Palatino Linotype" w:hAnsi="Palatino Linotype" w:cs="Arial"/>
        </w:rPr>
      </w:pPr>
      <w:r>
        <w:rPr>
          <w:rFonts w:ascii="Palatino Linotype" w:eastAsia="Calibri" w:hAnsi="Palatino Linotype"/>
          <w:bCs/>
        </w:rPr>
        <w:t>El</w:t>
      </w:r>
      <w:r>
        <w:rPr>
          <w:rFonts w:ascii="Palatino Linotype" w:eastAsia="Calibri" w:hAnsi="Palatino Linotype"/>
          <w:b/>
        </w:rPr>
        <w:t xml:space="preserve"> RECURRENTE </w:t>
      </w:r>
      <w:r>
        <w:rPr>
          <w:rFonts w:ascii="Palatino Linotype" w:eastAsia="Calibri" w:hAnsi="Palatino Linotype"/>
          <w:bCs/>
        </w:rPr>
        <w:t>presentó</w:t>
      </w:r>
      <w:r>
        <w:rPr>
          <w:rFonts w:ascii="Palatino Linotype" w:eastAsia="Calibri" w:hAnsi="Palatino Linotype" w:cs="Arial"/>
        </w:rPr>
        <w:t xml:space="preserve"> vía Sistema de Acceso a la Información Mexiquense (</w:t>
      </w:r>
      <w:r>
        <w:rPr>
          <w:rFonts w:ascii="Palatino Linotype" w:eastAsia="Calibri" w:hAnsi="Palatino Linotype" w:cs="Arial"/>
          <w:b/>
        </w:rPr>
        <w:t>SAIMEX)</w:t>
      </w:r>
      <w:r>
        <w:rPr>
          <w:rFonts w:ascii="Palatino Linotype" w:eastAsia="Calibri" w:hAnsi="Palatino Linotype" w:cs="Arial"/>
        </w:rPr>
        <w:t xml:space="preserve">, </w:t>
      </w:r>
      <w:r w:rsidR="00BF358F">
        <w:rPr>
          <w:rFonts w:ascii="Palatino Linotype" w:eastAsia="Calibri" w:hAnsi="Palatino Linotype" w:cs="Arial"/>
        </w:rPr>
        <w:t>la</w:t>
      </w:r>
      <w:r w:rsidR="008C19BE">
        <w:rPr>
          <w:rFonts w:ascii="Palatino Linotype" w:eastAsia="Calibri" w:hAnsi="Palatino Linotype" w:cs="Arial"/>
        </w:rPr>
        <w:t xml:space="preserve"> solicitud</w:t>
      </w:r>
      <w:r w:rsidR="00BF358F">
        <w:rPr>
          <w:rFonts w:ascii="Palatino Linotype" w:eastAsia="Calibri" w:hAnsi="Palatino Linotype" w:cs="Arial"/>
        </w:rPr>
        <w:t xml:space="preserve"> de información pública registradas con los números </w:t>
      </w:r>
      <w:r w:rsidR="00866A51">
        <w:rPr>
          <w:rFonts w:ascii="Palatino Linotype" w:hAnsi="Palatino Linotype" w:cs="Arial"/>
          <w:b/>
        </w:rPr>
        <w:t>00143/TEPETLIX/IP/2022</w:t>
      </w:r>
      <w:r w:rsidR="00BF358F">
        <w:rPr>
          <w:rFonts w:ascii="Palatino Linotype" w:hAnsi="Palatino Linotype" w:cs="Arial"/>
          <w:lang w:eastAsia="es-MX"/>
        </w:rPr>
        <w:t>,</w:t>
      </w:r>
      <w:r w:rsidR="00BF358F">
        <w:rPr>
          <w:rFonts w:ascii="Palatino Linotype" w:hAnsi="Palatino Linotype" w:cs="Arial"/>
          <w:b/>
          <w:lang w:eastAsia="es-MX"/>
        </w:rPr>
        <w:t xml:space="preserve"> </w:t>
      </w:r>
      <w:r w:rsidR="00BF358F">
        <w:rPr>
          <w:rFonts w:ascii="Palatino Linotype" w:hAnsi="Palatino Linotype" w:cs="Arial"/>
        </w:rPr>
        <w:t>mediante las cuales solicitó la siguiente información:</w:t>
      </w:r>
    </w:p>
    <w:p w14:paraId="2BF8BD74" w14:textId="77777777" w:rsidR="00866A51" w:rsidRDefault="00866A51" w:rsidP="00866A51">
      <w:pPr>
        <w:spacing w:line="276" w:lineRule="auto"/>
        <w:ind w:left="567" w:right="567"/>
        <w:jc w:val="both"/>
        <w:rPr>
          <w:rFonts w:ascii="Palatino Linotype" w:hAnsi="Palatino Linotype"/>
          <w:i/>
          <w:lang w:val="es-MX" w:eastAsia="es-MX"/>
        </w:rPr>
      </w:pPr>
      <w:r>
        <w:rPr>
          <w:rFonts w:ascii="Palatino Linotype" w:hAnsi="Palatino Linotype"/>
          <w:i/>
          <w:lang w:eastAsia="es-MX"/>
        </w:rPr>
        <w:lastRenderedPageBreak/>
        <w:t>“LISTA TODO EL PERSONAL DE SEGURIDAD PUBLICA QUE CUENTEN CON EL PERMISO DE PORTACION DE ARMAS PROPORCIONADO POR LA SEDENA” (Sic).</w:t>
      </w:r>
    </w:p>
    <w:p w14:paraId="7C0642D6" w14:textId="77777777" w:rsidR="00805F8E" w:rsidRDefault="00805F8E" w:rsidP="008C2DB1">
      <w:pPr>
        <w:ind w:left="851" w:right="902"/>
        <w:jc w:val="both"/>
        <w:rPr>
          <w:rFonts w:ascii="Palatino Linotype" w:eastAsia="Palatino Linotype" w:hAnsi="Palatino Linotype" w:cs="Palatino Linotype"/>
          <w:i/>
          <w:color w:val="000000"/>
          <w:sz w:val="22"/>
          <w:lang w:val="es-MX"/>
        </w:rPr>
      </w:pPr>
    </w:p>
    <w:p w14:paraId="36DD1E6C" w14:textId="77777777" w:rsidR="00866A51" w:rsidRDefault="00866A51" w:rsidP="00866A51">
      <w:pPr>
        <w:spacing w:line="360" w:lineRule="auto"/>
        <w:ind w:right="49"/>
        <w:jc w:val="both"/>
        <w:rPr>
          <w:rFonts w:ascii="Palatino Linotype" w:hAnsi="Palatino Linotype"/>
          <w:lang w:val="es-ES_tradnl"/>
        </w:rPr>
      </w:pPr>
      <w:r>
        <w:rPr>
          <w:rFonts w:ascii="Palatino Linotype" w:hAnsi="Palatino Linotype"/>
          <w:b/>
          <w:lang w:eastAsia="es-MX"/>
        </w:rPr>
        <w:t>El Sujeto Obligado</w:t>
      </w:r>
      <w:r>
        <w:rPr>
          <w:rFonts w:ascii="Palatino Linotype" w:hAnsi="Palatino Linotype"/>
          <w:lang w:eastAsia="es-MX"/>
        </w:rPr>
        <w:t>, emitió su respuesta</w:t>
      </w:r>
      <w:r>
        <w:rPr>
          <w:rFonts w:ascii="Palatino Linotype" w:hAnsi="Palatino Linotype"/>
          <w:lang w:val="es-ES_tradnl"/>
        </w:rPr>
        <w:t xml:space="preserve"> al tenor de lo siguiente:</w:t>
      </w:r>
    </w:p>
    <w:p w14:paraId="3A192FDB" w14:textId="77777777" w:rsidR="00866A51" w:rsidRDefault="00866A51" w:rsidP="00866A51">
      <w:pPr>
        <w:spacing w:line="360" w:lineRule="auto"/>
        <w:ind w:right="49"/>
        <w:jc w:val="both"/>
        <w:rPr>
          <w:rFonts w:ascii="Palatino Linotype" w:hAnsi="Palatino Linotype"/>
          <w:lang w:val="es-ES_tradnl"/>
        </w:rPr>
      </w:pPr>
    </w:p>
    <w:p w14:paraId="5BE4EFF9" w14:textId="77777777" w:rsidR="00866A51" w:rsidRDefault="00866A51" w:rsidP="00866A51">
      <w:pPr>
        <w:spacing w:line="360" w:lineRule="auto"/>
        <w:ind w:left="284" w:right="567"/>
        <w:jc w:val="both"/>
        <w:rPr>
          <w:rFonts w:ascii="Palatino Linotype" w:hAnsi="Palatino Linotype"/>
          <w:i/>
          <w:sz w:val="22"/>
          <w:lang w:val="es-ES_tradnl"/>
        </w:rPr>
      </w:pPr>
      <w:r>
        <w:rPr>
          <w:rFonts w:ascii="Palatino Linotype" w:hAnsi="Palatino Linotype"/>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D6FC05" w14:textId="77777777" w:rsidR="00866A51" w:rsidRDefault="00866A51" w:rsidP="00866A51">
      <w:pPr>
        <w:spacing w:line="360" w:lineRule="auto"/>
        <w:ind w:left="284" w:right="567"/>
        <w:jc w:val="both"/>
        <w:rPr>
          <w:rFonts w:ascii="Palatino Linotype" w:hAnsi="Palatino Linotype"/>
          <w:i/>
          <w:lang w:val="es-ES_tradnl"/>
        </w:rPr>
      </w:pPr>
    </w:p>
    <w:p w14:paraId="6A8F407A" w14:textId="77777777" w:rsidR="00866A51" w:rsidRDefault="00866A51" w:rsidP="00866A51">
      <w:pPr>
        <w:spacing w:line="360" w:lineRule="auto"/>
        <w:ind w:left="284" w:right="567"/>
        <w:jc w:val="both"/>
        <w:rPr>
          <w:rFonts w:ascii="Palatino Linotype" w:hAnsi="Palatino Linotype"/>
          <w:i/>
          <w:lang w:val="es-ES_tradnl"/>
        </w:rPr>
      </w:pPr>
      <w:r>
        <w:rPr>
          <w:rFonts w:ascii="Palatino Linotype" w:hAnsi="Palatino Linotype"/>
          <w:i/>
          <w:lang w:val="es-ES_tradnl"/>
        </w:rPr>
        <w:t>Se anexa el Oficio No. DGSPV/164/2022. mediante el cual se da respuesta a la Solicitud No. 00143/TEPETLIX/IP/2022. en relación a la solicitud 00143/TEPETLIX/IP/2022, se informa que el archivo anexo es erróneo, por tal motivo se adjunta el correcto.</w:t>
      </w:r>
    </w:p>
    <w:p w14:paraId="14A9817B" w14:textId="77777777" w:rsidR="00866A51" w:rsidRDefault="00866A51" w:rsidP="00866A51">
      <w:pPr>
        <w:spacing w:line="360" w:lineRule="auto"/>
        <w:ind w:left="284" w:right="567"/>
        <w:jc w:val="both"/>
        <w:rPr>
          <w:rFonts w:ascii="Palatino Linotype" w:hAnsi="Palatino Linotype"/>
          <w:i/>
          <w:lang w:val="es-ES_tradnl"/>
        </w:rPr>
      </w:pPr>
    </w:p>
    <w:p w14:paraId="45D91A82" w14:textId="77777777" w:rsidR="00866A51" w:rsidRDefault="00866A51" w:rsidP="00866A51">
      <w:pPr>
        <w:spacing w:line="360" w:lineRule="auto"/>
        <w:ind w:left="284" w:right="567"/>
        <w:jc w:val="both"/>
        <w:rPr>
          <w:rFonts w:ascii="Palatino Linotype" w:hAnsi="Palatino Linotype"/>
          <w:i/>
          <w:lang w:val="es-ES_tradnl"/>
        </w:rPr>
      </w:pPr>
      <w:r>
        <w:rPr>
          <w:rFonts w:ascii="Palatino Linotype" w:hAnsi="Palatino Linotype"/>
          <w:i/>
          <w:lang w:val="es-ES_tradnl"/>
        </w:rPr>
        <w:t>ATENTAMENTE</w:t>
      </w:r>
    </w:p>
    <w:p w14:paraId="34DACA5D" w14:textId="77777777" w:rsidR="00866A51" w:rsidRDefault="00866A51" w:rsidP="00866A51">
      <w:pPr>
        <w:spacing w:line="360" w:lineRule="auto"/>
        <w:ind w:left="284" w:right="567"/>
        <w:jc w:val="both"/>
        <w:rPr>
          <w:rFonts w:ascii="Palatino Linotype" w:hAnsi="Palatino Linotype"/>
          <w:lang w:val="es-ES_tradnl"/>
        </w:rPr>
      </w:pPr>
      <w:r>
        <w:rPr>
          <w:rFonts w:ascii="Palatino Linotype" w:hAnsi="Palatino Linotype"/>
          <w:i/>
          <w:lang w:val="es-ES_tradnl"/>
        </w:rPr>
        <w:t>C JORGE MORA CASTAÑEDA” (SIC)</w:t>
      </w:r>
    </w:p>
    <w:p w14:paraId="48922328" w14:textId="77777777" w:rsidR="00866A51" w:rsidRDefault="00866A51" w:rsidP="00866A51">
      <w:pPr>
        <w:spacing w:line="360" w:lineRule="auto"/>
        <w:ind w:right="49"/>
        <w:jc w:val="both"/>
        <w:rPr>
          <w:rFonts w:ascii="Palatino Linotype" w:hAnsi="Palatino Linotype"/>
          <w:lang w:val="es-ES_tradnl"/>
        </w:rPr>
      </w:pPr>
    </w:p>
    <w:p w14:paraId="214C1311" w14:textId="77777777" w:rsidR="00866A51" w:rsidRDefault="00866A51" w:rsidP="00866A51">
      <w:pPr>
        <w:spacing w:line="360" w:lineRule="auto"/>
        <w:ind w:right="49"/>
        <w:jc w:val="both"/>
        <w:rPr>
          <w:rFonts w:ascii="Palatino Linotype" w:hAnsi="Palatino Linotype"/>
          <w:lang w:val="es-ES_tradnl"/>
        </w:rPr>
      </w:pPr>
      <w:r>
        <w:rPr>
          <w:rFonts w:ascii="Palatino Linotype" w:hAnsi="Palatino Linotype"/>
          <w:lang w:val="es-ES_tradnl"/>
        </w:rPr>
        <w:t>No obstante lo anterior, en el expediente electrónico del SAIMEX, no se observa ningún documento adjunto.</w:t>
      </w:r>
    </w:p>
    <w:p w14:paraId="324C7DFE" w14:textId="77777777" w:rsidR="00866A51" w:rsidRDefault="00866A51" w:rsidP="00866A51">
      <w:pPr>
        <w:spacing w:line="360" w:lineRule="auto"/>
        <w:ind w:right="49"/>
        <w:jc w:val="both"/>
        <w:rPr>
          <w:rFonts w:ascii="Palatino Linotype" w:hAnsi="Palatino Linotype"/>
          <w:lang w:val="es-ES_tradnl"/>
        </w:rPr>
      </w:pPr>
    </w:p>
    <w:p w14:paraId="7EBD201A" w14:textId="7E843E07" w:rsidR="00866A51" w:rsidRPr="00866A51" w:rsidRDefault="00866A51" w:rsidP="00866A51">
      <w:pPr>
        <w:spacing w:line="360" w:lineRule="auto"/>
        <w:ind w:right="49"/>
        <w:jc w:val="both"/>
        <w:rPr>
          <w:rFonts w:ascii="Palatino Linotype" w:hAnsi="Palatino Linotype"/>
          <w:lang w:val="es-ES_tradnl"/>
        </w:rPr>
      </w:pPr>
      <w:r w:rsidRPr="00866A51">
        <w:rPr>
          <w:rFonts w:ascii="Palatino Linotype" w:hAnsi="Palatino Linotype" w:cs="Arial"/>
        </w:rPr>
        <w:t>Inconforme con la respuesta notificada por parte del</w:t>
      </w:r>
      <w:r w:rsidRPr="00866A51">
        <w:rPr>
          <w:rFonts w:ascii="Palatino Linotype" w:hAnsi="Palatino Linotype" w:cs="Arial"/>
          <w:b/>
        </w:rPr>
        <w:t xml:space="preserve"> Sujeto Obligado</w:t>
      </w:r>
      <w:r w:rsidRPr="00866A51">
        <w:rPr>
          <w:rFonts w:ascii="Palatino Linotype" w:hAnsi="Palatino Linotype" w:cs="Arial"/>
        </w:rPr>
        <w:t>, la ahora</w:t>
      </w:r>
      <w:r w:rsidRPr="00866A51">
        <w:rPr>
          <w:rFonts w:ascii="Palatino Linotype" w:hAnsi="Palatino Linotype" w:cs="Arial"/>
          <w:b/>
        </w:rPr>
        <w:t xml:space="preserve"> Recurrente </w:t>
      </w:r>
      <w:r w:rsidRPr="00866A51">
        <w:rPr>
          <w:rFonts w:ascii="Palatino Linotype" w:hAnsi="Palatino Linotype" w:cs="Arial"/>
        </w:rPr>
        <w:t xml:space="preserve">interpuso el recurso de revisión </w:t>
      </w:r>
      <w:r>
        <w:rPr>
          <w:rFonts w:ascii="Palatino Linotype" w:hAnsi="Palatino Linotype" w:cs="Arial"/>
        </w:rPr>
        <w:t xml:space="preserve">refiriendo como </w:t>
      </w:r>
      <w:r w:rsidRPr="00866A51">
        <w:rPr>
          <w:rFonts w:ascii="Palatino Linotype" w:hAnsi="Palatino Linotype" w:cs="Arial"/>
        </w:rPr>
        <w:t>Razones o Motivos de Inconformidad</w:t>
      </w:r>
      <w:r>
        <w:rPr>
          <w:rFonts w:ascii="Palatino Linotype" w:hAnsi="Palatino Linotype" w:cs="Arial"/>
        </w:rPr>
        <w:t>.</w:t>
      </w:r>
    </w:p>
    <w:p w14:paraId="260ECAF4" w14:textId="77777777" w:rsidR="00866A51" w:rsidRDefault="00866A51" w:rsidP="00866A51">
      <w:pPr>
        <w:jc w:val="both"/>
        <w:rPr>
          <w:rFonts w:ascii="Palatino Linotype" w:hAnsi="Palatino Linotype" w:cs="Arial"/>
          <w:b/>
          <w:sz w:val="28"/>
        </w:rPr>
      </w:pPr>
    </w:p>
    <w:p w14:paraId="415A6851" w14:textId="4F251676" w:rsidR="00866A51" w:rsidRDefault="006E55AF" w:rsidP="00866A51">
      <w:pPr>
        <w:pStyle w:val="Prrafodelista"/>
        <w:ind w:left="567"/>
        <w:jc w:val="both"/>
        <w:rPr>
          <w:rFonts w:ascii="Palatino Linotype" w:hAnsi="Palatino Linotype" w:cs="Arial"/>
          <w:i/>
        </w:rPr>
      </w:pPr>
      <w:r>
        <w:rPr>
          <w:rFonts w:ascii="Palatino Linotype" w:hAnsi="Palatino Linotype" w:cs="Arial"/>
          <w:i/>
        </w:rPr>
        <w:t xml:space="preserve"> </w:t>
      </w:r>
      <w:r w:rsidR="00866A51">
        <w:rPr>
          <w:rFonts w:ascii="Palatino Linotype" w:hAnsi="Palatino Linotype" w:cs="Arial"/>
          <w:i/>
        </w:rPr>
        <w:t>“no enviaron LA INFORMACION SOLICITADA. SOLO ENVIARON UN OFICION DONDE DABAN RESPUESTA ) PERO SIN LA INFORMACION QUE NADA QUE VER CON LA SOLICITUD” [sic]</w:t>
      </w:r>
    </w:p>
    <w:p w14:paraId="06383BA1" w14:textId="14078219" w:rsidR="00866A51" w:rsidRDefault="00866A51" w:rsidP="00866A51">
      <w:pPr>
        <w:spacing w:line="360" w:lineRule="auto"/>
        <w:ind w:right="49"/>
        <w:jc w:val="both"/>
        <w:rPr>
          <w:rFonts w:ascii="Palatino Linotype" w:hAnsi="Palatino Linotype"/>
          <w:lang w:val="es-ES_tradnl"/>
        </w:rPr>
      </w:pPr>
    </w:p>
    <w:p w14:paraId="004A400D" w14:textId="3B87E9CC" w:rsidR="00866A51" w:rsidRDefault="00805F8E" w:rsidP="00866A51">
      <w:pPr>
        <w:spacing w:line="360" w:lineRule="auto"/>
        <w:jc w:val="both"/>
        <w:rPr>
          <w:rFonts w:ascii="Palatino Linotype" w:hAnsi="Palatino Linotype" w:cs="Arial"/>
          <w:lang w:val="es-MX"/>
        </w:rPr>
      </w:pPr>
      <w:r>
        <w:rPr>
          <w:rFonts w:ascii="Palatino Linotype" w:hAnsi="Palatino Linotype"/>
        </w:rPr>
        <w:t>Por tanto,</w:t>
      </w:r>
      <w:r w:rsidR="00BB071F">
        <w:rPr>
          <w:rFonts w:ascii="Palatino Linotype" w:hAnsi="Palatino Linotype"/>
          <w:b/>
        </w:rPr>
        <w:t xml:space="preserve"> </w:t>
      </w:r>
      <w:r w:rsidR="00F47FB5" w:rsidRPr="00F47FB5">
        <w:rPr>
          <w:rFonts w:ascii="Palatino Linotype" w:hAnsi="Palatino Linotype"/>
        </w:rPr>
        <w:t>la resolución determina</w:t>
      </w:r>
      <w:r w:rsidR="00F47FB5">
        <w:rPr>
          <w:rFonts w:ascii="Palatino Linotype" w:hAnsi="Palatino Linotype"/>
          <w:b/>
        </w:rPr>
        <w:t xml:space="preserve"> </w:t>
      </w:r>
      <w:r w:rsidR="00866A51">
        <w:rPr>
          <w:rFonts w:ascii="Palatino Linotype" w:hAnsi="Palatino Linotype" w:cs="Arial"/>
          <w:b/>
        </w:rPr>
        <w:t>ORDENAR</w:t>
      </w:r>
      <w:r w:rsidR="00866A51">
        <w:rPr>
          <w:rFonts w:ascii="Palatino Linotype" w:hAnsi="Palatino Linotype" w:cs="Arial"/>
        </w:rPr>
        <w:t xml:space="preserve"> al </w:t>
      </w:r>
      <w:r w:rsidR="00866A51">
        <w:rPr>
          <w:rFonts w:ascii="Palatino Linotype" w:hAnsi="Palatino Linotype" w:cs="Arial"/>
          <w:b/>
        </w:rPr>
        <w:t>Sujeto Obligado</w:t>
      </w:r>
      <w:r w:rsidR="00866A51">
        <w:rPr>
          <w:rFonts w:ascii="Palatino Linotype" w:hAnsi="Palatino Linotype" w:cs="Arial"/>
        </w:rPr>
        <w:t xml:space="preserve"> haga entrega al </w:t>
      </w:r>
      <w:r w:rsidR="00866A51">
        <w:rPr>
          <w:rFonts w:ascii="Palatino Linotype" w:hAnsi="Palatino Linotype" w:cs="Arial"/>
          <w:b/>
        </w:rPr>
        <w:t xml:space="preserve">Recurrente </w:t>
      </w:r>
      <w:r w:rsidR="00866A51">
        <w:rPr>
          <w:rFonts w:ascii="Palatino Linotype" w:hAnsi="Palatino Linotype" w:cs="Arial"/>
        </w:rPr>
        <w:t xml:space="preserve">en términos del Considerando </w:t>
      </w:r>
      <w:r w:rsidR="00866A51">
        <w:rPr>
          <w:rFonts w:ascii="Palatino Linotype" w:hAnsi="Palatino Linotype" w:cs="Arial"/>
          <w:b/>
        </w:rPr>
        <w:t xml:space="preserve">CUARTO </w:t>
      </w:r>
      <w:r w:rsidR="00866A51">
        <w:rPr>
          <w:rFonts w:ascii="Palatino Linotype" w:hAnsi="Palatino Linotype" w:cs="Arial"/>
        </w:rPr>
        <w:t>de esta resolución, a través del</w:t>
      </w:r>
      <w:r w:rsidR="00866A51">
        <w:rPr>
          <w:rFonts w:ascii="Palatino Linotype" w:hAnsi="Palatino Linotype" w:cs="Arial"/>
          <w:b/>
        </w:rPr>
        <w:t xml:space="preserve"> </w:t>
      </w:r>
      <w:r w:rsidR="00866A51">
        <w:rPr>
          <w:rFonts w:ascii="Palatino Linotype" w:hAnsi="Palatino Linotype" w:cs="Arial"/>
        </w:rPr>
        <w:t xml:space="preserve">Sistema de Acceso a la Información Mexiquense </w:t>
      </w:r>
      <w:r w:rsidR="00866A51">
        <w:rPr>
          <w:rFonts w:ascii="Palatino Linotype" w:hAnsi="Palatino Linotype" w:cs="Arial"/>
          <w:b/>
        </w:rPr>
        <w:t>(SAIMEX)</w:t>
      </w:r>
      <w:r w:rsidR="00866A51">
        <w:rPr>
          <w:rFonts w:ascii="Palatino Linotype" w:hAnsi="Palatino Linotype" w:cs="Arial"/>
        </w:rPr>
        <w:t>, de lo siguiente:</w:t>
      </w:r>
    </w:p>
    <w:p w14:paraId="1EB3E9AC" w14:textId="77777777" w:rsidR="00866A51" w:rsidRPr="00866A51" w:rsidRDefault="00866A51" w:rsidP="00866A51">
      <w:pPr>
        <w:pStyle w:val="Prrafodelista"/>
        <w:spacing w:line="360" w:lineRule="auto"/>
        <w:ind w:left="782"/>
        <w:contextualSpacing w:val="0"/>
        <w:jc w:val="both"/>
        <w:rPr>
          <w:rFonts w:ascii="Palatino Linotype" w:hAnsi="Palatino Linotype" w:cs="Arial"/>
          <w:bCs/>
          <w:noProof/>
          <w:color w:val="000000"/>
          <w:lang w:eastAsia="es-MX"/>
        </w:rPr>
      </w:pPr>
    </w:p>
    <w:p w14:paraId="05658FC4" w14:textId="77777777" w:rsidR="00866A51" w:rsidRDefault="00866A51" w:rsidP="00866A51">
      <w:pPr>
        <w:pStyle w:val="Prrafodelista"/>
        <w:numPr>
          <w:ilvl w:val="0"/>
          <w:numId w:val="31"/>
        </w:numPr>
        <w:spacing w:line="360" w:lineRule="auto"/>
        <w:contextualSpacing w:val="0"/>
        <w:jc w:val="both"/>
        <w:rPr>
          <w:rFonts w:ascii="Palatino Linotype" w:hAnsi="Palatino Linotype" w:cs="Arial"/>
          <w:bCs/>
          <w:noProof/>
          <w:color w:val="000000"/>
          <w:lang w:eastAsia="es-MX"/>
        </w:rPr>
      </w:pPr>
      <w:r>
        <w:rPr>
          <w:rFonts w:ascii="Palatino Linotype" w:hAnsi="Palatino Linotype" w:cs="Arial"/>
          <w:noProof/>
          <w:color w:val="000000"/>
          <w:lang w:eastAsia="es-MX"/>
        </w:rPr>
        <w:t xml:space="preserve">Acuerdo que emita el Comité de Transparencia por el cual se clasifique como reservado </w:t>
      </w:r>
      <w:r>
        <w:rPr>
          <w:rFonts w:ascii="Palatino Linotype" w:hAnsi="Palatino Linotype" w:cs="Arial"/>
          <w:noProof/>
          <w:color w:val="000000"/>
          <w:highlight w:val="yellow"/>
          <w:lang w:eastAsia="es-MX"/>
        </w:rPr>
        <w:t>el listado del personal de seguridad pública</w:t>
      </w:r>
      <w:r>
        <w:rPr>
          <w:rFonts w:ascii="Palatino Linotype" w:hAnsi="Palatino Linotype" w:cs="Arial"/>
          <w:noProof/>
          <w:color w:val="000000"/>
          <w:lang w:eastAsia="es-MX"/>
        </w:rPr>
        <w:t xml:space="preserve"> </w:t>
      </w:r>
      <w:r>
        <w:rPr>
          <w:rFonts w:ascii="Palatino Linotype" w:hAnsi="Palatino Linotype" w:cs="Arial"/>
          <w:bCs/>
          <w:noProof/>
          <w:color w:val="000000"/>
          <w:lang w:eastAsia="es-MX"/>
        </w:rPr>
        <w:t xml:space="preserve">que cuenta con permiso de portación de armas proporcionado por la SEDENA, </w:t>
      </w:r>
      <w:r>
        <w:rPr>
          <w:rFonts w:ascii="Palatino Linotype" w:hAnsi="Palatino Linotype" w:cs="Arial"/>
          <w:noProof/>
          <w:color w:val="000000"/>
          <w:lang w:eastAsia="es-MX"/>
        </w:rPr>
        <w:t xml:space="preserve"> al seis de junio de dos mil veintidós. </w:t>
      </w:r>
    </w:p>
    <w:p w14:paraId="5C900771" w14:textId="77777777" w:rsidR="00866A51" w:rsidRDefault="00866A51" w:rsidP="00866A51">
      <w:pPr>
        <w:pStyle w:val="Prrafodelista"/>
        <w:spacing w:line="360" w:lineRule="auto"/>
        <w:ind w:left="782"/>
        <w:jc w:val="both"/>
        <w:rPr>
          <w:rFonts w:ascii="Palatino Linotype" w:hAnsi="Palatino Linotype" w:cs="Arial"/>
          <w:highlight w:val="yellow"/>
          <w:lang w:val="es-MX"/>
        </w:rPr>
      </w:pPr>
    </w:p>
    <w:p w14:paraId="553842E5" w14:textId="44D468FD" w:rsidR="00866A51" w:rsidRDefault="00866A51" w:rsidP="00866A51">
      <w:pPr>
        <w:pStyle w:val="Sinespaciado"/>
        <w:spacing w:line="360" w:lineRule="auto"/>
        <w:jc w:val="both"/>
        <w:rPr>
          <w:rFonts w:ascii="Palatino Linotype" w:hAnsi="Palatino Linotype"/>
          <w:highlight w:val="yellow"/>
        </w:rPr>
      </w:pPr>
      <w:r>
        <w:rPr>
          <w:rFonts w:ascii="Palatino Linotype" w:hAnsi="Palatino Linotype"/>
          <w:highlight w:val="yellow"/>
        </w:rPr>
        <w:t xml:space="preserve">Se indica que una vez hecho el análisis de la información solicitada por el hoy recurrente, se considera que, la entrega de la misma </w:t>
      </w:r>
      <w:r>
        <w:rPr>
          <w:rFonts w:ascii="Palatino Linotype" w:hAnsi="Palatino Linotype"/>
          <w:b/>
          <w:bCs/>
          <w:highlight w:val="yellow"/>
          <w:u w:val="single"/>
        </w:rPr>
        <w:t>compromete la seguridad pública</w:t>
      </w:r>
      <w:r>
        <w:rPr>
          <w:rFonts w:ascii="Palatino Linotype" w:hAnsi="Palatino Linotype"/>
          <w:highlight w:val="yellow"/>
        </w:rPr>
        <w:t xml:space="preserve">, además de que pone en </w:t>
      </w:r>
      <w:r>
        <w:rPr>
          <w:rFonts w:ascii="Palatino Linotype" w:hAnsi="Palatino Linotype"/>
          <w:b/>
          <w:highlight w:val="yellow"/>
          <w:u w:val="single"/>
        </w:rPr>
        <w:t>riesgo la vida, la seguridad o la salud de una persona física</w:t>
      </w:r>
      <w:r>
        <w:rPr>
          <w:rFonts w:ascii="Palatino Linotype" w:hAnsi="Palatino Linotype"/>
          <w:highlight w:val="yellow"/>
        </w:rPr>
        <w:t xml:space="preserve">, en los términos de las disposiciones jurídicas aplicables por lo que es correcta su clasificación como información </w:t>
      </w:r>
      <w:r>
        <w:rPr>
          <w:rFonts w:ascii="Palatino Linotype" w:hAnsi="Palatino Linotype"/>
          <w:b/>
          <w:highlight w:val="yellow"/>
        </w:rPr>
        <w:t>RESERVADA</w:t>
      </w:r>
      <w:r>
        <w:rPr>
          <w:rFonts w:ascii="Palatino Linotype" w:hAnsi="Palatino Linotype"/>
          <w:highlight w:val="yellow"/>
        </w:rPr>
        <w:t>, de acuerdo a lo establecido en los artículos 91 y 140, fracciones I, y IV, de la Ley de Transparencia Estatal.</w:t>
      </w:r>
    </w:p>
    <w:p w14:paraId="0B8BA547" w14:textId="77777777" w:rsidR="00866A51" w:rsidRPr="00866A51" w:rsidRDefault="00866A51" w:rsidP="00866A51">
      <w:pPr>
        <w:pStyle w:val="Prrafodelista"/>
        <w:spacing w:line="360" w:lineRule="auto"/>
        <w:ind w:left="782"/>
        <w:jc w:val="both"/>
        <w:rPr>
          <w:rFonts w:ascii="Palatino Linotype" w:hAnsi="Palatino Linotype" w:cs="Arial"/>
          <w:highlight w:val="yellow"/>
          <w:lang w:val="es-MX"/>
        </w:rPr>
      </w:pPr>
    </w:p>
    <w:p w14:paraId="6188A16A" w14:textId="5CDB85BB" w:rsidR="00866A51" w:rsidRDefault="00866A51" w:rsidP="00866A51">
      <w:pPr>
        <w:spacing w:line="360" w:lineRule="auto"/>
        <w:jc w:val="both"/>
        <w:rPr>
          <w:rFonts w:ascii="Palatino Linotype" w:hAnsi="Palatino Linotype"/>
          <w:lang w:eastAsia="es-MX"/>
        </w:rPr>
      </w:pPr>
      <w:r w:rsidRPr="00866A51">
        <w:rPr>
          <w:rFonts w:ascii="Palatino Linotype" w:hAnsi="Palatino Linotype" w:cs="Arial"/>
          <w:highlight w:val="yellow"/>
        </w:rPr>
        <w:t>Atento a lo anterior,</w:t>
      </w:r>
      <w:r w:rsidR="006E55AF">
        <w:rPr>
          <w:rFonts w:ascii="Palatino Linotype" w:hAnsi="Palatino Linotype" w:cs="Arial"/>
          <w:highlight w:val="yellow"/>
        </w:rPr>
        <w:t xml:space="preserve"> refiere que </w:t>
      </w:r>
      <w:r w:rsidRPr="00866A51">
        <w:rPr>
          <w:rFonts w:ascii="Palatino Linotype" w:hAnsi="Palatino Linotype" w:cs="Arial"/>
          <w:highlight w:val="yellow"/>
        </w:rPr>
        <w:t xml:space="preserve"> el </w:t>
      </w:r>
      <w:r w:rsidRPr="00866A51">
        <w:rPr>
          <w:rFonts w:ascii="Palatino Linotype" w:hAnsi="Palatino Linotype" w:cs="Arial"/>
          <w:b/>
          <w:highlight w:val="yellow"/>
        </w:rPr>
        <w:t>Sujeto Obligado</w:t>
      </w:r>
      <w:r w:rsidRPr="00866A51">
        <w:rPr>
          <w:rFonts w:ascii="Palatino Linotype" w:hAnsi="Palatino Linotype" w:cs="Arial"/>
          <w:highlight w:val="yellow"/>
        </w:rPr>
        <w:t xml:space="preserve">, deberá realizar la prueba de daño y precisar las razones por las cuales la apertura de la información generaría una afectación, para ello referir que su divulgación representa un riesgo real, demostrable e identificable, además establecer que el perjuicio supera de momento el interés público general que pudiera existir sobre la información requerida; pues, podría obstruir las actividades de investigación desempeñadas por la </w:t>
      </w:r>
      <w:r w:rsidRPr="00866A51">
        <w:rPr>
          <w:rFonts w:ascii="Palatino Linotype" w:hAnsi="Palatino Linotype"/>
          <w:highlight w:val="yellow"/>
          <w:lang w:eastAsia="es-MX"/>
        </w:rPr>
        <w:t>Dirección General de Seguridad y Protección, riesgo la vida, la seguridad o la salud de una persona física, así como causar daño u obstruya la prevención o persecución de los delitos, altere el proceso de investigación de las carpetas de investigación, afecte o vulnere la conducción o los derechos del debido proceso en los procedimientos judiciales.</w:t>
      </w:r>
      <w:r w:rsidRPr="00866A51">
        <w:rPr>
          <w:rFonts w:ascii="Palatino Linotype" w:hAnsi="Palatino Linotype"/>
          <w:lang w:eastAsia="es-MX"/>
        </w:rPr>
        <w:t xml:space="preserve"> </w:t>
      </w:r>
    </w:p>
    <w:p w14:paraId="4E952EF7" w14:textId="77777777" w:rsidR="00866A51" w:rsidRDefault="00866A51" w:rsidP="00866A51">
      <w:pPr>
        <w:spacing w:line="360" w:lineRule="auto"/>
        <w:jc w:val="both"/>
        <w:rPr>
          <w:rFonts w:ascii="Palatino Linotype" w:hAnsi="Palatino Linotype"/>
          <w:lang w:eastAsia="es-MX"/>
        </w:rPr>
      </w:pPr>
    </w:p>
    <w:p w14:paraId="65013150" w14:textId="43A628EC" w:rsidR="00866A51" w:rsidRDefault="00866A51" w:rsidP="00866A51">
      <w:pPr>
        <w:spacing w:line="360" w:lineRule="auto"/>
        <w:jc w:val="both"/>
        <w:rPr>
          <w:rFonts w:ascii="Palatino Linotype" w:hAnsi="Palatino Linotype" w:cs="Tahoma"/>
        </w:rPr>
      </w:pPr>
      <w:r w:rsidRPr="006E55AF">
        <w:rPr>
          <w:rFonts w:ascii="Palatino Linotype" w:hAnsi="Palatino Linotype" w:cs="Tahoma"/>
        </w:rPr>
        <w:t>Criterio que no se comparte,  ya que para portar un arma de fuego deben satisfacerse los requisitos específicos de selección, ingreso, formación, actualización, capacitación, evaluación, reconocimiento, certificación y registro de éstos, esto es debe existir un estricto control para el uso de armas de fuego, a fin  de reducir cualquier menoscabo o transgresión; y evitar poner en peligro la integridad física e incluso la vida de los habitantes, al permitir que servidores públicos ejerzan funciones de seguridad pública sin reunir el perfil y capacitación requerido en la norma, por tanto debió únicamente clasificarse el nombre del personal operativo.</w:t>
      </w:r>
    </w:p>
    <w:p w14:paraId="00033281" w14:textId="77777777" w:rsidR="006E55AF" w:rsidRPr="006E55AF" w:rsidRDefault="006E55AF" w:rsidP="00866A51">
      <w:pPr>
        <w:spacing w:line="360" w:lineRule="auto"/>
        <w:jc w:val="both"/>
        <w:rPr>
          <w:rFonts w:ascii="Palatino Linotype" w:hAnsi="Palatino Linotype" w:cs="Tahoma"/>
        </w:rPr>
      </w:pPr>
    </w:p>
    <w:p w14:paraId="32468EFF"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 xml:space="preserve">La seguridad pública es un derecho que debe brindar el Estado para el libre ejercicio de las prerrogativas humanas, máxime cuando el municipio es el primer contacto con la sociedad. Así, es exigible que la seguridad municipal tenga como objetivos prioritarios, salvaguardar la integridad personal, disminuir los factores de riesgo ligados a la criminalidad, fortalecer la estructura social, crear las condiciones necesarias para contrarrestar las causas del delito y construir corporaciones policiacas profesionales y capacitadas. </w:t>
      </w:r>
    </w:p>
    <w:p w14:paraId="57E89BD6" w14:textId="77777777" w:rsidR="00866A51" w:rsidRDefault="00866A51" w:rsidP="00866A51">
      <w:pPr>
        <w:pStyle w:val="Prrafodelista"/>
        <w:spacing w:line="360" w:lineRule="auto"/>
        <w:ind w:left="0"/>
        <w:jc w:val="both"/>
        <w:rPr>
          <w:rFonts w:ascii="Palatino Linotype" w:hAnsi="Palatino Linotype" w:cs="Tahoma"/>
        </w:rPr>
      </w:pPr>
    </w:p>
    <w:p w14:paraId="11AF3A5C"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 xml:space="preserve">Lo anterior, ya que la seguridad y paz pública se complementan con una tutela efectiva de los derechos humanos, como principal función y justificación de la actividad policial, lo que exige que durante el ejercicio de sus atribuciones no se quebrante ni vulnere su irrestricto respeto. </w:t>
      </w:r>
    </w:p>
    <w:p w14:paraId="0A5E9831" w14:textId="77777777" w:rsidR="00866A51" w:rsidRDefault="00866A51" w:rsidP="00866A51">
      <w:pPr>
        <w:pStyle w:val="Prrafodelista"/>
        <w:spacing w:line="360" w:lineRule="auto"/>
        <w:ind w:left="0"/>
        <w:jc w:val="both"/>
        <w:rPr>
          <w:rFonts w:ascii="Palatino Linotype" w:hAnsi="Palatino Linotype" w:cs="Tahoma"/>
        </w:rPr>
      </w:pPr>
    </w:p>
    <w:p w14:paraId="6A014F30"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 xml:space="preserve">Los artículos 21 de la Constitución Política de los Estados Unidos Mexicanos y 86 de la Constitución Política del Estado Libre y Soberano de México, depositan esta función en la federación, las entidades federativas y los municipios, misma que comprenderá la prevención de los delitos; la investigación y persecución para hacerla efectiva, así como la sanción de las infracciones administrativas, en los términos de la ley, en las respectivas competencias. </w:t>
      </w:r>
    </w:p>
    <w:p w14:paraId="4F47D7E7" w14:textId="77777777" w:rsidR="00866A51" w:rsidRDefault="00866A51" w:rsidP="00866A51">
      <w:pPr>
        <w:pStyle w:val="Prrafodelista"/>
        <w:spacing w:line="360" w:lineRule="auto"/>
        <w:ind w:left="0"/>
        <w:jc w:val="both"/>
        <w:rPr>
          <w:rFonts w:ascii="Palatino Linotype" w:hAnsi="Palatino Linotype" w:cs="Tahoma"/>
        </w:rPr>
      </w:pPr>
    </w:p>
    <w:p w14:paraId="12328F3D"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 xml:space="preserve">El artículo 115 de la Constitución Política de los Estados Unidos Mexicanos, en su fracción III, inciso h), instituye que los municipios tendrán a su cargo las funciones y servicios públicos de seguridad pública. </w:t>
      </w:r>
    </w:p>
    <w:p w14:paraId="38ADD43A" w14:textId="77777777" w:rsidR="00866A51" w:rsidRDefault="00866A51" w:rsidP="00866A51">
      <w:pPr>
        <w:pStyle w:val="Prrafodelista"/>
        <w:spacing w:line="360" w:lineRule="auto"/>
        <w:ind w:left="0"/>
        <w:jc w:val="both"/>
        <w:rPr>
          <w:rFonts w:ascii="Palatino Linotype" w:hAnsi="Palatino Linotype" w:cs="Tahoma"/>
        </w:rPr>
      </w:pPr>
    </w:p>
    <w:p w14:paraId="7FB39054"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 xml:space="preserve">En todos los ámbitos, se establece que la actuación de las instituciones de seguridad pública se regirá por los principios de legalidad, objetividad, eficiencia, profesionalismo, honradez y respeto a los derechos humanos reconocidos en el marco jurídico. </w:t>
      </w:r>
    </w:p>
    <w:p w14:paraId="26B4EFDC" w14:textId="77777777" w:rsidR="00866A51" w:rsidRDefault="00866A51" w:rsidP="00866A51">
      <w:pPr>
        <w:pStyle w:val="Prrafodelista"/>
        <w:spacing w:line="360" w:lineRule="auto"/>
        <w:ind w:left="0"/>
        <w:jc w:val="both"/>
        <w:rPr>
          <w:rFonts w:ascii="Palatino Linotype" w:hAnsi="Palatino Linotype" w:cs="Tahoma"/>
        </w:rPr>
      </w:pPr>
    </w:p>
    <w:p w14:paraId="0662A2D1"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 xml:space="preserve">Lo anterior en conexidad con el artículo 40 de la Ley General del Sistema Nacional de Seguridad Pública, que instituye que con el objeto de garantizar el cumplimiento de los principios constitucionales, los integrantes de las instituciones de seguridad pública deben conducirse con dedicación y disciplina, con apego al orden jurídico y respeto a las prerrogativas fundamentales. </w:t>
      </w:r>
    </w:p>
    <w:p w14:paraId="110CE1E1" w14:textId="77777777" w:rsidR="00866A51" w:rsidRDefault="00866A51" w:rsidP="00866A51">
      <w:pPr>
        <w:pStyle w:val="Prrafodelista"/>
        <w:spacing w:line="360" w:lineRule="auto"/>
        <w:ind w:left="0"/>
        <w:jc w:val="both"/>
        <w:rPr>
          <w:rFonts w:ascii="Palatino Linotype" w:hAnsi="Palatino Linotype" w:cs="Tahoma"/>
        </w:rPr>
      </w:pPr>
    </w:p>
    <w:p w14:paraId="36421FD3"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 xml:space="preserve">Bajo ese criterio, a la policía le corresponde actuar con eficiencia, eficacia y plena determinación para lograr una sociedad en la que se haga válido el Estado de Derecho, por lo que el respeto a la ley constituye un basamento angular para un pleno desarrollo, lo que además comprende que cuando se viole el marco normativo, exista una actuación diligente del Estado en el combate a la inseguridad. </w:t>
      </w:r>
    </w:p>
    <w:p w14:paraId="21CBA624" w14:textId="77777777" w:rsidR="00866A51" w:rsidRDefault="00866A51" w:rsidP="00866A51">
      <w:pPr>
        <w:pStyle w:val="Prrafodelista"/>
        <w:spacing w:line="360" w:lineRule="auto"/>
        <w:ind w:left="0"/>
        <w:jc w:val="both"/>
        <w:rPr>
          <w:rFonts w:ascii="Palatino Linotype" w:hAnsi="Palatino Linotype" w:cs="Tahoma"/>
        </w:rPr>
      </w:pPr>
    </w:p>
    <w:p w14:paraId="6435026A" w14:textId="77777777" w:rsidR="00866A51" w:rsidRDefault="00866A51" w:rsidP="00866A51">
      <w:pPr>
        <w:pStyle w:val="Prrafodelista"/>
        <w:spacing w:line="360" w:lineRule="auto"/>
        <w:ind w:left="0"/>
        <w:jc w:val="both"/>
        <w:rPr>
          <w:rFonts w:ascii="Palatino Linotype" w:hAnsi="Palatino Linotype" w:cs="Tahoma"/>
        </w:rPr>
      </w:pPr>
      <w:bookmarkStart w:id="2" w:name="_Toc88136406"/>
      <w:r>
        <w:rPr>
          <w:rFonts w:ascii="Palatino Linotype" w:hAnsi="Palatino Linotype" w:cs="Tahoma"/>
        </w:rPr>
        <w:t xml:space="preserve">Al respecto, los artículos 125 y 127 de la Ley General del Sistema Nacional de Seguridad Pública establecen: </w:t>
      </w:r>
    </w:p>
    <w:p w14:paraId="60AA8123" w14:textId="77777777" w:rsidR="00866A51" w:rsidRDefault="00866A51" w:rsidP="00866A51">
      <w:pPr>
        <w:pStyle w:val="Prrafodelista"/>
        <w:spacing w:line="360" w:lineRule="auto"/>
        <w:ind w:left="0"/>
        <w:jc w:val="both"/>
        <w:rPr>
          <w:rFonts w:ascii="Palatino Linotype" w:hAnsi="Palatino Linotype" w:cs="Tahoma"/>
        </w:rPr>
      </w:pPr>
    </w:p>
    <w:p w14:paraId="0828F362" w14:textId="77777777" w:rsidR="00866A51" w:rsidRDefault="00866A51" w:rsidP="00866A51">
      <w:pPr>
        <w:pStyle w:val="Prrafodelista"/>
        <w:spacing w:line="360" w:lineRule="auto"/>
        <w:ind w:left="1134"/>
        <w:jc w:val="both"/>
        <w:rPr>
          <w:rFonts w:ascii="Palatino Linotype" w:hAnsi="Palatino Linotype" w:cs="Tahoma"/>
        </w:rPr>
      </w:pPr>
      <w:r>
        <w:rPr>
          <w:rFonts w:ascii="Palatino Linotype" w:hAnsi="Palatino Linotype" w:cs="Tahoma"/>
        </w:rPr>
        <w:t xml:space="preserve">Artículo 125.- Cualquier persona que ejerza funciones de Seguridad Pública, sólo podrá portar las armas de cargo que le hayan sido autorizadas individualmente o aquellas que se le hubiesen asignado en lo particular y que estén registradas colectivamente para la Institución de Seguridad Pública a que pertenezca, de conformidad con la Ley Federal de Armas de Fuego y Explosivos. </w:t>
      </w:r>
    </w:p>
    <w:p w14:paraId="260DBE03" w14:textId="77777777" w:rsidR="00866A51" w:rsidRDefault="00866A51" w:rsidP="00866A51">
      <w:pPr>
        <w:pStyle w:val="Prrafodelista"/>
        <w:spacing w:line="360" w:lineRule="auto"/>
        <w:ind w:left="1134"/>
        <w:jc w:val="both"/>
        <w:rPr>
          <w:rFonts w:ascii="Palatino Linotype" w:hAnsi="Palatino Linotype" w:cs="Tahoma"/>
        </w:rPr>
      </w:pPr>
    </w:p>
    <w:p w14:paraId="783F3089" w14:textId="77777777" w:rsidR="00866A51" w:rsidRDefault="00866A51" w:rsidP="00866A51">
      <w:pPr>
        <w:pStyle w:val="Prrafodelista"/>
        <w:spacing w:line="360" w:lineRule="auto"/>
        <w:ind w:left="1134"/>
        <w:jc w:val="both"/>
        <w:rPr>
          <w:rFonts w:ascii="Palatino Linotype" w:hAnsi="Palatino Linotype" w:cs="Tahoma"/>
        </w:rPr>
      </w:pPr>
      <w:r>
        <w:rPr>
          <w:rFonts w:ascii="Palatino Linotype" w:hAnsi="Palatino Linotype" w:cs="Tahoma"/>
        </w:rPr>
        <w:t xml:space="preserve">Las instituciones de Seguridad Pública mantendrán un registro de los elementos de identificación de huella balística de las armas asignadas a los servidores públicos que las integran. Dicha huella deberá registrarse en el Sistema Nacional de Información. </w:t>
      </w:r>
    </w:p>
    <w:p w14:paraId="2B35E17F" w14:textId="77777777" w:rsidR="00866A51" w:rsidRDefault="00866A51" w:rsidP="00866A51">
      <w:pPr>
        <w:pStyle w:val="Prrafodelista"/>
        <w:spacing w:line="360" w:lineRule="auto"/>
        <w:ind w:left="1134"/>
        <w:jc w:val="both"/>
        <w:rPr>
          <w:rFonts w:ascii="Palatino Linotype" w:hAnsi="Palatino Linotype" w:cs="Tahoma"/>
        </w:rPr>
      </w:pPr>
    </w:p>
    <w:p w14:paraId="4D188400" w14:textId="77777777" w:rsidR="00866A51" w:rsidRDefault="00866A51" w:rsidP="00866A51">
      <w:pPr>
        <w:pStyle w:val="Prrafodelista"/>
        <w:spacing w:line="360" w:lineRule="auto"/>
        <w:ind w:left="1134"/>
        <w:jc w:val="both"/>
        <w:rPr>
          <w:rFonts w:ascii="Palatino Linotype" w:hAnsi="Palatino Linotype" w:cs="Tahoma"/>
        </w:rPr>
      </w:pPr>
      <w:r>
        <w:rPr>
          <w:rFonts w:ascii="Palatino Linotype" w:hAnsi="Palatino Linotype" w:cs="Tahoma"/>
        </w:rPr>
        <w:t>Artículo 127.- El incumplimiento de las disposiciones de esta sección, dará lugar a que la portación o posesión de armas se considere ilegal y sea sancionada en los términos de las normas aplicables.</w:t>
      </w:r>
    </w:p>
    <w:p w14:paraId="408CDD0D" w14:textId="77777777" w:rsidR="00866A51" w:rsidRDefault="00866A51" w:rsidP="00866A51">
      <w:pPr>
        <w:pStyle w:val="Prrafodelista"/>
        <w:spacing w:line="360" w:lineRule="auto"/>
        <w:ind w:left="1134"/>
        <w:jc w:val="both"/>
        <w:rPr>
          <w:rFonts w:ascii="Palatino Linotype" w:hAnsi="Palatino Linotype" w:cs="Tahoma"/>
        </w:rPr>
      </w:pPr>
    </w:p>
    <w:p w14:paraId="77090885"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 xml:space="preserve">En consonancia, el similar 69 de la Ley de Seguridad del Estado de México señala: </w:t>
      </w:r>
    </w:p>
    <w:p w14:paraId="3098DD7D" w14:textId="77777777" w:rsidR="00866A51" w:rsidRDefault="00866A51" w:rsidP="00866A51">
      <w:pPr>
        <w:pStyle w:val="Prrafodelista"/>
        <w:spacing w:line="360" w:lineRule="auto"/>
        <w:ind w:left="0"/>
        <w:jc w:val="both"/>
        <w:rPr>
          <w:rFonts w:ascii="Palatino Linotype" w:hAnsi="Palatino Linotype" w:cs="Tahoma"/>
        </w:rPr>
      </w:pPr>
    </w:p>
    <w:p w14:paraId="7375D1F5" w14:textId="77777777" w:rsidR="00866A51" w:rsidRDefault="00866A51" w:rsidP="00866A51">
      <w:pPr>
        <w:pStyle w:val="Prrafodelista"/>
        <w:spacing w:line="360" w:lineRule="auto"/>
        <w:ind w:left="1134"/>
        <w:jc w:val="both"/>
        <w:rPr>
          <w:rFonts w:ascii="Palatino Linotype" w:hAnsi="Palatino Linotype" w:cs="Tahoma"/>
        </w:rPr>
      </w:pPr>
      <w:r>
        <w:rPr>
          <w:rFonts w:ascii="Palatino Linotype" w:hAnsi="Palatino Linotype" w:cs="Tahoma"/>
        </w:rPr>
        <w:t>Artículo 69. Los servidores públicos de las Instituciones de Seguridad Pública, sólo podrán portar las armas de cargo que les hayan sido asignadas individualmente o aquellas que se les asignen en casos especiales y que estén registradas colectivamente para la Institución de Seguridad Pública a que pertenezcan, de conformidad con la Ley Federal de Armas de Fuego y Explosivos.</w:t>
      </w:r>
    </w:p>
    <w:p w14:paraId="0A04A423" w14:textId="77777777" w:rsidR="00866A51" w:rsidRDefault="00866A51" w:rsidP="00866A51">
      <w:pPr>
        <w:pStyle w:val="Prrafodelista"/>
        <w:spacing w:line="360" w:lineRule="auto"/>
        <w:ind w:left="1134"/>
        <w:jc w:val="both"/>
        <w:rPr>
          <w:rFonts w:ascii="Palatino Linotype" w:hAnsi="Palatino Linotype" w:cs="Tahoma"/>
        </w:rPr>
      </w:pPr>
      <w:r>
        <w:rPr>
          <w:rFonts w:ascii="Palatino Linotype" w:hAnsi="Palatino Linotype" w:cs="Tahoma"/>
        </w:rPr>
        <w:t xml:space="preserve"> </w:t>
      </w:r>
    </w:p>
    <w:p w14:paraId="6F197734" w14:textId="77777777" w:rsidR="00866A51" w:rsidRDefault="00866A51" w:rsidP="00866A51">
      <w:pPr>
        <w:pStyle w:val="Prrafodelista"/>
        <w:spacing w:line="360" w:lineRule="auto"/>
        <w:ind w:left="1134"/>
        <w:jc w:val="both"/>
        <w:rPr>
          <w:rFonts w:ascii="Palatino Linotype" w:hAnsi="Palatino Linotype" w:cs="Tahoma"/>
        </w:rPr>
      </w:pPr>
      <w:r>
        <w:rPr>
          <w:rFonts w:ascii="Palatino Linotype" w:hAnsi="Palatino Linotype" w:cs="Tahoma"/>
        </w:rPr>
        <w:t>El incumplimiento de lo dispuesto en el párrafo anterior, dará lugar a que la portación o posesión de armas se considere ilegal y sea sancionada en los términos de las normas aplicables.</w:t>
      </w:r>
    </w:p>
    <w:p w14:paraId="3EFEF157" w14:textId="77777777" w:rsidR="00866A51" w:rsidRDefault="00866A51" w:rsidP="00866A51">
      <w:pPr>
        <w:pStyle w:val="Prrafodelista"/>
        <w:spacing w:line="360" w:lineRule="auto"/>
        <w:ind w:left="1134"/>
        <w:jc w:val="both"/>
        <w:rPr>
          <w:rFonts w:ascii="Palatino Linotype" w:hAnsi="Palatino Linotype" w:cs="Tahoma"/>
        </w:rPr>
      </w:pPr>
    </w:p>
    <w:p w14:paraId="557D5C5D"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Derivado de ello, se advierte que la intención del legislador fue promover el profesionalismo y capacitación de los elementos de las distintas corporaciones policiacas; de ahí que para portar un arma de fuego deben satisfacerse los requisitos específicos de selección, ingreso, formación, actualización, capacitación, evaluación, reconocimiento, certificación y registro de éstos en su función pública que contempla la normativa vigente. Lo anterior, apunta a elementos futuros; ergo, para que un miembro de una institución policial pueda mantenerse en su cargo, a través de los procedimientos y mecanismos idóneos compatibles con la dignidad humana; pero sobre todo, los concernientes a las funciones estrechamente relacionadas con el uso de la fuerza y las armas de fuego.</w:t>
      </w:r>
    </w:p>
    <w:p w14:paraId="454D39BF" w14:textId="77777777" w:rsidR="00866A51" w:rsidRDefault="00866A51" w:rsidP="00866A51">
      <w:pPr>
        <w:pStyle w:val="Prrafodelista"/>
        <w:spacing w:line="360" w:lineRule="auto"/>
        <w:ind w:left="0"/>
        <w:jc w:val="both"/>
        <w:rPr>
          <w:rFonts w:ascii="Palatino Linotype" w:hAnsi="Palatino Linotype" w:cs="Tahoma"/>
        </w:rPr>
      </w:pPr>
    </w:p>
    <w:p w14:paraId="3EAD25AF"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 xml:space="preserve">En consecuencia, garantizar la seguridad pública conlleva un actuar de forma profesional y responsable; por lo que los municipios deben abstenerse de cualquier acto susceptible de mermar la respetabilidad de la propia actividad de seguridad pública, es decir, asegurar un óptimo desempeño de su corporación policiaca, siguiendo los principios de imparcialidad, probidad, profesionalismo, honestidad, eficiencia, lealtad, que deben regir este derecho fundamental. </w:t>
      </w:r>
    </w:p>
    <w:p w14:paraId="138B877D" w14:textId="77777777" w:rsidR="00866A51" w:rsidRDefault="00866A51" w:rsidP="00866A51">
      <w:pPr>
        <w:pStyle w:val="Prrafodelista"/>
        <w:spacing w:line="360" w:lineRule="auto"/>
        <w:ind w:left="0"/>
        <w:jc w:val="both"/>
        <w:rPr>
          <w:rFonts w:ascii="Palatino Linotype" w:hAnsi="Palatino Linotype" w:cs="Tahoma"/>
        </w:rPr>
      </w:pPr>
    </w:p>
    <w:p w14:paraId="6AD982E0" w14:textId="77777777" w:rsidR="00866A51" w:rsidRDefault="00866A51" w:rsidP="00866A51">
      <w:pPr>
        <w:pStyle w:val="Prrafodelista"/>
        <w:spacing w:line="360" w:lineRule="auto"/>
        <w:ind w:left="0"/>
        <w:jc w:val="both"/>
        <w:rPr>
          <w:rFonts w:ascii="Palatino Linotype" w:hAnsi="Palatino Linotype" w:cs="Tahoma"/>
        </w:rPr>
      </w:pPr>
      <w:r>
        <w:rPr>
          <w:rFonts w:ascii="Palatino Linotype" w:hAnsi="Palatino Linotype" w:cs="Tahoma"/>
        </w:rPr>
        <w:t>Asimismo, están obligados a cumplir lo preceptuado en los Principios Básicos sobre el Empleo de la Fuerza y de Armas de Fuego por los Funcionarios encargados de hacer cumplir la Ley</w:t>
      </w:r>
      <w:r>
        <w:rPr>
          <w:rFonts w:ascii="Palatino Linotype" w:hAnsi="Palatino Linotype" w:cs="Tahoma"/>
          <w:sz w:val="14"/>
          <w:szCs w:val="14"/>
        </w:rPr>
        <w:footnoteReference w:id="1"/>
      </w:r>
      <w:r>
        <w:rPr>
          <w:rFonts w:ascii="Palatino Linotype" w:hAnsi="Palatino Linotype" w:cs="Tahoma"/>
        </w:rPr>
        <w:t xml:space="preserve">, que en su texto al hablar de calificación, capacitación y asesoramiento reproducen lo siguiente: </w:t>
      </w:r>
    </w:p>
    <w:p w14:paraId="357EBB9E" w14:textId="77777777" w:rsidR="00866A51" w:rsidRDefault="00866A51" w:rsidP="00866A51">
      <w:pPr>
        <w:pStyle w:val="Prrafodelista"/>
        <w:spacing w:line="360" w:lineRule="auto"/>
        <w:ind w:left="0"/>
        <w:jc w:val="both"/>
        <w:rPr>
          <w:rFonts w:ascii="Palatino Linotype" w:hAnsi="Palatino Linotype" w:cs="Tahoma"/>
        </w:rPr>
      </w:pPr>
    </w:p>
    <w:p w14:paraId="59F07A22" w14:textId="77777777" w:rsidR="00866A51" w:rsidRDefault="00866A51" w:rsidP="00866A51">
      <w:pPr>
        <w:pStyle w:val="Prrafodelista"/>
        <w:spacing w:line="360" w:lineRule="auto"/>
        <w:ind w:left="1418"/>
        <w:jc w:val="both"/>
        <w:rPr>
          <w:rFonts w:ascii="Palatino Linotype" w:hAnsi="Palatino Linotype" w:cs="Tahoma"/>
        </w:rPr>
      </w:pPr>
      <w:r>
        <w:rPr>
          <w:rFonts w:ascii="Palatino Linotype" w:hAnsi="Palatino Linotype" w:cs="Tahoma"/>
        </w:rPr>
        <w:t xml:space="preserve">[…] Los gobiernos y los organismos encargados de hacer cumplir la ley procurarán que todos los funcionarios encargados de hacer cumplir la ley sean seleccionados mediante procedimientos adecuados, posean aptitudes éticas, psicológicas y físicas apropiadas para el ejercicio eficaz de sus funciones y reciban capacitación profesional continua y completa […] </w:t>
      </w:r>
    </w:p>
    <w:p w14:paraId="798A4D1B" w14:textId="77777777" w:rsidR="00866A51" w:rsidRDefault="00866A51" w:rsidP="00866A51">
      <w:pPr>
        <w:pStyle w:val="Prrafodelista"/>
        <w:spacing w:line="360" w:lineRule="auto"/>
        <w:ind w:left="1418"/>
        <w:jc w:val="both"/>
        <w:rPr>
          <w:rFonts w:ascii="Palatino Linotype" w:hAnsi="Palatino Linotype" w:cs="Tahoma"/>
        </w:rPr>
      </w:pPr>
    </w:p>
    <w:p w14:paraId="49BCEE15" w14:textId="77777777" w:rsidR="00866A51" w:rsidRDefault="00866A51" w:rsidP="00866A51">
      <w:pPr>
        <w:pStyle w:val="Prrafodelista"/>
        <w:spacing w:line="360" w:lineRule="auto"/>
        <w:ind w:left="1418"/>
        <w:jc w:val="both"/>
        <w:rPr>
          <w:rFonts w:ascii="Palatino Linotype" w:hAnsi="Palatino Linotype" w:cs="Tahoma"/>
        </w:rPr>
      </w:pPr>
      <w:r>
        <w:rPr>
          <w:rFonts w:ascii="Palatino Linotype" w:hAnsi="Palatino Linotype" w:cs="Tahoma"/>
        </w:rPr>
        <w:t xml:space="preserve">[…] Los gobiernos y los organismos encargados de hacer cumplir la ley procurarán que todos los funcionarios encargados de hacer cumplir la ley reciban capacitación en el empleo de la fuerza […] los funcionarios que deban portar armas de fuego deben estar autorizados para hacerlo sólo tras haber finalizado la capacitación especializada en su empleo. </w:t>
      </w:r>
    </w:p>
    <w:p w14:paraId="70067D68" w14:textId="77777777" w:rsidR="00866A51" w:rsidRDefault="00866A51" w:rsidP="00866A51">
      <w:pPr>
        <w:spacing w:line="360" w:lineRule="auto"/>
        <w:jc w:val="both"/>
        <w:rPr>
          <w:rFonts w:ascii="Palatino Linotype" w:hAnsi="Palatino Linotype" w:cs="Tahoma"/>
        </w:rPr>
      </w:pPr>
    </w:p>
    <w:p w14:paraId="4406008F" w14:textId="77777777" w:rsidR="00866A51" w:rsidRDefault="00866A51" w:rsidP="00866A51">
      <w:pPr>
        <w:spacing w:line="360" w:lineRule="auto"/>
        <w:jc w:val="both"/>
        <w:rPr>
          <w:rFonts w:ascii="Palatino Linotype" w:hAnsi="Palatino Linotype" w:cs="Tahoma"/>
        </w:rPr>
      </w:pPr>
      <w:r>
        <w:rPr>
          <w:rFonts w:ascii="Palatino Linotype" w:hAnsi="Palatino Linotype" w:cs="Tahoma"/>
        </w:rPr>
        <w:t xml:space="preserve">Asimismo,  las autoridades municipales deben dar cumplimiento a lo establecido  en el acuerdo por el que se establecen los lineamientos para la adquisición, asignación, uso y custodia, portación y baja del armamento incluido en la Licencia Oficial Colectiva Número 139,  específicamente, el punto tercero. </w:t>
      </w:r>
    </w:p>
    <w:p w14:paraId="35503881" w14:textId="77777777" w:rsidR="00866A51" w:rsidRDefault="00866A51" w:rsidP="00866A51">
      <w:pPr>
        <w:spacing w:line="360" w:lineRule="auto"/>
        <w:jc w:val="both"/>
        <w:rPr>
          <w:rFonts w:ascii="Palatino Linotype" w:hAnsi="Palatino Linotype" w:cs="Tahoma"/>
        </w:rPr>
      </w:pPr>
    </w:p>
    <w:p w14:paraId="61947C6F" w14:textId="77777777" w:rsidR="00866A51" w:rsidRDefault="00866A51" w:rsidP="00866A51">
      <w:pPr>
        <w:spacing w:line="360" w:lineRule="auto"/>
        <w:jc w:val="both"/>
        <w:rPr>
          <w:rFonts w:ascii="Palatino Linotype" w:hAnsi="Palatino Linotype" w:cs="Tahoma"/>
        </w:rPr>
      </w:pPr>
    </w:p>
    <w:p w14:paraId="1876AAC8" w14:textId="3DC1864C" w:rsidR="00866A51" w:rsidRDefault="00866A51" w:rsidP="00866A51">
      <w:pPr>
        <w:spacing w:line="360" w:lineRule="auto"/>
        <w:jc w:val="both"/>
        <w:rPr>
          <w:rFonts w:ascii="Palatino Linotype" w:hAnsi="Palatino Linotype" w:cs="Tahoma"/>
        </w:rPr>
      </w:pPr>
      <w:r>
        <w:rPr>
          <w:noProof/>
          <w:lang w:val="es-MX" w:eastAsia="es-MX"/>
        </w:rPr>
        <mc:AlternateContent>
          <mc:Choice Requires="wps">
            <w:drawing>
              <wp:anchor distT="0" distB="0" distL="114300" distR="114300" simplePos="0" relativeHeight="251657216" behindDoc="0" locked="0" layoutInCell="1" allowOverlap="1" wp14:anchorId="5C3021DD" wp14:editId="46C63A90">
                <wp:simplePos x="0" y="0"/>
                <wp:positionH relativeFrom="column">
                  <wp:posOffset>-384810</wp:posOffset>
                </wp:positionH>
                <wp:positionV relativeFrom="paragraph">
                  <wp:posOffset>1929765</wp:posOffset>
                </wp:positionV>
                <wp:extent cx="5762625" cy="5267325"/>
                <wp:effectExtent l="38100" t="38100" r="66675" b="85725"/>
                <wp:wrapNone/>
                <wp:docPr id="6" name="Conector recto 6"/>
                <wp:cNvGraphicFramePr/>
                <a:graphic xmlns:a="http://schemas.openxmlformats.org/drawingml/2006/main">
                  <a:graphicData uri="http://schemas.microsoft.com/office/word/2010/wordprocessingShape">
                    <wps:wsp>
                      <wps:cNvCnPr/>
                      <wps:spPr>
                        <a:xfrm flipV="1">
                          <a:off x="0" y="0"/>
                          <a:ext cx="5762625" cy="5267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0AE108" id="Conector recto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151.95pt" to="423.45pt,5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" strokecolor="#4f81bd [3204]" strokeweight="2pt">
                <v:shadow on="t" color="black" opacity="24903f" origin=",.5" offset="0,.55556mm"/>
              </v:line>
            </w:pict>
          </mc:Fallback>
        </mc:AlternateContent>
      </w:r>
      <w:r>
        <w:rPr>
          <w:rFonts w:ascii="Palatino Linotype" w:hAnsi="Palatino Linotype" w:cs="Tahoma"/>
          <w:noProof/>
          <w:lang w:val="es-MX" w:eastAsia="es-MX"/>
        </w:rPr>
        <w:drawing>
          <wp:inline distT="0" distB="0" distL="0" distR="0" wp14:anchorId="590BC3A8" wp14:editId="54D5055C">
            <wp:extent cx="5391150" cy="190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43021" t="34209" r="27335" b="47168"/>
                    <a:stretch>
                      <a:fillRect/>
                    </a:stretch>
                  </pic:blipFill>
                  <pic:spPr bwMode="auto">
                    <a:xfrm>
                      <a:off x="0" y="0"/>
                      <a:ext cx="5391150" cy="1905000"/>
                    </a:xfrm>
                    <a:prstGeom prst="rect">
                      <a:avLst/>
                    </a:prstGeom>
                    <a:noFill/>
                    <a:ln>
                      <a:noFill/>
                    </a:ln>
                  </pic:spPr>
                </pic:pic>
              </a:graphicData>
            </a:graphic>
          </wp:inline>
        </w:drawing>
      </w:r>
    </w:p>
    <w:p w14:paraId="1B82892F" w14:textId="77777777" w:rsidR="00866A51" w:rsidRDefault="00866A51" w:rsidP="00866A51">
      <w:pPr>
        <w:pStyle w:val="Prrafodelista"/>
        <w:spacing w:line="360" w:lineRule="auto"/>
        <w:ind w:left="0"/>
        <w:jc w:val="both"/>
        <w:rPr>
          <w:rFonts w:ascii="Palatino Linotype" w:hAnsi="Palatino Linotype" w:cs="Tahoma"/>
        </w:rPr>
      </w:pPr>
    </w:p>
    <w:p w14:paraId="79D59155" w14:textId="77777777" w:rsidR="00866A51" w:rsidRDefault="00866A51" w:rsidP="00866A51">
      <w:pPr>
        <w:pStyle w:val="Prrafodelista"/>
        <w:spacing w:line="360" w:lineRule="auto"/>
        <w:ind w:left="0"/>
        <w:jc w:val="both"/>
        <w:rPr>
          <w:rFonts w:ascii="Palatino Linotype" w:hAnsi="Palatino Linotype" w:cs="Tahoma"/>
        </w:rPr>
      </w:pPr>
    </w:p>
    <w:p w14:paraId="1135721A" w14:textId="77777777" w:rsidR="00866A51" w:rsidRDefault="00866A51" w:rsidP="00866A51">
      <w:pPr>
        <w:pStyle w:val="Prrafodelista"/>
        <w:spacing w:line="360" w:lineRule="auto"/>
        <w:ind w:left="0"/>
        <w:jc w:val="both"/>
        <w:rPr>
          <w:rFonts w:ascii="Palatino Linotype" w:hAnsi="Palatino Linotype" w:cs="Tahoma"/>
        </w:rPr>
      </w:pPr>
    </w:p>
    <w:p w14:paraId="4A670B9D" w14:textId="77777777" w:rsidR="00866A51" w:rsidRDefault="00866A51" w:rsidP="00866A51">
      <w:pPr>
        <w:pStyle w:val="Prrafodelista"/>
        <w:spacing w:line="360" w:lineRule="auto"/>
        <w:ind w:left="0"/>
        <w:jc w:val="both"/>
        <w:rPr>
          <w:rFonts w:ascii="Palatino Linotype" w:hAnsi="Palatino Linotype" w:cs="Tahoma"/>
        </w:rPr>
      </w:pPr>
    </w:p>
    <w:p w14:paraId="6E355A67" w14:textId="77777777" w:rsidR="00866A51" w:rsidRDefault="00866A51" w:rsidP="00866A51">
      <w:pPr>
        <w:pStyle w:val="Prrafodelista"/>
        <w:spacing w:line="360" w:lineRule="auto"/>
        <w:ind w:left="0"/>
        <w:jc w:val="both"/>
        <w:rPr>
          <w:rFonts w:ascii="Palatino Linotype" w:hAnsi="Palatino Linotype" w:cs="Tahoma"/>
        </w:rPr>
      </w:pPr>
    </w:p>
    <w:p w14:paraId="0FDA0F7E" w14:textId="77777777" w:rsidR="00866A51" w:rsidRDefault="00866A51" w:rsidP="00866A51">
      <w:pPr>
        <w:pStyle w:val="Prrafodelista"/>
        <w:spacing w:line="360" w:lineRule="auto"/>
        <w:ind w:left="0"/>
        <w:jc w:val="both"/>
        <w:rPr>
          <w:rFonts w:ascii="Palatino Linotype" w:hAnsi="Palatino Linotype" w:cs="Tahoma"/>
        </w:rPr>
      </w:pPr>
    </w:p>
    <w:p w14:paraId="3B9101CE" w14:textId="77777777" w:rsidR="00866A51" w:rsidRDefault="00866A51" w:rsidP="00866A51">
      <w:pPr>
        <w:pStyle w:val="Prrafodelista"/>
        <w:spacing w:line="360" w:lineRule="auto"/>
        <w:ind w:left="0"/>
        <w:jc w:val="both"/>
        <w:rPr>
          <w:rFonts w:ascii="Palatino Linotype" w:hAnsi="Palatino Linotype" w:cs="Tahoma"/>
        </w:rPr>
      </w:pPr>
    </w:p>
    <w:p w14:paraId="44FF1C0B" w14:textId="77777777" w:rsidR="00866A51" w:rsidRDefault="00866A51" w:rsidP="00866A51">
      <w:pPr>
        <w:pStyle w:val="Prrafodelista"/>
        <w:spacing w:line="360" w:lineRule="auto"/>
        <w:ind w:left="0"/>
        <w:jc w:val="both"/>
        <w:rPr>
          <w:rFonts w:ascii="Palatino Linotype" w:hAnsi="Palatino Linotype" w:cs="Tahoma"/>
        </w:rPr>
      </w:pPr>
    </w:p>
    <w:p w14:paraId="09E3B488" w14:textId="77777777" w:rsidR="00866A51" w:rsidRDefault="00866A51" w:rsidP="00866A51">
      <w:pPr>
        <w:pStyle w:val="Prrafodelista"/>
        <w:spacing w:line="360" w:lineRule="auto"/>
        <w:ind w:left="0"/>
        <w:jc w:val="both"/>
        <w:rPr>
          <w:rFonts w:ascii="Palatino Linotype" w:hAnsi="Palatino Linotype" w:cs="Tahoma"/>
        </w:rPr>
      </w:pPr>
    </w:p>
    <w:p w14:paraId="7F917369" w14:textId="479EAA99" w:rsidR="00866A51" w:rsidRDefault="00866A51" w:rsidP="00866A51">
      <w:pPr>
        <w:pStyle w:val="Prrafodelista"/>
        <w:spacing w:line="360" w:lineRule="auto"/>
        <w:ind w:left="0"/>
        <w:jc w:val="both"/>
        <w:rPr>
          <w:rFonts w:ascii="Palatino Linotype" w:hAnsi="Palatino Linotype" w:cs="Tahoma"/>
        </w:rPr>
      </w:pPr>
      <w:r>
        <w:rPr>
          <w:noProof/>
          <w:lang w:val="es-MX" w:eastAsia="es-MX"/>
        </w:rPr>
        <w:drawing>
          <wp:anchor distT="0" distB="0" distL="114300" distR="114300" simplePos="0" relativeHeight="251658240" behindDoc="0" locked="0" layoutInCell="1" allowOverlap="1" wp14:anchorId="3D90048F" wp14:editId="65068EBC">
            <wp:simplePos x="0" y="0"/>
            <wp:positionH relativeFrom="margin">
              <wp:align>left</wp:align>
            </wp:positionH>
            <wp:positionV relativeFrom="paragraph">
              <wp:posOffset>0</wp:posOffset>
            </wp:positionV>
            <wp:extent cx="5397500" cy="13620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43341" t="19606" r="27739" b="67410"/>
                    <a:stretch>
                      <a:fillRect/>
                    </a:stretch>
                  </pic:blipFill>
                  <pic:spPr bwMode="auto">
                    <a:xfrm>
                      <a:off x="0" y="0"/>
                      <a:ext cx="5397500" cy="1362075"/>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hAnsi="Palatino Linotype" w:cs="Tahoma"/>
          <w:noProof/>
          <w:lang w:val="es-MX" w:eastAsia="es-MX"/>
        </w:rPr>
        <w:drawing>
          <wp:inline distT="0" distB="0" distL="0" distR="0" wp14:anchorId="335DD87A" wp14:editId="65BD4E54">
            <wp:extent cx="5429250" cy="5353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l="43275" t="14388" r="27547" b="34607"/>
                    <a:stretch>
                      <a:fillRect/>
                    </a:stretch>
                  </pic:blipFill>
                  <pic:spPr bwMode="auto">
                    <a:xfrm>
                      <a:off x="0" y="0"/>
                      <a:ext cx="5429250" cy="5353050"/>
                    </a:xfrm>
                    <a:prstGeom prst="rect">
                      <a:avLst/>
                    </a:prstGeom>
                    <a:noFill/>
                    <a:ln>
                      <a:noFill/>
                    </a:ln>
                  </pic:spPr>
                </pic:pic>
              </a:graphicData>
            </a:graphic>
          </wp:inline>
        </w:drawing>
      </w:r>
      <w:r>
        <w:rPr>
          <w:rFonts w:ascii="Palatino Linotype" w:hAnsi="Palatino Linotype" w:cs="Tahoma"/>
        </w:rPr>
        <w:br w:type="textWrapping" w:clear="all"/>
        <w:t>Teniendo en cuenta que la protección de la seguridad personal y la vida es un elemento contundente en la responsabilidad de mantener la seguridad pública y la paz social, es de suma importancia que los encargados de hacer cumplir la ley, se encuentren calificados, capacitados y adiestrados sobre las técnicas y tácticas sobre el uso de la fuerza y la utilización de armas de fuego, ya que repercute sobremanera en los derechos fundamentales de los habitantes de ese municipio, se debe prestar especial atención a las cuestiones de ética policial y derechos humanos.</w:t>
      </w:r>
    </w:p>
    <w:p w14:paraId="0A057138" w14:textId="77777777" w:rsidR="00866A51" w:rsidRDefault="00866A51" w:rsidP="00866A51">
      <w:pPr>
        <w:pStyle w:val="Prrafodelista"/>
        <w:spacing w:line="360" w:lineRule="auto"/>
        <w:ind w:left="0"/>
        <w:jc w:val="both"/>
        <w:rPr>
          <w:rFonts w:ascii="Palatino Linotype" w:hAnsi="Palatino Linotype" w:cs="Tahoma"/>
        </w:rPr>
      </w:pPr>
    </w:p>
    <w:bookmarkEnd w:id="2"/>
    <w:p w14:paraId="0DD51E61" w14:textId="5D155165" w:rsidR="00866A51" w:rsidRDefault="00866A51" w:rsidP="00866A51">
      <w:pPr>
        <w:spacing w:before="240" w:after="240" w:line="360" w:lineRule="auto"/>
        <w:jc w:val="both"/>
        <w:rPr>
          <w:rFonts w:ascii="Palatino Linotype" w:eastAsia="Palatino Linotype" w:hAnsi="Palatino Linotype" w:cs="Palatino Linotype"/>
        </w:rPr>
      </w:pPr>
      <w:r>
        <w:rPr>
          <w:rFonts w:ascii="Palatino Linotype" w:hAnsi="Palatino Linotype" w:cs="Tahoma"/>
        </w:rPr>
        <w:t xml:space="preserve">De lo anterior deriva la importancia de conocer </w:t>
      </w:r>
      <w:r w:rsidR="00E118BA">
        <w:rPr>
          <w:rFonts w:ascii="Palatino Linotype" w:hAnsi="Palatino Linotype" w:cs="Tahoma"/>
        </w:rPr>
        <w:t xml:space="preserve">el listado </w:t>
      </w:r>
      <w:r>
        <w:rPr>
          <w:rFonts w:ascii="Palatino Linotype" w:hAnsi="Palatino Linotype" w:cs="Tahoma"/>
        </w:rPr>
        <w:t xml:space="preserve"> de elementos que tienen permiso y portan arma de fuego, ya que el personal operativo a considerar en la Licencia Oficial Colectiva debe dar cumplimiento a los requisitos establecidos en el Artículo 26 Fracción I de la Ley Federal de Armas de Fuego y Explosivos, entre otros: tener un modo honesto de vivir, haber cumplido con el Servicio Militar Nacional, no tener impedimento físico y mental para el manejo de las armas; demostrando con certificado médico y psicológico expedidos por facultativos autorizados, no haber sido condenado por delito cometido con el empleo de armas de fuego; certificado médico-toxicológico de no consumo de drogas, enervantes o psicotrópicos, y con ello acreditar que  han dado cumplimiento a los principios que rigen la actuación de las instituciones policiales, esto es autonomía, eficiencia, imparcialidad, legalidad, objetividad, profesionalismo, honradez, responsabilidad y respeto a los derechos humanos. Lo anterior indudablemente fortalece las instituciones de seguridad pública incrementando la confianza de la ciudadanía</w:t>
      </w:r>
      <w:r w:rsidR="00E118BA">
        <w:rPr>
          <w:rFonts w:ascii="Palatino Linotype" w:hAnsi="Palatino Linotype" w:cs="Tahoma"/>
        </w:rPr>
        <w:t>.</w:t>
      </w:r>
    </w:p>
    <w:p w14:paraId="43FB2915" w14:textId="77777777" w:rsidR="00866A51" w:rsidRPr="00E118BA" w:rsidRDefault="00866A51" w:rsidP="00866A51">
      <w:pPr>
        <w:spacing w:before="240" w:after="240" w:line="360" w:lineRule="auto"/>
        <w:jc w:val="both"/>
        <w:rPr>
          <w:rFonts w:ascii="Palatino Linotype" w:hAnsi="Palatino Linotype"/>
          <w:color w:val="000000" w:themeColor="text1"/>
        </w:rPr>
      </w:pPr>
    </w:p>
    <w:p w14:paraId="549B84AC" w14:textId="7F6DAEEC" w:rsidR="006E55AF" w:rsidRDefault="00E118BA" w:rsidP="00E118BA">
      <w:pPr>
        <w:pStyle w:val="Prrafodelista"/>
        <w:spacing w:line="360" w:lineRule="auto"/>
        <w:ind w:left="0"/>
        <w:contextualSpacing w:val="0"/>
        <w:jc w:val="both"/>
        <w:rPr>
          <w:rFonts w:ascii="Palatino Linotype" w:hAnsi="Palatino Linotype"/>
          <w:color w:val="000000" w:themeColor="text1"/>
          <w:lang w:val="es-ES_tradnl"/>
        </w:rPr>
      </w:pPr>
      <w:r w:rsidRPr="00E118BA">
        <w:rPr>
          <w:rFonts w:ascii="Palatino Linotype" w:hAnsi="Palatino Linotype"/>
          <w:color w:val="000000" w:themeColor="text1"/>
        </w:rPr>
        <w:t xml:space="preserve">Por tanto, respecto al listado del personal de seguridad pública que cuenta con permiso de portación de armas proporcionado por la SEDENA,  debieron </w:t>
      </w:r>
      <w:r w:rsidR="006E55AF">
        <w:rPr>
          <w:rFonts w:ascii="Palatino Linotype" w:hAnsi="Palatino Linotype"/>
          <w:color w:val="000000" w:themeColor="text1"/>
        </w:rPr>
        <w:t>ser entregados los nombres de mando medio y superiores, no así al resto de</w:t>
      </w:r>
      <w:r>
        <w:rPr>
          <w:rFonts w:ascii="Palatino Linotype" w:hAnsi="Palatino Linotype"/>
          <w:color w:val="000000" w:themeColor="text1"/>
        </w:rPr>
        <w:t xml:space="preserve"> personal de carácter operativo, pero si su cargo y área de adscripción.</w:t>
      </w:r>
    </w:p>
    <w:p w14:paraId="6D3D978B" w14:textId="77777777" w:rsidR="006E55AF" w:rsidRDefault="006E55AF" w:rsidP="006E55AF">
      <w:pPr>
        <w:pStyle w:val="Prrafodelista"/>
        <w:rPr>
          <w:rFonts w:ascii="Palatino Linotype" w:hAnsi="Palatino Linotype"/>
          <w:color w:val="000000" w:themeColor="text1"/>
        </w:rPr>
      </w:pPr>
    </w:p>
    <w:p w14:paraId="6EEBA043" w14:textId="765D6966" w:rsidR="006E55AF" w:rsidRDefault="006E55AF" w:rsidP="00E118BA">
      <w:pPr>
        <w:spacing w:line="360" w:lineRule="auto"/>
        <w:contextualSpacing/>
        <w:jc w:val="both"/>
        <w:rPr>
          <w:rFonts w:ascii="Palatino Linotype" w:hAnsi="Palatino Linotype"/>
        </w:rPr>
      </w:pPr>
      <w:r>
        <w:rPr>
          <w:rFonts w:ascii="Palatino Linotype" w:hAnsi="Palatino Linotype"/>
        </w:rPr>
        <w:t>Lo anterior es así, toda vez que</w:t>
      </w:r>
      <w:r w:rsidR="00E118BA">
        <w:rPr>
          <w:rFonts w:ascii="Palatino Linotype" w:hAnsi="Palatino Linotype"/>
        </w:rPr>
        <w:t xml:space="preserve"> ha sido criterio de este Pleno el que </w:t>
      </w:r>
      <w:r>
        <w:rPr>
          <w:rFonts w:ascii="Palatino Linotype" w:hAnsi="Palatino Linotype"/>
        </w:rPr>
        <w:t xml:space="preserve"> los nombres de </w:t>
      </w:r>
      <w:r>
        <w:rPr>
          <w:rFonts w:ascii="Palatino Linotype" w:hAnsi="Palatino Linotype"/>
          <w:b/>
        </w:rPr>
        <w:t>los elementos que realizan funciones operativas deben ser protegidos</w:t>
      </w:r>
      <w:r>
        <w:rPr>
          <w:rFonts w:ascii="Palatino Linotype" w:hAnsi="Palatino Linotype"/>
        </w:rPr>
        <w:t xml:space="preserve"> con la finalidad de evitar la identificación de las personas al amparo de la protección a la vida, salud y seguridad; esto,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6070126A" w14:textId="77777777" w:rsidR="006E55AF" w:rsidRDefault="006E55AF" w:rsidP="006E55AF">
      <w:pPr>
        <w:pStyle w:val="Prrafodelista"/>
        <w:spacing w:line="360" w:lineRule="auto"/>
        <w:ind w:left="360"/>
        <w:jc w:val="both"/>
        <w:rPr>
          <w:rFonts w:ascii="Palatino Linotype" w:hAnsi="Palatino Linotype"/>
        </w:rPr>
      </w:pPr>
    </w:p>
    <w:p w14:paraId="467F51E3" w14:textId="77777777" w:rsidR="006E55AF" w:rsidRDefault="006E55AF" w:rsidP="00E118BA">
      <w:pPr>
        <w:spacing w:line="360" w:lineRule="auto"/>
        <w:contextualSpacing/>
        <w:jc w:val="both"/>
        <w:rPr>
          <w:rFonts w:ascii="Palatino Linotype" w:hAnsi="Palatino Linotype"/>
        </w:rPr>
      </w:pPr>
      <w:r>
        <w:rPr>
          <w:rFonts w:ascii="Palatino Linotype" w:hAnsi="Palatino Linotype"/>
        </w:rPr>
        <w:t>De ahí, que el Estado deba garantizar y respetar sus derechos humanos como servidores públicos y como personas sujetas de derechos y obligaciones, como la protección a su vida, salud y seguridad. Es de precisar que, para lograrlo, su nombre, si bien pudiera tenerse como público ante la inminente evidencia de que reciben recursos públicos por concepto de sueldo, también lo es, que al pertenecer a una institución policial o área de seguridad pública, la difusión de esta información pone en riesgo su vida, integridad o seguridad. Se afirma lo anterior, en virtud de que no debe perderse de vista que existen funciones a cargo de servidores públicos, tendientes a garantizar de manera directa la seguridad pública, a través de acciones preventivas y correctivas encaminadas a combatir a la delincuencia en sus diferentes manifestaciones.</w:t>
      </w:r>
    </w:p>
    <w:p w14:paraId="1D754217" w14:textId="77777777" w:rsidR="006E55AF" w:rsidRDefault="006E55AF" w:rsidP="006E55AF">
      <w:pPr>
        <w:pStyle w:val="Prrafodelista"/>
        <w:spacing w:line="360" w:lineRule="auto"/>
        <w:ind w:left="360"/>
        <w:jc w:val="both"/>
        <w:rPr>
          <w:rFonts w:ascii="Palatino Linotype" w:hAnsi="Palatino Linotype"/>
        </w:rPr>
      </w:pPr>
    </w:p>
    <w:p w14:paraId="367530EA" w14:textId="77777777" w:rsidR="006E55AF" w:rsidRDefault="006E55AF" w:rsidP="00E118BA">
      <w:pPr>
        <w:spacing w:line="360" w:lineRule="auto"/>
        <w:contextualSpacing/>
        <w:jc w:val="both"/>
        <w:rPr>
          <w:rFonts w:ascii="Palatino Linotype" w:hAnsi="Palatino Linotype" w:cs="Arial"/>
        </w:rPr>
      </w:pPr>
      <w:r>
        <w:rPr>
          <w:rFonts w:ascii="Palatino Linotype" w:hAnsi="Palatino Linotype" w:cs="Arial"/>
        </w:rPr>
        <w:t xml:space="preserve">Argumento </w:t>
      </w:r>
      <w:r>
        <w:rPr>
          <w:rFonts w:ascii="Palatino Linotype" w:hAnsi="Palatino Linotype"/>
        </w:rPr>
        <w:t>que</w:t>
      </w:r>
      <w:r>
        <w:rPr>
          <w:rFonts w:ascii="Palatino Linotype" w:hAnsi="Palatino Linotype" w:cs="Arial"/>
        </w:rPr>
        <w:t xml:space="preserve"> se fortalece con lo estipulado en el Criterio número 06/09, emitido por el Pleno del entonces Instituto Federal de Acceso a la Información y Protección de Datos</w:t>
      </w:r>
      <w:r>
        <w:rPr>
          <w:rStyle w:val="Textoennegrita"/>
          <w:rFonts w:ascii="Palatino Linotype" w:hAnsi="Palatino Linotype" w:cs="Arial"/>
        </w:rPr>
        <w:t xml:space="preserve">, </w:t>
      </w:r>
      <w:r>
        <w:rPr>
          <w:rFonts w:ascii="Palatino Linotype" w:hAnsi="Palatino Linotype" w:cs="Arial"/>
        </w:rPr>
        <w:t xml:space="preserve">el cual refiere: </w:t>
      </w:r>
    </w:p>
    <w:p w14:paraId="48E26290" w14:textId="77777777" w:rsidR="006E55AF" w:rsidRDefault="006E55AF" w:rsidP="006E55AF">
      <w:pPr>
        <w:pStyle w:val="Prrafodelista"/>
        <w:autoSpaceDE w:val="0"/>
        <w:autoSpaceDN w:val="0"/>
        <w:adjustRightInd w:val="0"/>
        <w:ind w:left="357" w:right="567"/>
        <w:jc w:val="both"/>
        <w:rPr>
          <w:rFonts w:ascii="Palatino Linotype" w:hAnsi="Palatino Linotype" w:cs="Arial"/>
          <w:b/>
          <w:bCs/>
          <w:i/>
          <w:lang w:eastAsia="es-MX"/>
        </w:rPr>
      </w:pPr>
    </w:p>
    <w:p w14:paraId="2FEC1B2F" w14:textId="77777777" w:rsidR="006E55AF" w:rsidRDefault="006E55AF" w:rsidP="006E55AF">
      <w:pPr>
        <w:pStyle w:val="Prrafodelista"/>
        <w:autoSpaceDE w:val="0"/>
        <w:autoSpaceDN w:val="0"/>
        <w:adjustRightInd w:val="0"/>
        <w:ind w:left="357" w:right="567"/>
        <w:jc w:val="both"/>
        <w:rPr>
          <w:rFonts w:ascii="Palatino Linotype" w:hAnsi="Palatino Linotype" w:cs="Arial"/>
          <w:i/>
          <w:lang w:eastAsia="es-MX"/>
        </w:rPr>
      </w:pPr>
      <w:r>
        <w:rPr>
          <w:rFonts w:ascii="Palatino Linotype" w:hAnsi="Palatino Linotype" w:cs="Arial"/>
          <w:b/>
          <w:bCs/>
          <w:i/>
          <w:lang w:eastAsia="es-MX"/>
        </w:rPr>
        <w:t xml:space="preserve">“Nombres de servidores públicos dedicados a actividades en materia de seguridad, por excepción pueden considerarse información reservada. </w:t>
      </w:r>
      <w:r>
        <w:rPr>
          <w:rFonts w:ascii="Palatino Linotype" w:hAnsi="Palatino Linotype" w:cs="Arial"/>
          <w:bCs/>
          <w:i/>
          <w:lang w:eastAsia="es-MX"/>
        </w:rPr>
        <w:t xml:space="preserve">De conformidad con el artículo 7, fracciones I y III de la Ley Federal de Transparencia y Acceso a la Información Pública Gubernamental </w:t>
      </w:r>
      <w:r>
        <w:rPr>
          <w:rFonts w:ascii="Palatino Linotype" w:hAnsi="Palatino Linotype" w:cs="Arial"/>
          <w:i/>
          <w:u w:val="single"/>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Pr>
          <w:rFonts w:ascii="Palatino Linotype" w:hAnsi="Palatino Linotype" w:cs="Arial"/>
          <w:bCs/>
          <w:i/>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Pr>
          <w:rFonts w:ascii="Palatino Linotype" w:hAnsi="Palatino Linotype" w:cs="Arial"/>
          <w:i/>
          <w:lang w:eastAsia="es-MX"/>
        </w:rPr>
        <w:t>el artículo 13, fracción I de la ley de referencia se establece que podrá clasificarse aquella información cuya difusión pueda comprometer la seguridad nacional y pública.</w:t>
      </w:r>
      <w:r>
        <w:rPr>
          <w:rFonts w:ascii="Palatino Linotype" w:hAnsi="Palatino Linotype" w:cs="Arial"/>
          <w:bCs/>
          <w:i/>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Pr>
          <w:rFonts w:ascii="Palatino Linotype" w:hAnsi="Palatino Linotype" w:cs="Arial"/>
          <w:b/>
          <w:bCs/>
          <w:i/>
          <w:lang w:eastAsia="es-MX"/>
        </w:rPr>
        <w:t>p</w:t>
      </w:r>
      <w:r>
        <w:rPr>
          <w:rFonts w:ascii="Palatino Linotype" w:hAnsi="Palatino Linotype" w:cs="Arial"/>
          <w:i/>
          <w:lang w:eastAsia="es-MX"/>
        </w:rPr>
        <w:t>or lo que la reserva de la relación de los nombres y las funciones que desempeñan los servidores públicos que prestan sus servicios en áreas de seguridad nacional o pública</w:t>
      </w:r>
      <w:r>
        <w:rPr>
          <w:rFonts w:ascii="Palatino Linotype" w:hAnsi="Palatino Linotype" w:cs="Arial"/>
          <w:bCs/>
          <w:i/>
          <w:lang w:eastAsia="es-MX"/>
        </w:rPr>
        <w:t>, puede llegar a constituirse en un componente fundamental en el esfuerzo que realiza el Estado Mexicano para garantizar la seguridad del país en sus diferentes vertientes</w:t>
      </w:r>
      <w:r>
        <w:rPr>
          <w:rFonts w:ascii="Palatino Linotype" w:hAnsi="Palatino Linotype" w:cs="Arial"/>
          <w:i/>
          <w:lang w:eastAsia="es-MX"/>
        </w:rPr>
        <w:t>”</w:t>
      </w:r>
    </w:p>
    <w:p w14:paraId="0FDBB0FF" w14:textId="77777777" w:rsidR="006E55AF" w:rsidRDefault="006E55AF" w:rsidP="006E55AF">
      <w:pPr>
        <w:pStyle w:val="Prrafodelista"/>
        <w:spacing w:line="360" w:lineRule="auto"/>
        <w:ind w:left="360"/>
        <w:jc w:val="both"/>
        <w:rPr>
          <w:rFonts w:ascii="Palatino Linotype" w:hAnsi="Palatino Linotype" w:cstheme="minorBidi"/>
        </w:rPr>
      </w:pPr>
    </w:p>
    <w:p w14:paraId="7A21CEB8" w14:textId="77777777" w:rsidR="006E55AF" w:rsidRDefault="006E55AF" w:rsidP="00E118BA">
      <w:pPr>
        <w:spacing w:line="360" w:lineRule="auto"/>
        <w:contextualSpacing/>
        <w:jc w:val="both"/>
        <w:rPr>
          <w:rFonts w:ascii="Palatino Linotype" w:hAnsi="Palatino Linotype"/>
        </w:rPr>
      </w:pPr>
      <w:r>
        <w:rPr>
          <w:rFonts w:ascii="Palatino Linotype" w:hAnsi="Palatino Linotype"/>
        </w:rPr>
        <w:t xml:space="preserve">Con base en lo expuesto por el ahora Instituto Nacional de Transparencia, </w:t>
      </w:r>
      <w:r>
        <w:rPr>
          <w:rFonts w:ascii="Palatino Linotype" w:hAnsi="Palatino Linotype" w:cs="Arial"/>
        </w:rPr>
        <w:t>Acceso</w:t>
      </w:r>
      <w:r>
        <w:rPr>
          <w:rFonts w:ascii="Palatino Linotype" w:hAnsi="Palatino Linotype"/>
        </w:rPr>
        <w:t xml:space="preserve"> a la Información y Protección de Datos Personales, desde el dos mil nueve, se había precisado que la manera de evitar que se hagan identificables a los policías, quienes al realizar funciones operativas, en el contexto nacional en donde la violencia se ha recrudecido y el Estado Mexicano ha redoblado esfuerzos para garantizar la seguridad pública, es eliminando el nombre de estos elementos en aquellos documentos que se entreguen en atención a solicitudes de acceso a la información pública.</w:t>
      </w:r>
    </w:p>
    <w:p w14:paraId="7E046FDC" w14:textId="77777777" w:rsidR="006E55AF" w:rsidRDefault="006E55AF" w:rsidP="006E55AF">
      <w:pPr>
        <w:pStyle w:val="Prrafodelista"/>
        <w:spacing w:line="360" w:lineRule="auto"/>
        <w:ind w:left="360"/>
        <w:jc w:val="both"/>
        <w:rPr>
          <w:rFonts w:ascii="Palatino Linotype" w:hAnsi="Palatino Linotype"/>
        </w:rPr>
      </w:pPr>
    </w:p>
    <w:p w14:paraId="0B44576A" w14:textId="77777777" w:rsidR="006E55AF" w:rsidRDefault="006E55AF" w:rsidP="00E118BA">
      <w:pPr>
        <w:spacing w:line="360" w:lineRule="auto"/>
        <w:contextualSpacing/>
        <w:jc w:val="both"/>
        <w:rPr>
          <w:rFonts w:ascii="Palatino Linotype" w:hAnsi="Palatino Linotype" w:cs="Segoe UI"/>
        </w:rPr>
      </w:pPr>
      <w:r>
        <w:rPr>
          <w:rFonts w:ascii="Palatino Linotype" w:hAnsi="Palatino Linotype"/>
        </w:rPr>
        <w:t xml:space="preserve">Así, el </w:t>
      </w:r>
      <w:r>
        <w:rPr>
          <w:rFonts w:ascii="Palatino Linotype" w:hAnsi="Palatino Linotype" w:cs="Segoe UI"/>
        </w:rPr>
        <w:t xml:space="preserve">derecho de acceso a la información encuentra límites en el propio texto </w:t>
      </w:r>
      <w:r>
        <w:rPr>
          <w:rFonts w:ascii="Palatino Linotype" w:hAnsi="Palatino Linotype"/>
        </w:rPr>
        <w:t>constitucional</w:t>
      </w:r>
      <w:r>
        <w:rPr>
          <w:rFonts w:ascii="Palatino Linotype" w:hAnsi="Palatino Linotype" w:cs="Segoe UI"/>
        </w:rPr>
        <w:t xml:space="preserve"> y que, debido a ello, debe existir una armonización congruente con ese derecho fundamental con los principios rectores de la función del Sujeto Obligado, lo que encuentra sustento en las tesis jurisprudenciales emitidas por la Suprema Corte de Justicia de la Nación, que son del literal siguiente: </w:t>
      </w:r>
    </w:p>
    <w:p w14:paraId="57DA4729" w14:textId="77777777" w:rsidR="006E55AF" w:rsidRDefault="006E55AF" w:rsidP="006E55AF">
      <w:pPr>
        <w:pStyle w:val="Prrafodelista"/>
        <w:spacing w:line="360" w:lineRule="auto"/>
        <w:ind w:left="360"/>
        <w:jc w:val="both"/>
        <w:rPr>
          <w:rFonts w:ascii="Palatino Linotype" w:hAnsi="Palatino Linotype" w:cs="Segoe UI"/>
        </w:rPr>
      </w:pPr>
    </w:p>
    <w:p w14:paraId="6BE8DEF0" w14:textId="77777777" w:rsidR="006E55AF" w:rsidRDefault="006E55AF" w:rsidP="006E55AF">
      <w:pPr>
        <w:pStyle w:val="Prrafodelista"/>
        <w:autoSpaceDE w:val="0"/>
        <w:autoSpaceDN w:val="0"/>
        <w:adjustRightInd w:val="0"/>
        <w:ind w:left="357" w:right="567"/>
        <w:jc w:val="both"/>
        <w:rPr>
          <w:rFonts w:ascii="Palatino Linotype" w:eastAsia="Calibri" w:hAnsi="Palatino Linotype" w:cs="Arial"/>
          <w:i/>
        </w:rPr>
      </w:pPr>
      <w:r>
        <w:rPr>
          <w:rFonts w:ascii="Palatino Linotype" w:eastAsia="Calibri" w:hAnsi="Palatino Linotype" w:cs="Arial"/>
          <w:b/>
          <w:bCs/>
          <w:i/>
        </w:rPr>
        <w:t xml:space="preserve">“DERECHO A LA INFORMACIÓN. SU EJERCICIO SE ENCUENTRA LIMITADO TANTO POR LOS INTERESES NACIONALES Y DE LA SOCIEDAD, COMO POR LOS DERECHOS DE TERCEROS. </w:t>
      </w:r>
      <w:r>
        <w:rPr>
          <w:rFonts w:ascii="Palatino Linotype" w:eastAsia="Calibri" w:hAnsi="Palatino Linotype" w:cs="Arial"/>
          <w:i/>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14:paraId="5FBD7E5E" w14:textId="77777777" w:rsidR="006E55AF" w:rsidRDefault="006E55AF" w:rsidP="006E55AF">
      <w:pPr>
        <w:pStyle w:val="Prrafodelista"/>
        <w:autoSpaceDE w:val="0"/>
        <w:autoSpaceDN w:val="0"/>
        <w:adjustRightInd w:val="0"/>
        <w:ind w:left="357" w:right="567"/>
        <w:jc w:val="both"/>
        <w:rPr>
          <w:rFonts w:ascii="Palatino Linotype" w:eastAsia="Calibri" w:hAnsi="Palatino Linotype" w:cs="Arial"/>
          <w:i/>
        </w:rPr>
      </w:pPr>
    </w:p>
    <w:p w14:paraId="03A5CC9F" w14:textId="77777777" w:rsidR="006E55AF" w:rsidRDefault="006E55AF" w:rsidP="006E55AF">
      <w:pPr>
        <w:pStyle w:val="Prrafodelista"/>
        <w:ind w:left="357" w:right="567"/>
        <w:jc w:val="both"/>
        <w:rPr>
          <w:rFonts w:ascii="Palatino Linotype" w:eastAsiaTheme="minorEastAsia" w:hAnsi="Palatino Linotype" w:cstheme="minorBidi"/>
          <w:i/>
          <w:iCs/>
          <w:lang w:eastAsia="es-MX"/>
        </w:rPr>
      </w:pPr>
      <w:r>
        <w:rPr>
          <w:rFonts w:ascii="Palatino Linotype" w:hAnsi="Palatino Linotype"/>
          <w:b/>
          <w:bCs/>
          <w:i/>
          <w:iCs/>
          <w:lang w:eastAsia="es-MX"/>
        </w:rPr>
        <w:t>“TRANSPARENCIA Y ACCESO A LA INFORMACIÓN PÚBLICA GUBERNAMENTAL. EL ARTÍCULO 14, FRACCIÓN I, DE LA LEY FEDERAL RELATIVA, NO VIOLA LA GARANTÍA DE ACCESO A LA INFORMACIÓN.</w:t>
      </w:r>
      <w:r>
        <w:rPr>
          <w:rFonts w:ascii="Palatino Linotype" w:hAnsi="Palatino Linotype"/>
          <w:i/>
          <w:iCs/>
          <w:lang w:eastAsia="es-MX"/>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hAnsi="Palatino Linotype"/>
          <w:b/>
          <w:bCs/>
          <w:i/>
          <w:iCs/>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hAnsi="Palatino Linotype"/>
          <w:i/>
          <w:iCs/>
          <w:lang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AA79587" w14:textId="77777777" w:rsidR="006E55AF" w:rsidRDefault="006E55AF" w:rsidP="006E55AF">
      <w:pPr>
        <w:pStyle w:val="Prrafodelista"/>
        <w:ind w:left="357" w:right="567"/>
        <w:jc w:val="both"/>
        <w:rPr>
          <w:rFonts w:ascii="Palatino Linotype" w:hAnsi="Palatino Linotype"/>
          <w:i/>
          <w:iCs/>
          <w:lang w:eastAsia="es-MX"/>
        </w:rPr>
      </w:pPr>
    </w:p>
    <w:p w14:paraId="5A20247F" w14:textId="77777777" w:rsidR="006E55AF" w:rsidRDefault="006E55AF" w:rsidP="00E118BA">
      <w:pPr>
        <w:spacing w:line="360" w:lineRule="auto"/>
        <w:contextualSpacing/>
        <w:jc w:val="both"/>
        <w:rPr>
          <w:rFonts w:ascii="Palatino Linotype" w:hAnsi="Palatino Linotype" w:cs="Arial"/>
        </w:rPr>
      </w:pPr>
      <w:r>
        <w:rPr>
          <w:rFonts w:ascii="Palatino Linotype" w:hAnsi="Palatino Linotype" w:cs="Arial"/>
        </w:rPr>
        <w:t>Así y de acuerdo con lo expuesto, la limitación para acceder al nombre de los policías o personal con funciones operativas es proporcional y adecuada, respecto del bien jurídico tutelado; así, ordenar la entrega de los documentos en donde se elimine el nombre de dichos trabajadores, permite garantizar el acceso a la información pública y se protege la vida, salud o seguridad de los elementos operativos encargados del combate a los delincuentes y prevención de los delitos, ya que con la eliminación de su nombre en dicho documento es imposible hacerlos identificables a través de este. De tal manera que se reitera únicamente como procedente, la entrega del personal con carácter de mando medio y superior, esto porque además corresponde a una obligación de transparencia común, como se desprende de la fracción VII del artículo 92, a saber:</w:t>
      </w:r>
    </w:p>
    <w:p w14:paraId="1E250EC8" w14:textId="77777777" w:rsidR="006E55AF" w:rsidRDefault="006E55AF" w:rsidP="006E55AF">
      <w:pPr>
        <w:spacing w:line="360" w:lineRule="auto"/>
        <w:jc w:val="both"/>
        <w:rPr>
          <w:rFonts w:ascii="Palatino Linotype" w:hAnsi="Palatino Linotype" w:cs="Arial"/>
        </w:rPr>
      </w:pPr>
    </w:p>
    <w:p w14:paraId="0EB4BEB0" w14:textId="77777777" w:rsidR="006E55AF" w:rsidRDefault="006E55AF" w:rsidP="006E55AF">
      <w:pPr>
        <w:ind w:left="426" w:right="474"/>
        <w:contextualSpacing/>
        <w:jc w:val="both"/>
        <w:rPr>
          <w:rFonts w:ascii="Palatino Linotype" w:hAnsi="Palatino Linotype" w:cs="Arial"/>
          <w:i/>
        </w:rPr>
      </w:pPr>
      <w:r>
        <w:rPr>
          <w:rFonts w:ascii="Palatino Linotype" w:hAnsi="Palatino Linotype" w:cs="Arial"/>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0429F9" w14:textId="77777777" w:rsidR="006E55AF" w:rsidRDefault="006E55AF" w:rsidP="006E55AF">
      <w:pPr>
        <w:ind w:left="426" w:right="474"/>
        <w:contextualSpacing/>
        <w:jc w:val="both"/>
        <w:rPr>
          <w:rFonts w:ascii="Palatino Linotype" w:hAnsi="Palatino Linotype" w:cs="Arial"/>
          <w:i/>
        </w:rPr>
      </w:pPr>
      <w:r>
        <w:rPr>
          <w:rFonts w:ascii="Palatino Linotype" w:hAnsi="Palatino Linotype" w:cs="Arial"/>
          <w:i/>
        </w:rPr>
        <w:t>...</w:t>
      </w:r>
    </w:p>
    <w:p w14:paraId="05CB0C9A" w14:textId="77777777" w:rsidR="006E55AF" w:rsidRDefault="006E55AF" w:rsidP="006E55AF">
      <w:pPr>
        <w:ind w:left="426" w:right="474"/>
        <w:contextualSpacing/>
        <w:jc w:val="both"/>
        <w:rPr>
          <w:rFonts w:ascii="Palatino Linotype" w:hAnsi="Palatino Linotype" w:cs="Arial"/>
          <w:i/>
        </w:rPr>
      </w:pPr>
      <w:r>
        <w:rPr>
          <w:rFonts w:ascii="Palatino Linotype" w:hAnsi="Palatino Linotype" w:cs="Arial"/>
          <w:i/>
        </w:rPr>
        <w:t>VII. El directorio de todos los servidores públicos</w:t>
      </w:r>
      <w:r>
        <w:rPr>
          <w:rFonts w:ascii="Palatino Linotype" w:hAnsi="Palatino Linotype" w:cs="Arial"/>
          <w:b/>
          <w:i/>
        </w:rPr>
        <w:t>, a partir del nivel de jefe de departamento o su equivalente o de menor nivel</w:t>
      </w:r>
      <w:r>
        <w:rPr>
          <w:rFonts w:ascii="Palatino Linotype" w:hAnsi="Palatino Linotype" w:cs="Arial"/>
          <w:i/>
        </w:rPr>
        <w:t>, cuando se brinde atención al público, manejen o apliquen recursos públicos, realicen actos de autoridad o presten servicios profesionales bajo el régimen de confianza u honorarios y personal de base.</w:t>
      </w:r>
    </w:p>
    <w:p w14:paraId="59AF2CF0" w14:textId="77777777" w:rsidR="006E55AF" w:rsidRDefault="006E55AF" w:rsidP="006E55AF">
      <w:pPr>
        <w:ind w:left="426" w:right="474"/>
        <w:contextualSpacing/>
        <w:jc w:val="both"/>
        <w:rPr>
          <w:rFonts w:ascii="Palatino Linotype" w:hAnsi="Palatino Linotype" w:cs="Arial"/>
          <w:i/>
        </w:rPr>
      </w:pPr>
    </w:p>
    <w:p w14:paraId="305BC77C" w14:textId="77777777" w:rsidR="006E55AF" w:rsidRDefault="006E55AF" w:rsidP="006E55AF">
      <w:pPr>
        <w:ind w:left="426" w:right="474"/>
        <w:contextualSpacing/>
        <w:jc w:val="both"/>
        <w:rPr>
          <w:rFonts w:ascii="Palatino Linotype" w:hAnsi="Palatino Linotype" w:cs="Arial"/>
          <w:i/>
        </w:rPr>
      </w:pPr>
      <w:r>
        <w:rPr>
          <w:rFonts w:ascii="Palatino Linotype" w:hAnsi="Palatino Linotype" w:cs="Arial"/>
          <w:b/>
          <w:i/>
        </w:rPr>
        <w:t>El directorio deberá incluir, al menos el nombre</w:t>
      </w:r>
      <w:r>
        <w:rPr>
          <w:rFonts w:ascii="Palatino Linotype" w:hAnsi="Palatino Linotype" w:cs="Arial"/>
          <w:i/>
        </w:rPr>
        <w:t>,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C00A0C9" w14:textId="77777777" w:rsidR="006E55AF" w:rsidRDefault="006E55AF" w:rsidP="006E55AF">
      <w:pPr>
        <w:ind w:left="426" w:right="474"/>
        <w:contextualSpacing/>
        <w:jc w:val="both"/>
        <w:rPr>
          <w:rFonts w:ascii="Palatino Linotype" w:hAnsi="Palatino Linotype" w:cs="Arial"/>
          <w:i/>
        </w:rPr>
      </w:pPr>
      <w:r>
        <w:rPr>
          <w:rFonts w:ascii="Palatino Linotype" w:hAnsi="Palatino Linotype" w:cs="Arial"/>
          <w:i/>
        </w:rPr>
        <w:t>...”</w:t>
      </w:r>
    </w:p>
    <w:p w14:paraId="5BE8D3C8" w14:textId="77777777" w:rsidR="00AE38CF" w:rsidRDefault="00AE38CF" w:rsidP="00AE38CF">
      <w:pPr>
        <w:spacing w:line="360" w:lineRule="auto"/>
        <w:jc w:val="both"/>
        <w:rPr>
          <w:rFonts w:ascii="Palatino Linotype" w:hAnsi="Palatino Linotype" w:cs="Arial"/>
          <w:noProof/>
          <w:color w:val="000000"/>
          <w:lang w:eastAsia="es-MX"/>
        </w:rPr>
      </w:pPr>
    </w:p>
    <w:p w14:paraId="4A75E768" w14:textId="270EDBFA" w:rsidR="00AE38CF" w:rsidRPr="00AE38CF" w:rsidRDefault="00AE38CF" w:rsidP="00AE38CF">
      <w:p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Por lo anterior es que no se comparte la </w:t>
      </w:r>
      <w:r w:rsidRPr="00AE38CF">
        <w:rPr>
          <w:rFonts w:ascii="Palatino Linotype" w:hAnsi="Palatino Linotype" w:cs="Arial"/>
          <w:noProof/>
          <w:color w:val="000000"/>
          <w:lang w:eastAsia="es-MX"/>
        </w:rPr>
        <w:t>reserva</w:t>
      </w:r>
      <w:r>
        <w:rPr>
          <w:rFonts w:ascii="Palatino Linotype" w:hAnsi="Palatino Linotype" w:cs="Arial"/>
          <w:noProof/>
          <w:color w:val="000000"/>
          <w:lang w:eastAsia="es-MX"/>
        </w:rPr>
        <w:t xml:space="preserve"> d</w:t>
      </w:r>
      <w:r w:rsidRPr="00AE38CF">
        <w:rPr>
          <w:rFonts w:ascii="Palatino Linotype" w:hAnsi="Palatino Linotype" w:cs="Arial"/>
          <w:noProof/>
          <w:color w:val="000000"/>
          <w:lang w:eastAsia="es-MX"/>
        </w:rPr>
        <w:t xml:space="preserve">el listado del personal de seguridad pública que cuenta con permiso de portación de armas proporcionado por la SEDENA,  al seis de junio de dos mil veintidós. </w:t>
      </w:r>
    </w:p>
    <w:p w14:paraId="1563ED2A" w14:textId="77777777" w:rsidR="00866A51" w:rsidRDefault="00866A51" w:rsidP="00866A51">
      <w:pPr>
        <w:spacing w:before="240" w:after="240" w:line="360" w:lineRule="auto"/>
        <w:jc w:val="both"/>
        <w:rPr>
          <w:rFonts w:ascii="Palatino Linotype" w:hAnsi="Palatino Linotype" w:cs="Tahoma"/>
        </w:rPr>
      </w:pPr>
    </w:p>
    <w:p w14:paraId="358E1244" w14:textId="77777777" w:rsidR="00866A51" w:rsidRDefault="00866A51" w:rsidP="00866A51">
      <w:pPr>
        <w:pStyle w:val="Prrafodelista"/>
        <w:spacing w:line="360" w:lineRule="auto"/>
        <w:ind w:left="0"/>
        <w:jc w:val="both"/>
        <w:rPr>
          <w:rFonts w:ascii="Palatino Linotype" w:hAnsi="Palatino Linotype" w:cs="Tahoma"/>
        </w:rPr>
      </w:pPr>
    </w:p>
    <w:p w14:paraId="6713E181" w14:textId="77777777" w:rsidR="00805F8E" w:rsidRPr="00805F8E" w:rsidRDefault="00805F8E" w:rsidP="00805F8E">
      <w:pPr>
        <w:tabs>
          <w:tab w:val="left" w:pos="8647"/>
        </w:tabs>
        <w:spacing w:line="360" w:lineRule="auto"/>
        <w:ind w:left="851" w:right="757"/>
        <w:jc w:val="both"/>
        <w:rPr>
          <w:rFonts w:ascii="Palatino Linotype" w:hAnsi="Palatino Linotype" w:cs="Arial"/>
        </w:rPr>
      </w:pPr>
    </w:p>
    <w:sectPr w:rsidR="00805F8E" w:rsidRPr="00805F8E" w:rsidSect="00430304">
      <w:headerReference w:type="even" r:id="rId11"/>
      <w:headerReference w:type="default" r:id="rId12"/>
      <w:footerReference w:type="default" r:id="rId13"/>
      <w:headerReference w:type="first" r:id="rId14"/>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993AA" w14:textId="77777777" w:rsidR="00BF5A91" w:rsidRDefault="00BF5A91" w:rsidP="00C80F8C">
      <w:r>
        <w:separator/>
      </w:r>
    </w:p>
  </w:endnote>
  <w:endnote w:type="continuationSeparator" w:id="0">
    <w:p w14:paraId="7E8B5FBC" w14:textId="77777777" w:rsidR="00BF5A91" w:rsidRDefault="00BF5A9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18FED" w14:textId="77777777" w:rsidR="00BF5A91" w:rsidRDefault="00BF5A91" w:rsidP="00C80F8C">
      <w:r>
        <w:separator/>
      </w:r>
    </w:p>
  </w:footnote>
  <w:footnote w:type="continuationSeparator" w:id="0">
    <w:p w14:paraId="7937C101" w14:textId="77777777" w:rsidR="00BF5A91" w:rsidRDefault="00BF5A91" w:rsidP="00C80F8C">
      <w:r>
        <w:continuationSeparator/>
      </w:r>
    </w:p>
  </w:footnote>
  <w:footnote w:id="1">
    <w:p w14:paraId="391AC977" w14:textId="77777777" w:rsidR="00866A51" w:rsidRDefault="00866A51" w:rsidP="00866A51">
      <w:pPr>
        <w:pStyle w:val="Textonotapie"/>
        <w:jc w:val="both"/>
        <w:rPr>
          <w:rFonts w:asciiTheme="majorHAnsi" w:hAnsiTheme="majorHAnsi" w:cstheme="majorHAnsi"/>
          <w:sz w:val="16"/>
          <w:szCs w:val="16"/>
        </w:rPr>
      </w:pPr>
      <w:r>
        <w:rPr>
          <w:rStyle w:val="Refdenotaalpie"/>
          <w:rFonts w:asciiTheme="majorHAnsi" w:hAnsiTheme="majorHAnsi" w:cstheme="majorHAnsi"/>
          <w:sz w:val="16"/>
          <w:szCs w:val="16"/>
        </w:rPr>
        <w:footnoteRef/>
      </w:r>
      <w:r>
        <w:rPr>
          <w:rFonts w:asciiTheme="majorHAnsi" w:hAnsiTheme="majorHAnsi" w:cstheme="majorHAnsi"/>
          <w:sz w:val="16"/>
          <w:szCs w:val="16"/>
        </w:rPr>
        <w:t xml:space="preserve"> </w:t>
      </w:r>
      <w:r>
        <w:rPr>
          <w:rFonts w:asciiTheme="majorHAnsi" w:hAnsiTheme="majorHAnsi" w:cstheme="majorHAnsi"/>
          <w:color w:val="4A4A4A"/>
          <w:spacing w:val="4"/>
          <w:sz w:val="16"/>
          <w:szCs w:val="16"/>
        </w:rPr>
        <w:t>Adoptados por el Octavo Congreso de las Naciones Unidas sobre Prevención del Delito y Tratamiento del Delincuente, celebrado en La Habana (Cuba) del 27 de agosto al 7 de septiembre de 1990.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EB71" w14:textId="4D1910B5" w:rsidR="001112E6" w:rsidRDefault="00BF5A91">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2050"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C9FC2" w14:textId="08E782C2" w:rsidR="00F47FB5" w:rsidRPr="00F47FB5" w:rsidRDefault="00BF5A91" w:rsidP="00F47FB5">
    <w:pPr>
      <w:pStyle w:val="Encabezado"/>
      <w:tabs>
        <w:tab w:val="clear" w:pos="4252"/>
        <w:tab w:val="clear" w:pos="8504"/>
        <w:tab w:val="left" w:pos="2326"/>
      </w:tabs>
      <w:ind w:left="2835"/>
      <w:rPr>
        <w:rFonts w:ascii="Palatino Linotype" w:hAnsi="Palatino Linotype"/>
      </w:rPr>
    </w:pPr>
    <w:r>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2051" type="#_x0000_t136" style="position:absolute;left:0;text-align:left;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47FB5">
      <w:rPr>
        <w:rFonts w:ascii="Palatino Linotype" w:hAnsi="Palatino Linotype" w:cs="Tahoma"/>
        <w:b/>
      </w:rPr>
      <w:t>Voto Particular</w:t>
    </w:r>
  </w:p>
  <w:p w14:paraId="78819D21" w14:textId="77777777" w:rsidR="00866A51" w:rsidRDefault="00F47FB5" w:rsidP="00F47FB5">
    <w:pPr>
      <w:pStyle w:val="Encabezado"/>
      <w:ind w:left="2835" w:right="-250"/>
      <w:rPr>
        <w:rFonts w:ascii="Palatino Linotype" w:hAnsi="Palatino Linotype" w:cs="Arial"/>
        <w:b/>
        <w:bCs/>
        <w:lang w:eastAsia="es-MX"/>
      </w:rPr>
    </w:pPr>
    <w:r>
      <w:rPr>
        <w:rFonts w:ascii="Palatino Linotype" w:hAnsi="Palatino Linotype" w:cs="Tahoma"/>
        <w:b/>
      </w:rPr>
      <w:t xml:space="preserve">Recurso de Revisión: </w:t>
    </w:r>
    <w:r w:rsidR="00866A51">
      <w:rPr>
        <w:rFonts w:ascii="Palatino Linotype" w:hAnsi="Palatino Linotype" w:cs="Arial"/>
        <w:b/>
        <w:bCs/>
        <w:lang w:eastAsia="es-MX"/>
      </w:rPr>
      <w:t>12380/INFOEM/IP/RR/2022</w:t>
    </w:r>
  </w:p>
  <w:p w14:paraId="2A389599" w14:textId="77777777" w:rsidR="00866A51" w:rsidRDefault="008C2DB1" w:rsidP="00F47FB5">
    <w:pPr>
      <w:pStyle w:val="Encabezado"/>
      <w:ind w:left="2835" w:right="-250"/>
      <w:rPr>
        <w:rFonts w:ascii="Palatino Linotype" w:hAnsi="Palatino Linotype" w:cs="Arial"/>
        <w:b/>
      </w:rPr>
    </w:pPr>
    <w:r>
      <w:rPr>
        <w:rFonts w:ascii="Palatino Linotype" w:eastAsia="Palatino Linotype" w:hAnsi="Palatino Linotype" w:cs="Palatino Linotype"/>
        <w:color w:val="000000"/>
      </w:rPr>
      <w:t xml:space="preserve"> </w:t>
    </w:r>
    <w:r w:rsidR="00F47FB5">
      <w:rPr>
        <w:rFonts w:ascii="Palatino Linotype" w:hAnsi="Palatino Linotype" w:cs="Tahoma"/>
        <w:b/>
      </w:rPr>
      <w:t>Sujeto Obligado:</w:t>
    </w:r>
    <w:r w:rsidR="00F47FB5">
      <w:rPr>
        <w:rFonts w:ascii="Palatino Linotype" w:eastAsia="Palatino Linotype" w:hAnsi="Palatino Linotype" w:cs="Palatino Linotype"/>
        <w:b/>
      </w:rPr>
      <w:t xml:space="preserve"> </w:t>
    </w:r>
    <w:r w:rsidR="00866A51">
      <w:rPr>
        <w:rFonts w:ascii="Palatino Linotype" w:hAnsi="Palatino Linotype" w:cs="Arial"/>
        <w:b/>
      </w:rPr>
      <w:t>Ayuntamiento de Tepetlixpa</w:t>
    </w:r>
  </w:p>
  <w:p w14:paraId="529674EB" w14:textId="57CFD95C" w:rsidR="00634485" w:rsidRPr="00F47FB5" w:rsidRDefault="00F47FB5" w:rsidP="00F47FB5">
    <w:pPr>
      <w:pStyle w:val="Encabezado"/>
      <w:ind w:left="2835" w:right="-250"/>
      <w:rPr>
        <w:rFonts w:ascii="Palatino Linotype" w:eastAsia="Palatino Linotype" w:hAnsi="Palatino Linotype" w:cs="Palatino Linotype"/>
      </w:rPr>
    </w:pPr>
    <w:r>
      <w:rPr>
        <w:rFonts w:ascii="Palatino Linotype" w:hAnsi="Palatino Linotype" w:cs="Tahoma"/>
        <w:b/>
      </w:rPr>
      <w:t xml:space="preserve">Comisionado Ponente: </w:t>
    </w:r>
    <w:r w:rsidR="008C2DB1">
      <w:rPr>
        <w:rFonts w:ascii="Palatino Linotype" w:eastAsia="Palatino Linotype" w:hAnsi="Palatino Linotype" w:cs="Palatino Linotype"/>
      </w:rPr>
      <w:t>José Martínez Vilchis</w:t>
    </w:r>
  </w:p>
  <w:p w14:paraId="71104997" w14:textId="77777777" w:rsidR="00634485" w:rsidRDefault="00634485" w:rsidP="00F47FB5">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106B" w14:textId="6EC0913B" w:rsidR="001112E6" w:rsidRDefault="00BF5A91">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2049"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D3217A"/>
    <w:multiLevelType w:val="hybridMultilevel"/>
    <w:tmpl w:val="1D3862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C3A0345"/>
    <w:multiLevelType w:val="hybridMultilevel"/>
    <w:tmpl w:val="85F45C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8985675"/>
    <w:multiLevelType w:val="hybridMultilevel"/>
    <w:tmpl w:val="E92E28C4"/>
    <w:lvl w:ilvl="0" w:tplc="721633D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3A29D3"/>
    <w:multiLevelType w:val="hybridMultilevel"/>
    <w:tmpl w:val="CB9A6F26"/>
    <w:lvl w:ilvl="0" w:tplc="6B529348">
      <w:start w:val="1"/>
      <w:numFmt w:val="upperLetter"/>
      <w:lvlText w:val="%1)"/>
      <w:lvlJc w:val="left"/>
      <w:pPr>
        <w:ind w:left="1494" w:hanging="360"/>
      </w:p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13">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10510C"/>
    <w:multiLevelType w:val="hybridMultilevel"/>
    <w:tmpl w:val="A0BAAABA"/>
    <w:lvl w:ilvl="0" w:tplc="ABA677E8">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7DD0D92"/>
    <w:multiLevelType w:val="hybridMultilevel"/>
    <w:tmpl w:val="3140C5E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650F4BE2"/>
    <w:multiLevelType w:val="hybridMultilevel"/>
    <w:tmpl w:val="0F14E1AA"/>
    <w:lvl w:ilvl="0" w:tplc="080A000F">
      <w:start w:val="1"/>
      <w:numFmt w:val="decimal"/>
      <w:lvlText w:val="%1."/>
      <w:lvlJc w:val="left"/>
      <w:pPr>
        <w:ind w:left="782" w:hanging="360"/>
      </w:pPr>
    </w:lvl>
    <w:lvl w:ilvl="1" w:tplc="080A0019">
      <w:start w:val="1"/>
      <w:numFmt w:val="lowerLetter"/>
      <w:lvlText w:val="%2."/>
      <w:lvlJc w:val="left"/>
      <w:pPr>
        <w:ind w:left="1502" w:hanging="360"/>
      </w:pPr>
    </w:lvl>
    <w:lvl w:ilvl="2" w:tplc="080A001B">
      <w:start w:val="1"/>
      <w:numFmt w:val="lowerRoman"/>
      <w:lvlText w:val="%3."/>
      <w:lvlJc w:val="right"/>
      <w:pPr>
        <w:ind w:left="2222" w:hanging="180"/>
      </w:pPr>
    </w:lvl>
    <w:lvl w:ilvl="3" w:tplc="080A000F">
      <w:start w:val="1"/>
      <w:numFmt w:val="decimal"/>
      <w:lvlText w:val="%4."/>
      <w:lvlJc w:val="left"/>
      <w:pPr>
        <w:ind w:left="2942" w:hanging="360"/>
      </w:pPr>
    </w:lvl>
    <w:lvl w:ilvl="4" w:tplc="080A0019">
      <w:start w:val="1"/>
      <w:numFmt w:val="lowerLetter"/>
      <w:lvlText w:val="%5."/>
      <w:lvlJc w:val="left"/>
      <w:pPr>
        <w:ind w:left="3662" w:hanging="360"/>
      </w:pPr>
    </w:lvl>
    <w:lvl w:ilvl="5" w:tplc="080A001B">
      <w:start w:val="1"/>
      <w:numFmt w:val="lowerRoman"/>
      <w:lvlText w:val="%6."/>
      <w:lvlJc w:val="right"/>
      <w:pPr>
        <w:ind w:left="4382" w:hanging="180"/>
      </w:pPr>
    </w:lvl>
    <w:lvl w:ilvl="6" w:tplc="080A000F">
      <w:start w:val="1"/>
      <w:numFmt w:val="decimal"/>
      <w:lvlText w:val="%7."/>
      <w:lvlJc w:val="left"/>
      <w:pPr>
        <w:ind w:left="5102" w:hanging="360"/>
      </w:pPr>
    </w:lvl>
    <w:lvl w:ilvl="7" w:tplc="080A0019">
      <w:start w:val="1"/>
      <w:numFmt w:val="lowerLetter"/>
      <w:lvlText w:val="%8."/>
      <w:lvlJc w:val="left"/>
      <w:pPr>
        <w:ind w:left="5822" w:hanging="360"/>
      </w:pPr>
    </w:lvl>
    <w:lvl w:ilvl="8" w:tplc="080A001B">
      <w:start w:val="1"/>
      <w:numFmt w:val="lowerRoman"/>
      <w:lvlText w:val="%9."/>
      <w:lvlJc w:val="right"/>
      <w:pPr>
        <w:ind w:left="6542" w:hanging="180"/>
      </w:pPr>
    </w:lvl>
  </w:abstractNum>
  <w:abstractNum w:abstractNumId="2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2">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4">
    <w:nsid w:val="733F0354"/>
    <w:multiLevelType w:val="multilevel"/>
    <w:tmpl w:val="1C2E9BD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9B44486"/>
    <w:multiLevelType w:val="hybridMultilevel"/>
    <w:tmpl w:val="A9709E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9"/>
  </w:num>
  <w:num w:numId="3">
    <w:abstractNumId w:val="7"/>
  </w:num>
  <w:num w:numId="4">
    <w:abstractNumId w:val="11"/>
  </w:num>
  <w:num w:numId="5">
    <w:abstractNumId w:val="22"/>
  </w:num>
  <w:num w:numId="6">
    <w:abstractNumId w:val="20"/>
  </w:num>
  <w:num w:numId="7">
    <w:abstractNumId w:val="16"/>
  </w:num>
  <w:num w:numId="8">
    <w:abstractNumId w:val="2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6"/>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7"/>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1"/>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3360D"/>
    <w:rsid w:val="00043D11"/>
    <w:rsid w:val="00055D60"/>
    <w:rsid w:val="0008542A"/>
    <w:rsid w:val="000B37D9"/>
    <w:rsid w:val="000B3FFD"/>
    <w:rsid w:val="000C43E5"/>
    <w:rsid w:val="000C4453"/>
    <w:rsid w:val="000D656A"/>
    <w:rsid w:val="000D70CC"/>
    <w:rsid w:val="00105578"/>
    <w:rsid w:val="001112E6"/>
    <w:rsid w:val="00115E7A"/>
    <w:rsid w:val="00135555"/>
    <w:rsid w:val="0018216B"/>
    <w:rsid w:val="001960A5"/>
    <w:rsid w:val="001B2762"/>
    <w:rsid w:val="001B3D11"/>
    <w:rsid w:val="001C7B07"/>
    <w:rsid w:val="0020666A"/>
    <w:rsid w:val="00216C06"/>
    <w:rsid w:val="002378AC"/>
    <w:rsid w:val="00284217"/>
    <w:rsid w:val="00294490"/>
    <w:rsid w:val="002D5B21"/>
    <w:rsid w:val="002E7D97"/>
    <w:rsid w:val="003026CE"/>
    <w:rsid w:val="00312863"/>
    <w:rsid w:val="00326EEA"/>
    <w:rsid w:val="003D1F47"/>
    <w:rsid w:val="003F528B"/>
    <w:rsid w:val="00411692"/>
    <w:rsid w:val="00430304"/>
    <w:rsid w:val="0043105B"/>
    <w:rsid w:val="00435FF9"/>
    <w:rsid w:val="00445879"/>
    <w:rsid w:val="0047213D"/>
    <w:rsid w:val="004807CC"/>
    <w:rsid w:val="00484A47"/>
    <w:rsid w:val="00484F6F"/>
    <w:rsid w:val="00487960"/>
    <w:rsid w:val="004B2706"/>
    <w:rsid w:val="004C6733"/>
    <w:rsid w:val="004D0A26"/>
    <w:rsid w:val="004E305D"/>
    <w:rsid w:val="004E7984"/>
    <w:rsid w:val="004F5E4D"/>
    <w:rsid w:val="00502EE6"/>
    <w:rsid w:val="0050559A"/>
    <w:rsid w:val="00513782"/>
    <w:rsid w:val="00524594"/>
    <w:rsid w:val="00524DDD"/>
    <w:rsid w:val="00530898"/>
    <w:rsid w:val="00575235"/>
    <w:rsid w:val="005766FA"/>
    <w:rsid w:val="005B05D8"/>
    <w:rsid w:val="005C0271"/>
    <w:rsid w:val="005C481C"/>
    <w:rsid w:val="005C4ADA"/>
    <w:rsid w:val="005D1946"/>
    <w:rsid w:val="005F3A48"/>
    <w:rsid w:val="00615B7E"/>
    <w:rsid w:val="00621357"/>
    <w:rsid w:val="00634485"/>
    <w:rsid w:val="00665800"/>
    <w:rsid w:val="0067340C"/>
    <w:rsid w:val="0068101D"/>
    <w:rsid w:val="00685B0E"/>
    <w:rsid w:val="006A7AB7"/>
    <w:rsid w:val="006B2674"/>
    <w:rsid w:val="006E55AF"/>
    <w:rsid w:val="006E6389"/>
    <w:rsid w:val="006F0A6E"/>
    <w:rsid w:val="006F30F8"/>
    <w:rsid w:val="00701B9E"/>
    <w:rsid w:val="0071093C"/>
    <w:rsid w:val="00736C06"/>
    <w:rsid w:val="00760037"/>
    <w:rsid w:val="007617C8"/>
    <w:rsid w:val="00762C20"/>
    <w:rsid w:val="007A0EB7"/>
    <w:rsid w:val="007A1C9F"/>
    <w:rsid w:val="007B1CFA"/>
    <w:rsid w:val="007B578D"/>
    <w:rsid w:val="007C0652"/>
    <w:rsid w:val="007C766E"/>
    <w:rsid w:val="007D4251"/>
    <w:rsid w:val="007D46B1"/>
    <w:rsid w:val="007D49CE"/>
    <w:rsid w:val="007E2D4F"/>
    <w:rsid w:val="007E70F8"/>
    <w:rsid w:val="00805F8E"/>
    <w:rsid w:val="00812F10"/>
    <w:rsid w:val="00820022"/>
    <w:rsid w:val="00820034"/>
    <w:rsid w:val="0086105A"/>
    <w:rsid w:val="00861117"/>
    <w:rsid w:val="00861A61"/>
    <w:rsid w:val="00866A51"/>
    <w:rsid w:val="00892AFC"/>
    <w:rsid w:val="008B0A68"/>
    <w:rsid w:val="008C19BE"/>
    <w:rsid w:val="008C2DB1"/>
    <w:rsid w:val="008C3C4B"/>
    <w:rsid w:val="008D1526"/>
    <w:rsid w:val="008F67BC"/>
    <w:rsid w:val="00956B18"/>
    <w:rsid w:val="00960590"/>
    <w:rsid w:val="00961995"/>
    <w:rsid w:val="00975EB9"/>
    <w:rsid w:val="00997CD5"/>
    <w:rsid w:val="009E155A"/>
    <w:rsid w:val="009F0D8D"/>
    <w:rsid w:val="00A16950"/>
    <w:rsid w:val="00A303B0"/>
    <w:rsid w:val="00A53363"/>
    <w:rsid w:val="00A561C5"/>
    <w:rsid w:val="00A610D3"/>
    <w:rsid w:val="00A74BB7"/>
    <w:rsid w:val="00A7532A"/>
    <w:rsid w:val="00A81140"/>
    <w:rsid w:val="00AB78CF"/>
    <w:rsid w:val="00AC0680"/>
    <w:rsid w:val="00AE38CF"/>
    <w:rsid w:val="00AE7763"/>
    <w:rsid w:val="00B014D8"/>
    <w:rsid w:val="00B05E5A"/>
    <w:rsid w:val="00B343D6"/>
    <w:rsid w:val="00B53290"/>
    <w:rsid w:val="00B64CFB"/>
    <w:rsid w:val="00B703D7"/>
    <w:rsid w:val="00B7360E"/>
    <w:rsid w:val="00B868A5"/>
    <w:rsid w:val="00BB071F"/>
    <w:rsid w:val="00BB11DB"/>
    <w:rsid w:val="00BB2AD1"/>
    <w:rsid w:val="00BB4A70"/>
    <w:rsid w:val="00BC1756"/>
    <w:rsid w:val="00BD07E6"/>
    <w:rsid w:val="00BD7483"/>
    <w:rsid w:val="00BF358F"/>
    <w:rsid w:val="00BF5A91"/>
    <w:rsid w:val="00BF68F0"/>
    <w:rsid w:val="00BF6974"/>
    <w:rsid w:val="00BF6E14"/>
    <w:rsid w:val="00C156E5"/>
    <w:rsid w:val="00C27236"/>
    <w:rsid w:val="00C65950"/>
    <w:rsid w:val="00C75CBC"/>
    <w:rsid w:val="00C80F8C"/>
    <w:rsid w:val="00C85F1D"/>
    <w:rsid w:val="00C8760D"/>
    <w:rsid w:val="00CE0FA6"/>
    <w:rsid w:val="00CF3F65"/>
    <w:rsid w:val="00D03369"/>
    <w:rsid w:val="00D20156"/>
    <w:rsid w:val="00D36ABC"/>
    <w:rsid w:val="00D96441"/>
    <w:rsid w:val="00DC2CB7"/>
    <w:rsid w:val="00DC3082"/>
    <w:rsid w:val="00DD45AC"/>
    <w:rsid w:val="00DD5CD5"/>
    <w:rsid w:val="00DE1629"/>
    <w:rsid w:val="00DE5C27"/>
    <w:rsid w:val="00E118BA"/>
    <w:rsid w:val="00E37AE3"/>
    <w:rsid w:val="00E429BA"/>
    <w:rsid w:val="00EF3513"/>
    <w:rsid w:val="00F05A30"/>
    <w:rsid w:val="00F47FB5"/>
    <w:rsid w:val="00F614DA"/>
    <w:rsid w:val="00F717F4"/>
    <w:rsid w:val="00F75892"/>
    <w:rsid w:val="00F9546D"/>
    <w:rsid w:val="00FA1233"/>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898"/>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39"/>
    <w:rsid w:val="004807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table" w:customStyle="1" w:styleId="Tablaconcuadrcula31">
    <w:name w:val="Tabla con cuadrícula31"/>
    <w:basedOn w:val="Tablanormal"/>
    <w:uiPriority w:val="59"/>
    <w:rsid w:val="00BF6E1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1868">
      <w:bodyDiv w:val="1"/>
      <w:marLeft w:val="0"/>
      <w:marRight w:val="0"/>
      <w:marTop w:val="0"/>
      <w:marBottom w:val="0"/>
      <w:divBdr>
        <w:top w:val="none" w:sz="0" w:space="0" w:color="auto"/>
        <w:left w:val="none" w:sz="0" w:space="0" w:color="auto"/>
        <w:bottom w:val="none" w:sz="0" w:space="0" w:color="auto"/>
        <w:right w:val="none" w:sz="0" w:space="0" w:color="auto"/>
      </w:divBdr>
    </w:div>
    <w:div w:id="53093500">
      <w:bodyDiv w:val="1"/>
      <w:marLeft w:val="0"/>
      <w:marRight w:val="0"/>
      <w:marTop w:val="0"/>
      <w:marBottom w:val="0"/>
      <w:divBdr>
        <w:top w:val="none" w:sz="0" w:space="0" w:color="auto"/>
        <w:left w:val="none" w:sz="0" w:space="0" w:color="auto"/>
        <w:bottom w:val="none" w:sz="0" w:space="0" w:color="auto"/>
        <w:right w:val="none" w:sz="0" w:space="0" w:color="auto"/>
      </w:divBdr>
    </w:div>
    <w:div w:id="61997195">
      <w:bodyDiv w:val="1"/>
      <w:marLeft w:val="0"/>
      <w:marRight w:val="0"/>
      <w:marTop w:val="0"/>
      <w:marBottom w:val="0"/>
      <w:divBdr>
        <w:top w:val="none" w:sz="0" w:space="0" w:color="auto"/>
        <w:left w:val="none" w:sz="0" w:space="0" w:color="auto"/>
        <w:bottom w:val="none" w:sz="0" w:space="0" w:color="auto"/>
        <w:right w:val="none" w:sz="0" w:space="0" w:color="auto"/>
      </w:divBdr>
    </w:div>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4863991">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3947067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60395914">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56251191">
      <w:bodyDiv w:val="1"/>
      <w:marLeft w:val="0"/>
      <w:marRight w:val="0"/>
      <w:marTop w:val="0"/>
      <w:marBottom w:val="0"/>
      <w:divBdr>
        <w:top w:val="none" w:sz="0" w:space="0" w:color="auto"/>
        <w:left w:val="none" w:sz="0" w:space="0" w:color="auto"/>
        <w:bottom w:val="none" w:sz="0" w:space="0" w:color="auto"/>
        <w:right w:val="none" w:sz="0" w:space="0" w:color="auto"/>
      </w:divBdr>
    </w:div>
    <w:div w:id="286742156">
      <w:bodyDiv w:val="1"/>
      <w:marLeft w:val="0"/>
      <w:marRight w:val="0"/>
      <w:marTop w:val="0"/>
      <w:marBottom w:val="0"/>
      <w:divBdr>
        <w:top w:val="none" w:sz="0" w:space="0" w:color="auto"/>
        <w:left w:val="none" w:sz="0" w:space="0" w:color="auto"/>
        <w:bottom w:val="none" w:sz="0" w:space="0" w:color="auto"/>
        <w:right w:val="none" w:sz="0" w:space="0" w:color="auto"/>
      </w:divBdr>
    </w:div>
    <w:div w:id="294724514">
      <w:bodyDiv w:val="1"/>
      <w:marLeft w:val="0"/>
      <w:marRight w:val="0"/>
      <w:marTop w:val="0"/>
      <w:marBottom w:val="0"/>
      <w:divBdr>
        <w:top w:val="none" w:sz="0" w:space="0" w:color="auto"/>
        <w:left w:val="none" w:sz="0" w:space="0" w:color="auto"/>
        <w:bottom w:val="none" w:sz="0" w:space="0" w:color="auto"/>
        <w:right w:val="none" w:sz="0" w:space="0" w:color="auto"/>
      </w:divBdr>
    </w:div>
    <w:div w:id="297683796">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45715953">
      <w:bodyDiv w:val="1"/>
      <w:marLeft w:val="0"/>
      <w:marRight w:val="0"/>
      <w:marTop w:val="0"/>
      <w:marBottom w:val="0"/>
      <w:divBdr>
        <w:top w:val="none" w:sz="0" w:space="0" w:color="auto"/>
        <w:left w:val="none" w:sz="0" w:space="0" w:color="auto"/>
        <w:bottom w:val="none" w:sz="0" w:space="0" w:color="auto"/>
        <w:right w:val="none" w:sz="0" w:space="0" w:color="auto"/>
      </w:divBdr>
    </w:div>
    <w:div w:id="347684796">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42723851">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493953308">
      <w:bodyDiv w:val="1"/>
      <w:marLeft w:val="0"/>
      <w:marRight w:val="0"/>
      <w:marTop w:val="0"/>
      <w:marBottom w:val="0"/>
      <w:divBdr>
        <w:top w:val="none" w:sz="0" w:space="0" w:color="auto"/>
        <w:left w:val="none" w:sz="0" w:space="0" w:color="auto"/>
        <w:bottom w:val="none" w:sz="0" w:space="0" w:color="auto"/>
        <w:right w:val="none" w:sz="0" w:space="0" w:color="auto"/>
      </w:divBdr>
    </w:div>
    <w:div w:id="544098276">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54778134">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608585132">
      <w:bodyDiv w:val="1"/>
      <w:marLeft w:val="0"/>
      <w:marRight w:val="0"/>
      <w:marTop w:val="0"/>
      <w:marBottom w:val="0"/>
      <w:divBdr>
        <w:top w:val="none" w:sz="0" w:space="0" w:color="auto"/>
        <w:left w:val="none" w:sz="0" w:space="0" w:color="auto"/>
        <w:bottom w:val="none" w:sz="0" w:space="0" w:color="auto"/>
        <w:right w:val="none" w:sz="0" w:space="0" w:color="auto"/>
      </w:divBdr>
    </w:div>
    <w:div w:id="631640578">
      <w:bodyDiv w:val="1"/>
      <w:marLeft w:val="0"/>
      <w:marRight w:val="0"/>
      <w:marTop w:val="0"/>
      <w:marBottom w:val="0"/>
      <w:divBdr>
        <w:top w:val="none" w:sz="0" w:space="0" w:color="auto"/>
        <w:left w:val="none" w:sz="0" w:space="0" w:color="auto"/>
        <w:bottom w:val="none" w:sz="0" w:space="0" w:color="auto"/>
        <w:right w:val="none" w:sz="0" w:space="0" w:color="auto"/>
      </w:divBdr>
    </w:div>
    <w:div w:id="682779567">
      <w:bodyDiv w:val="1"/>
      <w:marLeft w:val="0"/>
      <w:marRight w:val="0"/>
      <w:marTop w:val="0"/>
      <w:marBottom w:val="0"/>
      <w:divBdr>
        <w:top w:val="none" w:sz="0" w:space="0" w:color="auto"/>
        <w:left w:val="none" w:sz="0" w:space="0" w:color="auto"/>
        <w:bottom w:val="none" w:sz="0" w:space="0" w:color="auto"/>
        <w:right w:val="none" w:sz="0" w:space="0" w:color="auto"/>
      </w:divBdr>
    </w:div>
    <w:div w:id="708183519">
      <w:bodyDiv w:val="1"/>
      <w:marLeft w:val="0"/>
      <w:marRight w:val="0"/>
      <w:marTop w:val="0"/>
      <w:marBottom w:val="0"/>
      <w:divBdr>
        <w:top w:val="none" w:sz="0" w:space="0" w:color="auto"/>
        <w:left w:val="none" w:sz="0" w:space="0" w:color="auto"/>
        <w:bottom w:val="none" w:sz="0" w:space="0" w:color="auto"/>
        <w:right w:val="none" w:sz="0" w:space="0" w:color="auto"/>
      </w:divBdr>
    </w:div>
    <w:div w:id="715155057">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93596711">
      <w:bodyDiv w:val="1"/>
      <w:marLeft w:val="0"/>
      <w:marRight w:val="0"/>
      <w:marTop w:val="0"/>
      <w:marBottom w:val="0"/>
      <w:divBdr>
        <w:top w:val="none" w:sz="0" w:space="0" w:color="auto"/>
        <w:left w:val="none" w:sz="0" w:space="0" w:color="auto"/>
        <w:bottom w:val="none" w:sz="0" w:space="0" w:color="auto"/>
        <w:right w:val="none" w:sz="0" w:space="0" w:color="auto"/>
      </w:divBdr>
    </w:div>
    <w:div w:id="793713372">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27404894">
      <w:bodyDiv w:val="1"/>
      <w:marLeft w:val="0"/>
      <w:marRight w:val="0"/>
      <w:marTop w:val="0"/>
      <w:marBottom w:val="0"/>
      <w:divBdr>
        <w:top w:val="none" w:sz="0" w:space="0" w:color="auto"/>
        <w:left w:val="none" w:sz="0" w:space="0" w:color="auto"/>
        <w:bottom w:val="none" w:sz="0" w:space="0" w:color="auto"/>
        <w:right w:val="none" w:sz="0" w:space="0" w:color="auto"/>
      </w:divBdr>
    </w:div>
    <w:div w:id="866068401">
      <w:bodyDiv w:val="1"/>
      <w:marLeft w:val="0"/>
      <w:marRight w:val="0"/>
      <w:marTop w:val="0"/>
      <w:marBottom w:val="0"/>
      <w:divBdr>
        <w:top w:val="none" w:sz="0" w:space="0" w:color="auto"/>
        <w:left w:val="none" w:sz="0" w:space="0" w:color="auto"/>
        <w:bottom w:val="none" w:sz="0" w:space="0" w:color="auto"/>
        <w:right w:val="none" w:sz="0" w:space="0" w:color="auto"/>
      </w:divBdr>
    </w:div>
    <w:div w:id="866336915">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8644859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899678647">
      <w:bodyDiv w:val="1"/>
      <w:marLeft w:val="0"/>
      <w:marRight w:val="0"/>
      <w:marTop w:val="0"/>
      <w:marBottom w:val="0"/>
      <w:divBdr>
        <w:top w:val="none" w:sz="0" w:space="0" w:color="auto"/>
        <w:left w:val="none" w:sz="0" w:space="0" w:color="auto"/>
        <w:bottom w:val="none" w:sz="0" w:space="0" w:color="auto"/>
        <w:right w:val="none" w:sz="0" w:space="0" w:color="auto"/>
      </w:divBdr>
    </w:div>
    <w:div w:id="951203651">
      <w:bodyDiv w:val="1"/>
      <w:marLeft w:val="0"/>
      <w:marRight w:val="0"/>
      <w:marTop w:val="0"/>
      <w:marBottom w:val="0"/>
      <w:divBdr>
        <w:top w:val="none" w:sz="0" w:space="0" w:color="auto"/>
        <w:left w:val="none" w:sz="0" w:space="0" w:color="auto"/>
        <w:bottom w:val="none" w:sz="0" w:space="0" w:color="auto"/>
        <w:right w:val="none" w:sz="0" w:space="0" w:color="auto"/>
      </w:divBdr>
    </w:div>
    <w:div w:id="965769503">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78289843">
      <w:bodyDiv w:val="1"/>
      <w:marLeft w:val="0"/>
      <w:marRight w:val="0"/>
      <w:marTop w:val="0"/>
      <w:marBottom w:val="0"/>
      <w:divBdr>
        <w:top w:val="none" w:sz="0" w:space="0" w:color="auto"/>
        <w:left w:val="none" w:sz="0" w:space="0" w:color="auto"/>
        <w:bottom w:val="none" w:sz="0" w:space="0" w:color="auto"/>
        <w:right w:val="none" w:sz="0" w:space="0" w:color="auto"/>
      </w:divBdr>
    </w:div>
    <w:div w:id="1085421082">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08503709">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164786760">
      <w:bodyDiv w:val="1"/>
      <w:marLeft w:val="0"/>
      <w:marRight w:val="0"/>
      <w:marTop w:val="0"/>
      <w:marBottom w:val="0"/>
      <w:divBdr>
        <w:top w:val="none" w:sz="0" w:space="0" w:color="auto"/>
        <w:left w:val="none" w:sz="0" w:space="0" w:color="auto"/>
        <w:bottom w:val="none" w:sz="0" w:space="0" w:color="auto"/>
        <w:right w:val="none" w:sz="0" w:space="0" w:color="auto"/>
      </w:divBdr>
    </w:div>
    <w:div w:id="1168056261">
      <w:bodyDiv w:val="1"/>
      <w:marLeft w:val="0"/>
      <w:marRight w:val="0"/>
      <w:marTop w:val="0"/>
      <w:marBottom w:val="0"/>
      <w:divBdr>
        <w:top w:val="none" w:sz="0" w:space="0" w:color="auto"/>
        <w:left w:val="none" w:sz="0" w:space="0" w:color="auto"/>
        <w:bottom w:val="none" w:sz="0" w:space="0" w:color="auto"/>
        <w:right w:val="none" w:sz="0" w:space="0" w:color="auto"/>
      </w:divBdr>
    </w:div>
    <w:div w:id="1185435678">
      <w:bodyDiv w:val="1"/>
      <w:marLeft w:val="0"/>
      <w:marRight w:val="0"/>
      <w:marTop w:val="0"/>
      <w:marBottom w:val="0"/>
      <w:divBdr>
        <w:top w:val="none" w:sz="0" w:space="0" w:color="auto"/>
        <w:left w:val="none" w:sz="0" w:space="0" w:color="auto"/>
        <w:bottom w:val="none" w:sz="0" w:space="0" w:color="auto"/>
        <w:right w:val="none" w:sz="0" w:space="0" w:color="auto"/>
      </w:divBdr>
    </w:div>
    <w:div w:id="1196238048">
      <w:bodyDiv w:val="1"/>
      <w:marLeft w:val="0"/>
      <w:marRight w:val="0"/>
      <w:marTop w:val="0"/>
      <w:marBottom w:val="0"/>
      <w:divBdr>
        <w:top w:val="none" w:sz="0" w:space="0" w:color="auto"/>
        <w:left w:val="none" w:sz="0" w:space="0" w:color="auto"/>
        <w:bottom w:val="none" w:sz="0" w:space="0" w:color="auto"/>
        <w:right w:val="none" w:sz="0" w:space="0" w:color="auto"/>
      </w:divBdr>
    </w:div>
    <w:div w:id="1199515904">
      <w:bodyDiv w:val="1"/>
      <w:marLeft w:val="0"/>
      <w:marRight w:val="0"/>
      <w:marTop w:val="0"/>
      <w:marBottom w:val="0"/>
      <w:divBdr>
        <w:top w:val="none" w:sz="0" w:space="0" w:color="auto"/>
        <w:left w:val="none" w:sz="0" w:space="0" w:color="auto"/>
        <w:bottom w:val="none" w:sz="0" w:space="0" w:color="auto"/>
        <w:right w:val="none" w:sz="0" w:space="0" w:color="auto"/>
      </w:divBdr>
    </w:div>
    <w:div w:id="1200777993">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24755934">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272593444">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2920949">
      <w:bodyDiv w:val="1"/>
      <w:marLeft w:val="0"/>
      <w:marRight w:val="0"/>
      <w:marTop w:val="0"/>
      <w:marBottom w:val="0"/>
      <w:divBdr>
        <w:top w:val="none" w:sz="0" w:space="0" w:color="auto"/>
        <w:left w:val="none" w:sz="0" w:space="0" w:color="auto"/>
        <w:bottom w:val="none" w:sz="0" w:space="0" w:color="auto"/>
        <w:right w:val="none" w:sz="0" w:space="0" w:color="auto"/>
      </w:divBdr>
    </w:div>
    <w:div w:id="1415006438">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72284131">
      <w:bodyDiv w:val="1"/>
      <w:marLeft w:val="0"/>
      <w:marRight w:val="0"/>
      <w:marTop w:val="0"/>
      <w:marBottom w:val="0"/>
      <w:divBdr>
        <w:top w:val="none" w:sz="0" w:space="0" w:color="auto"/>
        <w:left w:val="none" w:sz="0" w:space="0" w:color="auto"/>
        <w:bottom w:val="none" w:sz="0" w:space="0" w:color="auto"/>
        <w:right w:val="none" w:sz="0" w:space="0" w:color="auto"/>
      </w:divBdr>
    </w:div>
    <w:div w:id="1484664365">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0292336">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1283805">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554468093">
      <w:bodyDiv w:val="1"/>
      <w:marLeft w:val="0"/>
      <w:marRight w:val="0"/>
      <w:marTop w:val="0"/>
      <w:marBottom w:val="0"/>
      <w:divBdr>
        <w:top w:val="none" w:sz="0" w:space="0" w:color="auto"/>
        <w:left w:val="none" w:sz="0" w:space="0" w:color="auto"/>
        <w:bottom w:val="none" w:sz="0" w:space="0" w:color="auto"/>
        <w:right w:val="none" w:sz="0" w:space="0" w:color="auto"/>
      </w:divBdr>
    </w:div>
    <w:div w:id="1581480268">
      <w:bodyDiv w:val="1"/>
      <w:marLeft w:val="0"/>
      <w:marRight w:val="0"/>
      <w:marTop w:val="0"/>
      <w:marBottom w:val="0"/>
      <w:divBdr>
        <w:top w:val="none" w:sz="0" w:space="0" w:color="auto"/>
        <w:left w:val="none" w:sz="0" w:space="0" w:color="auto"/>
        <w:bottom w:val="none" w:sz="0" w:space="0" w:color="auto"/>
        <w:right w:val="none" w:sz="0" w:space="0" w:color="auto"/>
      </w:divBdr>
    </w:div>
    <w:div w:id="1582987642">
      <w:bodyDiv w:val="1"/>
      <w:marLeft w:val="0"/>
      <w:marRight w:val="0"/>
      <w:marTop w:val="0"/>
      <w:marBottom w:val="0"/>
      <w:divBdr>
        <w:top w:val="none" w:sz="0" w:space="0" w:color="auto"/>
        <w:left w:val="none" w:sz="0" w:space="0" w:color="auto"/>
        <w:bottom w:val="none" w:sz="0" w:space="0" w:color="auto"/>
        <w:right w:val="none" w:sz="0" w:space="0" w:color="auto"/>
      </w:divBdr>
    </w:div>
    <w:div w:id="1663849974">
      <w:bodyDiv w:val="1"/>
      <w:marLeft w:val="0"/>
      <w:marRight w:val="0"/>
      <w:marTop w:val="0"/>
      <w:marBottom w:val="0"/>
      <w:divBdr>
        <w:top w:val="none" w:sz="0" w:space="0" w:color="auto"/>
        <w:left w:val="none" w:sz="0" w:space="0" w:color="auto"/>
        <w:bottom w:val="none" w:sz="0" w:space="0" w:color="auto"/>
        <w:right w:val="none" w:sz="0" w:space="0" w:color="auto"/>
      </w:divBdr>
    </w:div>
    <w:div w:id="1682388868">
      <w:bodyDiv w:val="1"/>
      <w:marLeft w:val="0"/>
      <w:marRight w:val="0"/>
      <w:marTop w:val="0"/>
      <w:marBottom w:val="0"/>
      <w:divBdr>
        <w:top w:val="none" w:sz="0" w:space="0" w:color="auto"/>
        <w:left w:val="none" w:sz="0" w:space="0" w:color="auto"/>
        <w:bottom w:val="none" w:sz="0" w:space="0" w:color="auto"/>
        <w:right w:val="none" w:sz="0" w:space="0" w:color="auto"/>
      </w:divBdr>
    </w:div>
    <w:div w:id="1721587547">
      <w:bodyDiv w:val="1"/>
      <w:marLeft w:val="0"/>
      <w:marRight w:val="0"/>
      <w:marTop w:val="0"/>
      <w:marBottom w:val="0"/>
      <w:divBdr>
        <w:top w:val="none" w:sz="0" w:space="0" w:color="auto"/>
        <w:left w:val="none" w:sz="0" w:space="0" w:color="auto"/>
        <w:bottom w:val="none" w:sz="0" w:space="0" w:color="auto"/>
        <w:right w:val="none" w:sz="0" w:space="0" w:color="auto"/>
      </w:divBdr>
    </w:div>
    <w:div w:id="1762335889">
      <w:bodyDiv w:val="1"/>
      <w:marLeft w:val="0"/>
      <w:marRight w:val="0"/>
      <w:marTop w:val="0"/>
      <w:marBottom w:val="0"/>
      <w:divBdr>
        <w:top w:val="none" w:sz="0" w:space="0" w:color="auto"/>
        <w:left w:val="none" w:sz="0" w:space="0" w:color="auto"/>
        <w:bottom w:val="none" w:sz="0" w:space="0" w:color="auto"/>
        <w:right w:val="none" w:sz="0" w:space="0" w:color="auto"/>
      </w:divBdr>
    </w:div>
    <w:div w:id="1763455170">
      <w:bodyDiv w:val="1"/>
      <w:marLeft w:val="0"/>
      <w:marRight w:val="0"/>
      <w:marTop w:val="0"/>
      <w:marBottom w:val="0"/>
      <w:divBdr>
        <w:top w:val="none" w:sz="0" w:space="0" w:color="auto"/>
        <w:left w:val="none" w:sz="0" w:space="0" w:color="auto"/>
        <w:bottom w:val="none" w:sz="0" w:space="0" w:color="auto"/>
        <w:right w:val="none" w:sz="0" w:space="0" w:color="auto"/>
      </w:divBdr>
    </w:div>
    <w:div w:id="1770080647">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025416">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53101903">
      <w:bodyDiv w:val="1"/>
      <w:marLeft w:val="0"/>
      <w:marRight w:val="0"/>
      <w:marTop w:val="0"/>
      <w:marBottom w:val="0"/>
      <w:divBdr>
        <w:top w:val="none" w:sz="0" w:space="0" w:color="auto"/>
        <w:left w:val="none" w:sz="0" w:space="0" w:color="auto"/>
        <w:bottom w:val="none" w:sz="0" w:space="0" w:color="auto"/>
        <w:right w:val="none" w:sz="0" w:space="0" w:color="auto"/>
      </w:divBdr>
    </w:div>
    <w:div w:id="1855144676">
      <w:bodyDiv w:val="1"/>
      <w:marLeft w:val="0"/>
      <w:marRight w:val="0"/>
      <w:marTop w:val="0"/>
      <w:marBottom w:val="0"/>
      <w:divBdr>
        <w:top w:val="none" w:sz="0" w:space="0" w:color="auto"/>
        <w:left w:val="none" w:sz="0" w:space="0" w:color="auto"/>
        <w:bottom w:val="none" w:sz="0" w:space="0" w:color="auto"/>
        <w:right w:val="none" w:sz="0" w:space="0" w:color="auto"/>
      </w:divBdr>
    </w:div>
    <w:div w:id="1886721816">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87053801">
      <w:bodyDiv w:val="1"/>
      <w:marLeft w:val="0"/>
      <w:marRight w:val="0"/>
      <w:marTop w:val="0"/>
      <w:marBottom w:val="0"/>
      <w:divBdr>
        <w:top w:val="none" w:sz="0" w:space="0" w:color="auto"/>
        <w:left w:val="none" w:sz="0" w:space="0" w:color="auto"/>
        <w:bottom w:val="none" w:sz="0" w:space="0" w:color="auto"/>
        <w:right w:val="none" w:sz="0" w:space="0" w:color="auto"/>
      </w:divBdr>
    </w:div>
    <w:div w:id="2012949222">
      <w:bodyDiv w:val="1"/>
      <w:marLeft w:val="0"/>
      <w:marRight w:val="0"/>
      <w:marTop w:val="0"/>
      <w:marBottom w:val="0"/>
      <w:divBdr>
        <w:top w:val="none" w:sz="0" w:space="0" w:color="auto"/>
        <w:left w:val="none" w:sz="0" w:space="0" w:color="auto"/>
        <w:bottom w:val="none" w:sz="0" w:space="0" w:color="auto"/>
        <w:right w:val="none" w:sz="0" w:space="0" w:color="auto"/>
      </w:divBdr>
    </w:div>
    <w:div w:id="2014995087">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125417802">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05B40-AB96-4CF9-9907-6CEA5CC99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Pages>
  <Words>3669</Words>
  <Characters>20183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6</cp:revision>
  <cp:lastPrinted>2023-01-30T22:49:00Z</cp:lastPrinted>
  <dcterms:created xsi:type="dcterms:W3CDTF">2023-02-03T20:10:00Z</dcterms:created>
  <dcterms:modified xsi:type="dcterms:W3CDTF">2023-12-20T18:41:00Z</dcterms:modified>
</cp:coreProperties>
</file>