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0142" w14:textId="5DA28696" w:rsidR="001061D8" w:rsidRPr="00AB090C" w:rsidRDefault="001061D8" w:rsidP="001061D8">
      <w:pPr>
        <w:pStyle w:val="Encabezado"/>
        <w:spacing w:line="360" w:lineRule="auto"/>
        <w:jc w:val="both"/>
        <w:rPr>
          <w:rFonts w:ascii="Palatino Linotype" w:eastAsia="MS Mincho" w:hAnsi="Palatino Linotype"/>
          <w:b/>
          <w:sz w:val="21"/>
          <w:szCs w:val="21"/>
          <w:lang w:val="es-ES_tradnl"/>
        </w:rPr>
      </w:pPr>
      <w:r w:rsidRPr="00AB090C">
        <w:rPr>
          <w:rFonts w:ascii="Palatino Linotype" w:hAnsi="Palatino Linotype" w:cs="Tahoma"/>
          <w:b/>
          <w:sz w:val="21"/>
          <w:szCs w:val="21"/>
        </w:rPr>
        <w:t xml:space="preserve">VOTO PARTICULAR QUE FORMULA EL COMISIONADO LUIS GUSTAVO PARRA NORIEGA, A LA RESOLUCIÓN DEL RECURSO DE REVISIÓN </w:t>
      </w:r>
      <w:r w:rsidR="00AA4F30" w:rsidRPr="00AA4F30">
        <w:rPr>
          <w:rFonts w:ascii="Palatino Linotype" w:eastAsia="MS Mincho" w:hAnsi="Palatino Linotype"/>
          <w:b/>
          <w:bCs/>
          <w:sz w:val="21"/>
          <w:szCs w:val="21"/>
        </w:rPr>
        <w:t>17442/INFOEM/IP/RR/2022</w:t>
      </w:r>
      <w:r w:rsidRPr="00AB090C">
        <w:rPr>
          <w:rFonts w:ascii="Palatino Linotype" w:hAnsi="Palatino Linotype" w:cs="Tahoma"/>
          <w:b/>
          <w:sz w:val="21"/>
          <w:szCs w:val="21"/>
        </w:rPr>
        <w:t xml:space="preserve">, PROMOVIDO EN CONTRA DEL </w:t>
      </w:r>
      <w:r w:rsidR="00AA4F30" w:rsidRPr="00AA4F30">
        <w:rPr>
          <w:rFonts w:ascii="Palatino Linotype" w:eastAsia="MS Mincho" w:hAnsi="Palatino Linotype"/>
          <w:b/>
          <w:sz w:val="21"/>
          <w:szCs w:val="21"/>
          <w:lang w:val="es-MX"/>
        </w:rPr>
        <w:t>SISTEMA MUNICIPAL PARA EL DESARROLLO INTEGRAL DE LA FAMILIA DE TOLUCA</w:t>
      </w:r>
      <w:r w:rsidR="00AA4F30" w:rsidRPr="00AB090C">
        <w:rPr>
          <w:rFonts w:ascii="Palatino Linotype" w:eastAsia="MS Mincho" w:hAnsi="Palatino Linotype"/>
          <w:b/>
          <w:sz w:val="21"/>
          <w:szCs w:val="21"/>
          <w:lang w:val="es-MX"/>
        </w:rPr>
        <w:t>.</w:t>
      </w:r>
    </w:p>
    <w:p w14:paraId="06511A5F" w14:textId="77777777" w:rsidR="001061D8" w:rsidRPr="00AB090C" w:rsidRDefault="001061D8" w:rsidP="001061D8">
      <w:pPr>
        <w:pStyle w:val="Encabezado"/>
        <w:spacing w:line="360" w:lineRule="auto"/>
        <w:ind w:right="-250"/>
        <w:jc w:val="both"/>
        <w:rPr>
          <w:rFonts w:ascii="Palatino Linotype" w:hAnsi="Palatino Linotype" w:cs="Tahoma"/>
          <w:sz w:val="21"/>
          <w:szCs w:val="21"/>
        </w:rPr>
      </w:pPr>
    </w:p>
    <w:p w14:paraId="706D565F" w14:textId="58866D43" w:rsidR="001061D8" w:rsidRPr="00AB090C" w:rsidRDefault="001061D8" w:rsidP="001061D8">
      <w:pPr>
        <w:tabs>
          <w:tab w:val="left" w:pos="1843"/>
        </w:tabs>
        <w:spacing w:after="0" w:line="360" w:lineRule="auto"/>
        <w:jc w:val="both"/>
        <w:rPr>
          <w:rFonts w:ascii="Palatino Linotype" w:hAnsi="Palatino Linotype" w:cs="Tahoma"/>
          <w:b/>
          <w:sz w:val="21"/>
          <w:szCs w:val="21"/>
        </w:rPr>
      </w:pPr>
      <w:r w:rsidRPr="00AB090C">
        <w:rPr>
          <w:rFonts w:ascii="Palatino Linotype" w:hAnsi="Palatino Linotype" w:cs="Tahoma"/>
          <w:sz w:val="21"/>
          <w:szCs w:val="21"/>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AB090C">
        <w:rPr>
          <w:rFonts w:ascii="Palatino Linotype" w:hAnsi="Palatino Linotype" w:cs="Tahoma"/>
          <w:b/>
          <w:sz w:val="21"/>
          <w:szCs w:val="21"/>
        </w:rPr>
        <w:t>Voto Particular</w:t>
      </w:r>
      <w:r w:rsidRPr="00AB090C">
        <w:rPr>
          <w:rFonts w:ascii="Palatino Linotype" w:hAnsi="Palatino Linotype" w:cs="Tahoma"/>
          <w:sz w:val="21"/>
          <w:szCs w:val="21"/>
        </w:rPr>
        <w:t xml:space="preserve"> por no compartir en su totalidad las consideraciones que sustentan la Resolución del Recurso de Revisión </w:t>
      </w:r>
      <w:r w:rsidR="00AA4F30" w:rsidRPr="00AA4F30">
        <w:rPr>
          <w:rFonts w:ascii="Palatino Linotype" w:eastAsia="MS Mincho" w:hAnsi="Palatino Linotype"/>
          <w:b/>
          <w:bCs/>
          <w:sz w:val="21"/>
          <w:szCs w:val="21"/>
        </w:rPr>
        <w:t>17442/INFOEM/IP/RR/2022</w:t>
      </w:r>
      <w:r w:rsidRPr="00AB090C">
        <w:rPr>
          <w:rFonts w:ascii="Palatino Linotype" w:eastAsia="MS Mincho" w:hAnsi="Palatino Linotype"/>
          <w:b/>
          <w:bCs/>
          <w:sz w:val="21"/>
          <w:szCs w:val="21"/>
        </w:rPr>
        <w:t>.</w:t>
      </w:r>
    </w:p>
    <w:p w14:paraId="2D976CA1" w14:textId="77777777" w:rsidR="001061D8" w:rsidRPr="00AB090C" w:rsidRDefault="001061D8" w:rsidP="001061D8">
      <w:pPr>
        <w:spacing w:after="0" w:line="360" w:lineRule="auto"/>
        <w:jc w:val="both"/>
        <w:rPr>
          <w:rFonts w:ascii="Palatino Linotype" w:hAnsi="Palatino Linotype" w:cs="Tahoma"/>
          <w:sz w:val="21"/>
          <w:szCs w:val="21"/>
        </w:rPr>
      </w:pPr>
    </w:p>
    <w:p w14:paraId="2856B673" w14:textId="79F0EC3A" w:rsidR="00F7600F" w:rsidRPr="00AB090C" w:rsidRDefault="00B05401" w:rsidP="00F7600F">
      <w:pPr>
        <w:spacing w:after="0" w:line="360" w:lineRule="auto"/>
        <w:jc w:val="both"/>
        <w:rPr>
          <w:rFonts w:ascii="Palatino Linotype" w:hAnsi="Palatino Linotype" w:cs="Tahoma"/>
          <w:sz w:val="21"/>
          <w:szCs w:val="21"/>
          <w:lang w:val="es-ES_tradnl"/>
        </w:rPr>
      </w:pPr>
      <w:r w:rsidRPr="00AB090C">
        <w:rPr>
          <w:rFonts w:ascii="Palatino Linotype" w:hAnsi="Palatino Linotype" w:cs="Tahoma"/>
          <w:sz w:val="21"/>
          <w:szCs w:val="21"/>
        </w:rPr>
        <w:t xml:space="preserve">Al respecto, el Particular solicitó al Sujeto Obligado </w:t>
      </w:r>
      <w:r w:rsidR="00AA4F30">
        <w:rPr>
          <w:rFonts w:ascii="Palatino Linotype" w:hAnsi="Palatino Linotype" w:cs="Tahoma"/>
          <w:sz w:val="21"/>
          <w:szCs w:val="21"/>
        </w:rPr>
        <w:t>todos los oficios firmados por el Contralor Municipal y el Director de Investigaciones y Responsabilidades del mes de septiembre de dos mil veintidós</w:t>
      </w:r>
      <w:r w:rsidR="00D8238C" w:rsidRPr="00AB090C">
        <w:rPr>
          <w:rFonts w:ascii="Palatino Linotype" w:hAnsi="Palatino Linotype"/>
          <w:sz w:val="21"/>
          <w:szCs w:val="21"/>
          <w:lang w:val="es-MX"/>
        </w:rPr>
        <w:t xml:space="preserve">, el Ente Recurrido </w:t>
      </w:r>
      <w:r w:rsidR="00AA4F30">
        <w:rPr>
          <w:rFonts w:ascii="Palatino Linotype" w:hAnsi="Palatino Linotype"/>
          <w:sz w:val="21"/>
          <w:szCs w:val="21"/>
          <w:lang w:val="es-MX"/>
        </w:rPr>
        <w:t>manifestó su incompetencia y orientó al Particular a presentar su requerimiento al Ayuntamiento de Toluca</w:t>
      </w:r>
      <w:r w:rsidR="00D8238C" w:rsidRPr="00AB090C">
        <w:rPr>
          <w:rFonts w:ascii="Palatino Linotype" w:hAnsi="Palatino Linotype"/>
          <w:sz w:val="21"/>
          <w:szCs w:val="21"/>
          <w:lang w:val="es-MX"/>
        </w:rPr>
        <w:t xml:space="preserve">, el Particular al interponer su Recurso de Revisión, señaló en sus conceptos de violación y agravios expresados, que su pretensión consistía en acceder a </w:t>
      </w:r>
      <w:r w:rsidR="00AA4F30">
        <w:rPr>
          <w:rFonts w:ascii="Palatino Linotype" w:hAnsi="Palatino Linotype"/>
          <w:sz w:val="21"/>
          <w:szCs w:val="21"/>
          <w:lang w:val="es-MX"/>
        </w:rPr>
        <w:t xml:space="preserve">la información del Órgano Interno de Control del Sujeto Obligado.  </w:t>
      </w:r>
    </w:p>
    <w:p w14:paraId="09B99A47" w14:textId="77777777" w:rsidR="001622AC" w:rsidRPr="00AB090C" w:rsidRDefault="001622AC" w:rsidP="00F7600F">
      <w:pPr>
        <w:spacing w:after="0" w:line="360" w:lineRule="auto"/>
        <w:jc w:val="both"/>
        <w:rPr>
          <w:rFonts w:ascii="Palatino Linotype" w:hAnsi="Palatino Linotype" w:cs="Tahoma"/>
          <w:sz w:val="21"/>
          <w:szCs w:val="21"/>
          <w:lang w:val="es-ES_tradnl"/>
        </w:rPr>
      </w:pPr>
    </w:p>
    <w:p w14:paraId="799FA575" w14:textId="0336EC28" w:rsidR="001622AC" w:rsidRPr="00AB090C" w:rsidRDefault="003D4367" w:rsidP="001061D8">
      <w:pPr>
        <w:spacing w:after="0" w:line="360" w:lineRule="auto"/>
        <w:jc w:val="both"/>
        <w:rPr>
          <w:rFonts w:ascii="Palatino Linotype" w:hAnsi="Palatino Linotype" w:cs="Tahoma"/>
          <w:sz w:val="21"/>
          <w:szCs w:val="21"/>
          <w:lang w:val="es-MX"/>
        </w:rPr>
      </w:pPr>
      <w:r w:rsidRPr="00AB090C">
        <w:rPr>
          <w:rFonts w:ascii="Palatino Linotype" w:hAnsi="Palatino Linotype" w:cs="Tahoma"/>
          <w:sz w:val="21"/>
          <w:szCs w:val="21"/>
        </w:rPr>
        <w:t>En los términos anteriores,</w:t>
      </w:r>
      <w:r w:rsidR="002A62AF" w:rsidRPr="00AB090C">
        <w:rPr>
          <w:rFonts w:ascii="Palatino Linotype" w:hAnsi="Palatino Linotype" w:cs="Tahoma"/>
          <w:sz w:val="21"/>
          <w:szCs w:val="21"/>
        </w:rPr>
        <w:t xml:space="preserve"> estimo necesario precisar que </w:t>
      </w:r>
      <w:r w:rsidR="005B11A3">
        <w:rPr>
          <w:rFonts w:ascii="Palatino Linotype" w:hAnsi="Palatino Linotype" w:cs="Tahoma"/>
          <w:sz w:val="21"/>
          <w:szCs w:val="21"/>
        </w:rPr>
        <w:t>difiero con</w:t>
      </w:r>
      <w:r w:rsidR="002A62AF" w:rsidRPr="00AB090C">
        <w:rPr>
          <w:rFonts w:ascii="Palatino Linotype" w:hAnsi="Palatino Linotype" w:cs="Tahoma"/>
          <w:sz w:val="21"/>
          <w:szCs w:val="21"/>
        </w:rPr>
        <w:t xml:space="preserve"> </w:t>
      </w:r>
      <w:r w:rsidR="00DD2111" w:rsidRPr="00AB090C">
        <w:rPr>
          <w:rFonts w:ascii="Palatino Linotype" w:hAnsi="Palatino Linotype" w:cs="Tahoma"/>
          <w:sz w:val="21"/>
          <w:szCs w:val="21"/>
        </w:rPr>
        <w:t xml:space="preserve">la postura de </w:t>
      </w:r>
      <w:r w:rsidR="005B11A3">
        <w:rPr>
          <w:rFonts w:ascii="Palatino Linotype" w:hAnsi="Palatino Linotype" w:cs="Tahoma"/>
          <w:sz w:val="21"/>
          <w:szCs w:val="21"/>
        </w:rPr>
        <w:t>Revocar</w:t>
      </w:r>
      <w:r w:rsidR="001622AC" w:rsidRPr="00AB090C">
        <w:rPr>
          <w:rFonts w:ascii="Palatino Linotype" w:hAnsi="Palatino Linotype" w:cs="Tahoma"/>
          <w:sz w:val="21"/>
          <w:szCs w:val="21"/>
        </w:rPr>
        <w:t xml:space="preserve"> </w:t>
      </w:r>
      <w:r w:rsidR="005B11A3">
        <w:rPr>
          <w:rFonts w:ascii="Palatino Linotype" w:hAnsi="Palatino Linotype" w:cs="Tahoma"/>
          <w:sz w:val="21"/>
          <w:szCs w:val="21"/>
        </w:rPr>
        <w:t xml:space="preserve">y ordenar el Acuerdo de Incompetencia, </w:t>
      </w:r>
      <w:r w:rsidR="001622AC" w:rsidRPr="00AB090C">
        <w:rPr>
          <w:rFonts w:ascii="Palatino Linotype" w:hAnsi="Palatino Linotype" w:cs="Tahoma"/>
          <w:sz w:val="21"/>
          <w:szCs w:val="21"/>
        </w:rPr>
        <w:t>cuando de la lectura</w:t>
      </w:r>
      <w:r w:rsidR="00770256" w:rsidRPr="00AB090C">
        <w:rPr>
          <w:rFonts w:ascii="Palatino Linotype" w:hAnsi="Palatino Linotype" w:cs="Tahoma"/>
          <w:sz w:val="21"/>
          <w:szCs w:val="21"/>
        </w:rPr>
        <w:t xml:space="preserve"> de los </w:t>
      </w:r>
      <w:r w:rsidR="00770256" w:rsidRPr="00AB090C">
        <w:rPr>
          <w:rFonts w:ascii="Palatino Linotype" w:hAnsi="Palatino Linotype" w:cs="Tahoma"/>
          <w:sz w:val="21"/>
          <w:szCs w:val="21"/>
          <w:lang w:val="es-MX"/>
        </w:rPr>
        <w:t>conceptos de violación y agravios expresados por los particulares se adviertan elementos que permitan interpretar el tipo de información a la cual pretenden acceder los particulares</w:t>
      </w:r>
      <w:r w:rsidR="00334056" w:rsidRPr="00AB090C">
        <w:rPr>
          <w:rFonts w:ascii="Palatino Linotype" w:hAnsi="Palatino Linotype" w:cs="Tahoma"/>
          <w:sz w:val="21"/>
          <w:szCs w:val="21"/>
          <w:lang w:val="es-MX"/>
        </w:rPr>
        <w:t>, esto, sin ampliar la solicitud de información.</w:t>
      </w:r>
    </w:p>
    <w:p w14:paraId="173AAE0C" w14:textId="4133BAA1" w:rsidR="007C3860" w:rsidRPr="00AB090C" w:rsidRDefault="007C3860" w:rsidP="001061D8">
      <w:pPr>
        <w:spacing w:after="0" w:line="360" w:lineRule="auto"/>
        <w:jc w:val="both"/>
        <w:rPr>
          <w:rFonts w:ascii="Palatino Linotype" w:hAnsi="Palatino Linotype" w:cs="Tahoma"/>
          <w:sz w:val="21"/>
          <w:szCs w:val="21"/>
          <w:lang w:val="es-MX"/>
        </w:rPr>
      </w:pPr>
    </w:p>
    <w:p w14:paraId="78F49463" w14:textId="4E6A9BE0" w:rsidR="00E00CEE" w:rsidRPr="00AB090C" w:rsidRDefault="007C3860" w:rsidP="001061D8">
      <w:pPr>
        <w:spacing w:after="0" w:line="360" w:lineRule="auto"/>
        <w:jc w:val="both"/>
        <w:rPr>
          <w:rFonts w:ascii="Palatino Linotype" w:hAnsi="Palatino Linotype" w:cs="Tahoma"/>
          <w:sz w:val="21"/>
          <w:szCs w:val="21"/>
          <w:lang w:val="es-MX"/>
        </w:rPr>
      </w:pPr>
      <w:r w:rsidRPr="00AB090C">
        <w:rPr>
          <w:rFonts w:ascii="Palatino Linotype" w:hAnsi="Palatino Linotype" w:cs="Tahoma"/>
          <w:sz w:val="21"/>
          <w:szCs w:val="21"/>
          <w:lang w:val="es-MX"/>
        </w:rPr>
        <w:lastRenderedPageBreak/>
        <w:t xml:space="preserve">Lo anterior, se robustece en el entendido </w:t>
      </w:r>
      <w:r w:rsidR="00641CFB" w:rsidRPr="00AB090C">
        <w:rPr>
          <w:rFonts w:ascii="Palatino Linotype" w:hAnsi="Palatino Linotype" w:cs="Tahoma"/>
          <w:sz w:val="21"/>
          <w:szCs w:val="21"/>
          <w:lang w:val="es-MX"/>
        </w:rPr>
        <w:t xml:space="preserve">de </w:t>
      </w:r>
      <w:r w:rsidRPr="00AB090C">
        <w:rPr>
          <w:rFonts w:ascii="Palatino Linotype" w:hAnsi="Palatino Linotype" w:cs="Tahoma"/>
          <w:sz w:val="21"/>
          <w:szCs w:val="21"/>
          <w:lang w:val="es-MX"/>
        </w:rPr>
        <w:t xml:space="preserve">que si bien, los solicitantes no necesariamente deben </w:t>
      </w:r>
      <w:r w:rsidR="00E00CEE" w:rsidRPr="00AB090C">
        <w:rPr>
          <w:rFonts w:ascii="Palatino Linotype" w:hAnsi="Palatino Linotype" w:cs="Tahoma"/>
          <w:sz w:val="21"/>
          <w:szCs w:val="21"/>
          <w:lang w:val="es-MX"/>
        </w:rPr>
        <w:t xml:space="preserve">ser </w:t>
      </w:r>
      <w:r w:rsidRPr="00AB090C">
        <w:rPr>
          <w:rFonts w:ascii="Palatino Linotype" w:hAnsi="Palatino Linotype" w:cs="Tahoma"/>
          <w:sz w:val="21"/>
          <w:szCs w:val="21"/>
          <w:lang w:val="es-MX"/>
        </w:rPr>
        <w:t>peritos en la materia,</w:t>
      </w:r>
      <w:r w:rsidR="00E00CEE" w:rsidRPr="00AB090C">
        <w:rPr>
          <w:rFonts w:ascii="Palatino Linotype" w:hAnsi="Palatino Linotype" w:cs="Tahoma"/>
          <w:sz w:val="21"/>
          <w:szCs w:val="21"/>
          <w:lang w:val="es-MX"/>
        </w:rPr>
        <w:t xml:space="preserve"> lo cual implica que tanto las solicitudes de información, así </w:t>
      </w:r>
      <w:r w:rsidR="00796D11" w:rsidRPr="00AB090C">
        <w:rPr>
          <w:rFonts w:ascii="Palatino Linotype" w:hAnsi="Palatino Linotype" w:cs="Tahoma"/>
          <w:sz w:val="21"/>
          <w:szCs w:val="21"/>
          <w:lang w:val="es-MX"/>
        </w:rPr>
        <w:t>como el Recurso de Revisión, al ser la garantía secundaria mediante el cual se pretende reparar cualquier posible afectación al derecho de acceso a la información pública, deben ser interpretados en aras de garantizar el principio de máxima publicidad</w:t>
      </w:r>
      <w:r w:rsidR="00641CFB" w:rsidRPr="00AB090C">
        <w:rPr>
          <w:rFonts w:ascii="Palatino Linotype" w:hAnsi="Palatino Linotype" w:cs="Tahoma"/>
          <w:sz w:val="21"/>
          <w:szCs w:val="21"/>
          <w:lang w:val="es-MX"/>
        </w:rPr>
        <w:t xml:space="preserve">, acorde con el </w:t>
      </w:r>
      <w:r w:rsidR="00641CFB" w:rsidRPr="00AB090C">
        <w:rPr>
          <w:rFonts w:ascii="Palatino Linotype" w:hAnsi="Palatino Linotype" w:cs="Tahoma"/>
          <w:sz w:val="21"/>
          <w:szCs w:val="21"/>
        </w:rPr>
        <w:t>principio de progresividad reconocido en nuestra Carta Magna.</w:t>
      </w:r>
    </w:p>
    <w:p w14:paraId="0B4BB4DB" w14:textId="1C938E70" w:rsidR="00E00CEE" w:rsidRPr="00AB090C" w:rsidRDefault="00E00CEE" w:rsidP="001061D8">
      <w:pPr>
        <w:spacing w:after="0" w:line="360" w:lineRule="auto"/>
        <w:jc w:val="both"/>
        <w:rPr>
          <w:rFonts w:ascii="Palatino Linotype" w:hAnsi="Palatino Linotype" w:cs="Tahoma"/>
          <w:sz w:val="21"/>
          <w:szCs w:val="21"/>
          <w:lang w:val="es-MX"/>
        </w:rPr>
      </w:pPr>
    </w:p>
    <w:p w14:paraId="2B586BD4" w14:textId="646C43C9" w:rsidR="003756AF" w:rsidRPr="00AB090C" w:rsidRDefault="005B11A3" w:rsidP="003756AF">
      <w:pPr>
        <w:spacing w:after="0" w:line="360" w:lineRule="auto"/>
        <w:jc w:val="both"/>
        <w:rPr>
          <w:rFonts w:ascii="Palatino Linotype" w:hAnsi="Palatino Linotype" w:cs="Tahoma"/>
          <w:sz w:val="21"/>
          <w:szCs w:val="21"/>
        </w:rPr>
      </w:pPr>
      <w:r>
        <w:rPr>
          <w:rFonts w:ascii="Palatino Linotype" w:hAnsi="Palatino Linotype" w:cs="Tahoma"/>
          <w:sz w:val="21"/>
          <w:szCs w:val="21"/>
          <w:lang w:val="es-MX"/>
        </w:rPr>
        <w:t xml:space="preserve">Conforme </w:t>
      </w:r>
      <w:r w:rsidR="009143F0" w:rsidRPr="00AB090C">
        <w:rPr>
          <w:rFonts w:ascii="Palatino Linotype" w:hAnsi="Palatino Linotype" w:cs="Tahoma"/>
          <w:sz w:val="21"/>
          <w:szCs w:val="21"/>
          <w:lang w:val="es-MX"/>
        </w:rPr>
        <w:t>a lo anterior, es oportuno hacer referencia a lo previsto en el tercer párrafo</w:t>
      </w:r>
      <w:r w:rsidR="007C3860" w:rsidRPr="00AB090C">
        <w:rPr>
          <w:rFonts w:ascii="Palatino Linotype" w:hAnsi="Palatino Linotype" w:cs="Tahoma"/>
          <w:sz w:val="21"/>
          <w:szCs w:val="21"/>
          <w:lang w:val="es-MX"/>
        </w:rPr>
        <w:t xml:space="preserve"> del artículo 1º de la Constitución Política de los Estados Unidos Mexicanos</w:t>
      </w:r>
      <w:r w:rsidR="009143F0" w:rsidRPr="00AB090C">
        <w:rPr>
          <w:rFonts w:ascii="Palatino Linotype" w:hAnsi="Palatino Linotype" w:cs="Tahoma"/>
          <w:sz w:val="21"/>
          <w:szCs w:val="21"/>
          <w:lang w:val="es-MX"/>
        </w:rPr>
        <w:t>, el cual establece que por mandato Constitucional t</w:t>
      </w:r>
      <w:r w:rsidR="007C3860" w:rsidRPr="00AB090C">
        <w:rPr>
          <w:rFonts w:ascii="Palatino Linotype" w:hAnsi="Palatino Linotype" w:cs="Tahoma"/>
          <w:sz w:val="21"/>
          <w:szCs w:val="21"/>
        </w:rPr>
        <w:t xml:space="preserve">odas las autoridades, en el ámbito de sus competencias, </w:t>
      </w:r>
      <w:r w:rsidR="003756AF" w:rsidRPr="00AB090C">
        <w:rPr>
          <w:rFonts w:ascii="Palatino Linotype" w:hAnsi="Palatino Linotype" w:cs="Tahoma"/>
          <w:sz w:val="21"/>
          <w:szCs w:val="21"/>
        </w:rPr>
        <w:t xml:space="preserve">están obligadas a proteger, garantizar, promover y respetar los derechos humanos de conformidad, entre otros, con el </w:t>
      </w:r>
      <w:r w:rsidR="003756AF" w:rsidRPr="00AB090C">
        <w:rPr>
          <w:rFonts w:ascii="Palatino Linotype" w:hAnsi="Palatino Linotype" w:cs="Tahoma"/>
          <w:b/>
          <w:bCs/>
          <w:sz w:val="21"/>
          <w:szCs w:val="21"/>
        </w:rPr>
        <w:t xml:space="preserve">principio de progresividad. </w:t>
      </w:r>
    </w:p>
    <w:p w14:paraId="2D897C2F" w14:textId="3EF12354" w:rsidR="003756AF" w:rsidRPr="00AB090C" w:rsidRDefault="003756AF" w:rsidP="007C3860">
      <w:pPr>
        <w:spacing w:after="0" w:line="360" w:lineRule="auto"/>
        <w:jc w:val="both"/>
        <w:rPr>
          <w:rFonts w:ascii="Palatino Linotype" w:hAnsi="Palatino Linotype" w:cs="Tahoma"/>
          <w:sz w:val="21"/>
          <w:szCs w:val="21"/>
        </w:rPr>
      </w:pPr>
    </w:p>
    <w:p w14:paraId="42CDE5C2" w14:textId="6AEABEEF" w:rsidR="00B53E93" w:rsidRPr="00AB090C" w:rsidRDefault="00B53E93" w:rsidP="007C3860">
      <w:pPr>
        <w:spacing w:after="0" w:line="360" w:lineRule="auto"/>
        <w:jc w:val="both"/>
        <w:rPr>
          <w:rFonts w:ascii="Palatino Linotype" w:hAnsi="Palatino Linotype" w:cs="Tahoma"/>
          <w:sz w:val="21"/>
          <w:szCs w:val="21"/>
        </w:rPr>
      </w:pPr>
      <w:r w:rsidRPr="00AB090C">
        <w:rPr>
          <w:rFonts w:ascii="Palatino Linotype" w:hAnsi="Palatino Linotype" w:cs="Tahoma"/>
          <w:sz w:val="21"/>
          <w:szCs w:val="21"/>
        </w:rPr>
        <w:t xml:space="preserve">Ahora bien, </w:t>
      </w:r>
      <w:r w:rsidR="008F3B04" w:rsidRPr="00AB090C">
        <w:rPr>
          <w:rFonts w:ascii="Palatino Linotype" w:hAnsi="Palatino Linotype" w:cs="Tahoma"/>
          <w:sz w:val="21"/>
          <w:szCs w:val="21"/>
        </w:rPr>
        <w:t>a efectos de robustecer el presente voto, conviene citar por analogía al presente caso</w:t>
      </w:r>
      <w:r w:rsidR="00641CFB" w:rsidRPr="00AB090C">
        <w:rPr>
          <w:rFonts w:ascii="Palatino Linotype" w:hAnsi="Palatino Linotype" w:cs="Tahoma"/>
          <w:sz w:val="21"/>
          <w:szCs w:val="21"/>
        </w:rPr>
        <w:t>,</w:t>
      </w:r>
      <w:r w:rsidR="008F3B04" w:rsidRPr="00AB090C">
        <w:rPr>
          <w:rFonts w:ascii="Palatino Linotype" w:hAnsi="Palatino Linotype" w:cs="Tahoma"/>
          <w:sz w:val="21"/>
          <w:szCs w:val="21"/>
        </w:rPr>
        <w:t xml:space="preserve"> lo previsto en la Tesis de Jurisprudencia: 1a./J. 85/2017 (10a.), de la Décima Época, de la Primera Sala de la Suprema Corte de Justicia de la Nación, con número de registro: 2015305, cuyo texto y rubro es el siguiente: </w:t>
      </w:r>
    </w:p>
    <w:p w14:paraId="3C9D7D1F" w14:textId="77777777" w:rsidR="008F3B04" w:rsidRPr="00AB090C" w:rsidRDefault="008F3B04" w:rsidP="008F3B04">
      <w:pPr>
        <w:spacing w:after="0" w:line="360" w:lineRule="auto"/>
        <w:jc w:val="both"/>
        <w:rPr>
          <w:rFonts w:ascii="Palatino Linotype" w:hAnsi="Palatino Linotype" w:cs="Tahoma"/>
        </w:rPr>
      </w:pPr>
    </w:p>
    <w:p w14:paraId="00D5EFE6" w14:textId="77777777" w:rsidR="008F3B04" w:rsidRPr="00AB090C" w:rsidRDefault="008F3B04" w:rsidP="008F3B04">
      <w:pPr>
        <w:spacing w:after="0" w:line="360" w:lineRule="auto"/>
        <w:ind w:left="567" w:right="567"/>
        <w:jc w:val="both"/>
        <w:rPr>
          <w:rFonts w:ascii="Palatino Linotype" w:hAnsi="Palatino Linotype" w:cs="Tahoma"/>
          <w:i/>
          <w:iCs/>
          <w:sz w:val="20"/>
          <w:szCs w:val="20"/>
        </w:rPr>
      </w:pPr>
      <w:r w:rsidRPr="00AB090C">
        <w:rPr>
          <w:rFonts w:ascii="Palatino Linotype" w:hAnsi="Palatino Linotype" w:cs="Tahoma"/>
          <w:b/>
          <w:bCs/>
          <w:i/>
          <w:iCs/>
          <w:sz w:val="20"/>
          <w:szCs w:val="20"/>
        </w:rPr>
        <w:t>PRINCIPIO DE PROGRESIVIDAD DE LOS DERECHOS HUMANOS. SU CONCEPTO Y EXIGENCIAS POSITIVAS Y NEGATIVAS</w:t>
      </w:r>
      <w:r w:rsidRPr="00AB090C">
        <w:rPr>
          <w:rFonts w:ascii="Palatino Linotype" w:hAnsi="Palatino Linotype" w:cs="Tahoma"/>
          <w:i/>
          <w:iCs/>
          <w:sz w:val="20"/>
          <w:szCs w:val="20"/>
        </w:rPr>
        <w:t>.</w:t>
      </w:r>
    </w:p>
    <w:p w14:paraId="2A60F1AB" w14:textId="77777777" w:rsidR="008F3B04" w:rsidRPr="00AB090C" w:rsidRDefault="008F3B04" w:rsidP="008F3B04">
      <w:pPr>
        <w:spacing w:after="0" w:line="360" w:lineRule="auto"/>
        <w:ind w:left="567" w:right="567"/>
        <w:jc w:val="both"/>
        <w:rPr>
          <w:rFonts w:ascii="Palatino Linotype" w:hAnsi="Palatino Linotype" w:cs="Tahoma"/>
          <w:i/>
          <w:iCs/>
          <w:sz w:val="20"/>
          <w:szCs w:val="20"/>
        </w:rPr>
      </w:pPr>
    </w:p>
    <w:p w14:paraId="6423FFEB" w14:textId="77777777" w:rsidR="008F3B04" w:rsidRPr="00AB090C" w:rsidRDefault="008F3B04" w:rsidP="008F3B04">
      <w:pPr>
        <w:spacing w:after="0" w:line="360" w:lineRule="auto"/>
        <w:ind w:left="567" w:right="567"/>
        <w:jc w:val="both"/>
        <w:rPr>
          <w:rFonts w:ascii="Palatino Linotype" w:hAnsi="Palatino Linotype" w:cs="Tahoma"/>
          <w:i/>
          <w:iCs/>
          <w:sz w:val="20"/>
          <w:szCs w:val="20"/>
        </w:rPr>
      </w:pPr>
      <w:r w:rsidRPr="00AB090C">
        <w:rPr>
          <w:rFonts w:ascii="Palatino Linotype" w:hAnsi="Palatino Linotype" w:cs="Tahoma"/>
          <w:i/>
          <w:iCs/>
          <w:sz w:val="20"/>
          <w:szCs w:val="20"/>
        </w:rPr>
        <w:t xml:space="preserve">El principio de progresividad está previsto en el artículo 1o. constitucional y en diversos tratados internacionales ratificados por México. </w:t>
      </w:r>
      <w:r w:rsidRPr="00AB090C">
        <w:rPr>
          <w:rFonts w:ascii="Palatino Linotype" w:hAnsi="Palatino Linotype" w:cs="Tahoma"/>
          <w:i/>
          <w:iCs/>
          <w:sz w:val="20"/>
          <w:szCs w:val="20"/>
          <w:u w:val="single"/>
        </w:rPr>
        <w:t>Dicho principio, en términos generales, ordena ampliar el alcance y la protección de los derechos humanos en la mayor medida posible hasta lograr su plena efectividad, de acuerdo con las circunstancias fácticas y jurídicas</w:t>
      </w:r>
      <w:r w:rsidRPr="00AB090C">
        <w:rPr>
          <w:rFonts w:ascii="Palatino Linotype" w:hAnsi="Palatino Linotype" w:cs="Tahoma"/>
          <w:i/>
          <w:iCs/>
          <w:sz w:val="20"/>
          <w:szCs w:val="20"/>
        </w:rPr>
        <w:t xml:space="preserve">. Es posible diseccionar este principio en varias exigencias de carácter tanto positivo como negativo, dirigidas a los creadores de las normas jurídicas y a sus aplicadores, con independencia del carácter formal de las autoridades respectivas, ya sean legislativas, administrativas o judiciales. En sentido positivo, del principio de progresividad derivan para el legislador (sea formal o material) la obligación de </w:t>
      </w:r>
      <w:r w:rsidRPr="00AB090C">
        <w:rPr>
          <w:rFonts w:ascii="Palatino Linotype" w:hAnsi="Palatino Linotype" w:cs="Tahoma"/>
          <w:i/>
          <w:iCs/>
          <w:sz w:val="20"/>
          <w:szCs w:val="20"/>
        </w:rPr>
        <w:lastRenderedPageBreak/>
        <w:t xml:space="preserve">ampliar el alcance y la tutela de los derechos humanos; y </w:t>
      </w:r>
      <w:r w:rsidRPr="00AB090C">
        <w:rPr>
          <w:rFonts w:ascii="Palatino Linotype" w:hAnsi="Palatino Linotype" w:cs="Tahoma"/>
          <w:i/>
          <w:iCs/>
          <w:sz w:val="20"/>
          <w:szCs w:val="20"/>
          <w:u w:val="single"/>
        </w:rPr>
        <w:t>para el aplicador, el deber de interpretar las normas de manera que se amplíen, en lo posible jurídicamente, esos aspectos de los derechos</w:t>
      </w:r>
      <w:r w:rsidRPr="00AB090C">
        <w:rPr>
          <w:rFonts w:ascii="Palatino Linotype" w:hAnsi="Palatino Linotype" w:cs="Tahoma"/>
          <w:i/>
          <w:iCs/>
          <w:sz w:val="20"/>
          <w:szCs w:val="20"/>
        </w:rPr>
        <w:t>. En sentido negativo, impone una prohibición de regresividad: el legislador tiene prohibido, en principio, emitir actos legislativos que limiten, restrinjan, eliminen o desconozcan el alcance y la tutela que en determinado momento ya se reconocía a los derechos humanos, y el aplicador tiene prohibido interpretar las normas sobre derechos humanos de manera regresiva, esto es, atribuyéndoles un sentido que implique desconocer la extensión de los derechos humanos y su nivel de tutela admitido previamente. En congruencia con este principio, el alcance y nivel de protección reconocidos a los derechos humanos tanto por la Constitución como por los tratados internacionales, deben ser concebidos como un mínimo que el Estado Mexicano tiene la obligación inmediata de respetar (no regresividad) y, a la vez, el punto de partida para su desarrollo gradual (deber positivo de progresar).</w:t>
      </w:r>
    </w:p>
    <w:p w14:paraId="541DB4B2" w14:textId="77777777" w:rsidR="008F3B04" w:rsidRPr="00AB090C" w:rsidRDefault="008F3B04" w:rsidP="008F3B04">
      <w:pPr>
        <w:spacing w:after="0" w:line="360" w:lineRule="auto"/>
        <w:jc w:val="both"/>
        <w:rPr>
          <w:rFonts w:ascii="Palatino Linotype" w:hAnsi="Palatino Linotype" w:cs="Tahoma"/>
        </w:rPr>
      </w:pPr>
    </w:p>
    <w:p w14:paraId="3323D6EB" w14:textId="19B38D67" w:rsidR="008F3B04" w:rsidRPr="00AB090C" w:rsidRDefault="00881FA8" w:rsidP="007C3860">
      <w:pPr>
        <w:spacing w:after="0" w:line="360" w:lineRule="auto"/>
        <w:jc w:val="both"/>
        <w:rPr>
          <w:rFonts w:ascii="Palatino Linotype" w:hAnsi="Palatino Linotype" w:cs="Tahoma"/>
          <w:sz w:val="21"/>
          <w:szCs w:val="21"/>
        </w:rPr>
      </w:pPr>
      <w:r w:rsidRPr="00AB090C">
        <w:rPr>
          <w:rFonts w:ascii="Palatino Linotype" w:hAnsi="Palatino Linotype" w:cs="Tahoma"/>
          <w:sz w:val="21"/>
          <w:szCs w:val="21"/>
        </w:rPr>
        <w:t>Conforme a lo anterior, la aplicabilidad del principio de progresividad implica ampliar el alcance y la protección de los derechos humanos en la mayor medida posible hasta lograr su plena efectividad, es por eso que, tal como lo he expuesto en párrafos anteriores, si de la lectura de los conceptos de violación y agravios expresados por los particulares se adviertan elementos que permitan interpretar el tipo de información al que se pretende acceder, sin modificar plenamente la solicitud de información inicial, se debe garantizar que los Particulares accedan a es</w:t>
      </w:r>
      <w:r w:rsidR="00120F8B" w:rsidRPr="00AB090C">
        <w:rPr>
          <w:rFonts w:ascii="Palatino Linotype" w:hAnsi="Palatino Linotype" w:cs="Tahoma"/>
          <w:sz w:val="21"/>
          <w:szCs w:val="21"/>
        </w:rPr>
        <w:t>a</w:t>
      </w:r>
      <w:r w:rsidRPr="00AB090C">
        <w:rPr>
          <w:rFonts w:ascii="Palatino Linotype" w:hAnsi="Palatino Linotype" w:cs="Tahoma"/>
          <w:sz w:val="21"/>
          <w:szCs w:val="21"/>
        </w:rPr>
        <w:t xml:space="preserve"> información. </w:t>
      </w:r>
    </w:p>
    <w:p w14:paraId="413FCEAB" w14:textId="47E84C37" w:rsidR="00881FA8" w:rsidRPr="00AB090C" w:rsidRDefault="00881FA8" w:rsidP="00881FA8">
      <w:pPr>
        <w:spacing w:after="0" w:line="360" w:lineRule="auto"/>
        <w:jc w:val="both"/>
        <w:rPr>
          <w:rFonts w:ascii="Palatino Linotype" w:hAnsi="Palatino Linotype" w:cs="Tahoma"/>
          <w:sz w:val="21"/>
          <w:szCs w:val="21"/>
        </w:rPr>
      </w:pPr>
    </w:p>
    <w:p w14:paraId="69B111A4" w14:textId="0FCB1FFC" w:rsidR="008F3B04" w:rsidRPr="00AB090C" w:rsidRDefault="00893A5C" w:rsidP="007C3860">
      <w:pPr>
        <w:spacing w:after="0" w:line="360" w:lineRule="auto"/>
        <w:jc w:val="both"/>
        <w:rPr>
          <w:rFonts w:ascii="Palatino Linotype" w:hAnsi="Palatino Linotype" w:cs="Tahoma"/>
          <w:sz w:val="21"/>
          <w:szCs w:val="21"/>
        </w:rPr>
      </w:pPr>
      <w:r w:rsidRPr="00AB090C">
        <w:rPr>
          <w:rFonts w:ascii="Palatino Linotype" w:hAnsi="Palatino Linotype" w:cs="Tahoma"/>
          <w:sz w:val="21"/>
          <w:szCs w:val="21"/>
        </w:rPr>
        <w:t>Por otra parte, el principio de progresividad de los derechos humanos, establece la obligación al aplicador (autoridad) de interpretar las normas de manera que se amplíen, en lo posible jurídicamente, esos aspectos de los derechos, tal como lo es, la aplicación de la Ley de Transparencia y Acceso a la Información Pública del Estado de México y Municipios.</w:t>
      </w:r>
    </w:p>
    <w:p w14:paraId="6F30F618" w14:textId="445DEDDB" w:rsidR="008F3B04" w:rsidRPr="00AB090C" w:rsidRDefault="008F3B04" w:rsidP="007C3860">
      <w:pPr>
        <w:spacing w:after="0" w:line="360" w:lineRule="auto"/>
        <w:jc w:val="both"/>
        <w:rPr>
          <w:rFonts w:ascii="Palatino Linotype" w:hAnsi="Palatino Linotype" w:cs="Tahoma"/>
          <w:sz w:val="21"/>
          <w:szCs w:val="21"/>
        </w:rPr>
      </w:pPr>
    </w:p>
    <w:p w14:paraId="272DB32C" w14:textId="21B02FF3" w:rsidR="00395D86" w:rsidRPr="00AB090C" w:rsidRDefault="00395D86" w:rsidP="00395D86">
      <w:pPr>
        <w:spacing w:after="0" w:line="360" w:lineRule="auto"/>
        <w:jc w:val="both"/>
        <w:rPr>
          <w:rFonts w:ascii="Palatino Linotype" w:hAnsi="Palatino Linotype" w:cs="Tahoma"/>
          <w:sz w:val="21"/>
          <w:szCs w:val="21"/>
        </w:rPr>
      </w:pPr>
      <w:r w:rsidRPr="00AB090C">
        <w:rPr>
          <w:rFonts w:ascii="Palatino Linotype" w:hAnsi="Palatino Linotype" w:cs="Tahoma"/>
          <w:sz w:val="21"/>
          <w:szCs w:val="21"/>
        </w:rPr>
        <w:t xml:space="preserve">Finalmente, no se pierde de vista que el principio de progresividad que rige en materia de los derechos humanos implica tanto gradualidad como progreso. A saber, de estos dos aspectos, la Segunda Sala de la Suprema Corte de Justicia de la Nación, a establecido en la Tesis de </w:t>
      </w:r>
      <w:r w:rsidRPr="00AB090C">
        <w:rPr>
          <w:rFonts w:ascii="Palatino Linotype" w:hAnsi="Palatino Linotype" w:cs="Tahoma"/>
          <w:sz w:val="21"/>
          <w:szCs w:val="21"/>
        </w:rPr>
        <w:lastRenderedPageBreak/>
        <w:t xml:space="preserve">Jurisprudencia 2a./J. 35/2019 (10a.) de la Décima Época, con número de registro 2019325, </w:t>
      </w:r>
      <w:r w:rsidR="00F75155" w:rsidRPr="00AB090C">
        <w:rPr>
          <w:rFonts w:ascii="Palatino Linotype" w:hAnsi="Palatino Linotype" w:cs="Tahoma"/>
          <w:sz w:val="21"/>
          <w:szCs w:val="21"/>
        </w:rPr>
        <w:t xml:space="preserve">estableció </w:t>
      </w:r>
      <w:r w:rsidRPr="00AB090C">
        <w:rPr>
          <w:rFonts w:ascii="Palatino Linotype" w:hAnsi="Palatino Linotype" w:cs="Tahoma"/>
          <w:sz w:val="21"/>
          <w:szCs w:val="21"/>
        </w:rPr>
        <w:t xml:space="preserve">que la gradualidad se refiere a que la efectividad de los derechos humanos no se logra de manera inmediata, sino que conlleva todo un proceso y que </w:t>
      </w:r>
      <w:proofErr w:type="gramStart"/>
      <w:r w:rsidRPr="00AB090C">
        <w:rPr>
          <w:rFonts w:ascii="Palatino Linotype" w:hAnsi="Palatino Linotype" w:cs="Tahoma"/>
          <w:sz w:val="21"/>
          <w:szCs w:val="21"/>
        </w:rPr>
        <w:t>el progresos</w:t>
      </w:r>
      <w:proofErr w:type="gramEnd"/>
      <w:r w:rsidRPr="00AB090C">
        <w:rPr>
          <w:rFonts w:ascii="Palatino Linotype" w:hAnsi="Palatino Linotype" w:cs="Tahoma"/>
          <w:sz w:val="21"/>
          <w:szCs w:val="21"/>
        </w:rPr>
        <w:t xml:space="preserve"> implica que el disfrute de los derechos siempre debe mejorar. En razón de lo anterior, la tesis en cita es del texto y rubro siguientes: </w:t>
      </w:r>
    </w:p>
    <w:p w14:paraId="11B4EF7B" w14:textId="77777777" w:rsidR="00120F8B" w:rsidRPr="00AB090C" w:rsidRDefault="00120F8B" w:rsidP="00120F8B">
      <w:pPr>
        <w:spacing w:after="0" w:line="360" w:lineRule="auto"/>
        <w:jc w:val="both"/>
        <w:rPr>
          <w:rFonts w:ascii="Palatino Linotype" w:hAnsi="Palatino Linotype" w:cs="Tahoma"/>
        </w:rPr>
      </w:pPr>
    </w:p>
    <w:p w14:paraId="65540617" w14:textId="77777777" w:rsidR="00120F8B" w:rsidRPr="00AB090C" w:rsidRDefault="00120F8B" w:rsidP="00395D86">
      <w:pPr>
        <w:spacing w:after="0" w:line="360" w:lineRule="auto"/>
        <w:ind w:left="567" w:right="567"/>
        <w:jc w:val="both"/>
        <w:rPr>
          <w:rFonts w:ascii="Palatino Linotype" w:hAnsi="Palatino Linotype" w:cs="Tahoma"/>
          <w:i/>
          <w:iCs/>
          <w:sz w:val="20"/>
          <w:szCs w:val="20"/>
        </w:rPr>
      </w:pPr>
      <w:r w:rsidRPr="00AB090C">
        <w:rPr>
          <w:rFonts w:ascii="Palatino Linotype" w:hAnsi="Palatino Linotype" w:cs="Tahoma"/>
          <w:b/>
          <w:bCs/>
          <w:i/>
          <w:iCs/>
          <w:sz w:val="20"/>
          <w:szCs w:val="20"/>
        </w:rPr>
        <w:t>PRINCIPIO DE PROGRESIVIDAD DE LOS DERECHOS HUMANOS. SU NATURALEZA Y FUNCIÓN EN EL ESTADO MEXICANO</w:t>
      </w:r>
      <w:r w:rsidRPr="00AB090C">
        <w:rPr>
          <w:rFonts w:ascii="Palatino Linotype" w:hAnsi="Palatino Linotype" w:cs="Tahoma"/>
          <w:i/>
          <w:iCs/>
          <w:sz w:val="20"/>
          <w:szCs w:val="20"/>
        </w:rPr>
        <w:t>.</w:t>
      </w:r>
    </w:p>
    <w:p w14:paraId="637A9A56" w14:textId="77777777" w:rsidR="00120F8B" w:rsidRPr="00AB090C" w:rsidRDefault="00120F8B" w:rsidP="00395D86">
      <w:pPr>
        <w:spacing w:after="0" w:line="360" w:lineRule="auto"/>
        <w:ind w:left="567" w:right="567"/>
        <w:jc w:val="both"/>
        <w:rPr>
          <w:rFonts w:ascii="Palatino Linotype" w:hAnsi="Palatino Linotype" w:cs="Tahoma"/>
          <w:i/>
          <w:iCs/>
          <w:sz w:val="20"/>
          <w:szCs w:val="20"/>
        </w:rPr>
      </w:pPr>
    </w:p>
    <w:p w14:paraId="01F94832" w14:textId="0AA0A524" w:rsidR="005A0324" w:rsidRPr="00AB090C" w:rsidRDefault="00120F8B" w:rsidP="00F75155">
      <w:pPr>
        <w:spacing w:after="0" w:line="360" w:lineRule="auto"/>
        <w:ind w:left="567" w:right="567"/>
        <w:jc w:val="both"/>
        <w:rPr>
          <w:rFonts w:ascii="Palatino Linotype" w:hAnsi="Palatino Linotype" w:cs="Tahoma"/>
          <w:i/>
          <w:iCs/>
          <w:sz w:val="20"/>
          <w:szCs w:val="20"/>
        </w:rPr>
      </w:pPr>
      <w:r w:rsidRPr="00AB090C">
        <w:rPr>
          <w:rFonts w:ascii="Palatino Linotype" w:hAnsi="Palatino Linotype" w:cs="Tahoma"/>
          <w:i/>
          <w:iCs/>
          <w:sz w:val="20"/>
          <w:szCs w:val="20"/>
        </w:rPr>
        <w:t xml:space="preserve">El principio de progresividad que rige en materia de los derechos humanos implica tanto gradualidad como progreso. </w:t>
      </w:r>
      <w:r w:rsidRPr="00AB090C">
        <w:rPr>
          <w:rFonts w:ascii="Palatino Linotype" w:hAnsi="Palatino Linotype" w:cs="Tahoma"/>
          <w:i/>
          <w:iCs/>
          <w:sz w:val="20"/>
          <w:szCs w:val="20"/>
          <w:u w:val="single"/>
        </w:rPr>
        <w:t>La gradualidad se refiere a que, generalmente, la efectividad de los derechos humanos no se logra de manera inmediata, sino que conlleva todo un proceso que supone definir metas a corto, mediano y largo plazos</w:t>
      </w:r>
      <w:r w:rsidRPr="00AB090C">
        <w:rPr>
          <w:rFonts w:ascii="Palatino Linotype" w:hAnsi="Palatino Linotype" w:cs="Tahoma"/>
          <w:i/>
          <w:iCs/>
          <w:sz w:val="20"/>
          <w:szCs w:val="20"/>
        </w:rPr>
        <w:t xml:space="preserve">. Por su parte, </w:t>
      </w:r>
      <w:r w:rsidRPr="00AB090C">
        <w:rPr>
          <w:rFonts w:ascii="Palatino Linotype" w:hAnsi="Palatino Linotype" w:cs="Tahoma"/>
          <w:i/>
          <w:iCs/>
          <w:sz w:val="20"/>
          <w:szCs w:val="20"/>
          <w:u w:val="single"/>
        </w:rPr>
        <w:t>el progreso implica que el disfrute de los derechos siempre debe mejorar</w:t>
      </w:r>
      <w:r w:rsidRPr="00AB090C">
        <w:rPr>
          <w:rFonts w:ascii="Palatino Linotype" w:hAnsi="Palatino Linotype" w:cs="Tahoma"/>
          <w:i/>
          <w:iCs/>
          <w:sz w:val="20"/>
          <w:szCs w:val="20"/>
        </w:rPr>
        <w:t>. En tal sentido, el principio de progresividad de los derechos humanos se relaciona no sólo con la prohibición de regresividad del disfrute de los derechos fundamentales, sino también con la obligación positiva de promoverlos de manera progresiva y gradual, pues como lo señaló el Constituyente Permanente, el Estado mexicano tiene el mandato constitucional de realizar todos los cambios y transformaciones necesarias en la estructura económica, social, política y cultural del país, de manera que se garantice que todas las personas puedan disfrutar de sus derechos humanos. Por tanto, el principio aludido exige a todas las autoridades del Estado mexicano, en el ámbito de su competencia, incrementar el grado de tutela en la promoción, respeto, protección y garantía de los derechos humanos y también les impide, en virtud de su expresión de no regresividad, adoptar medidas que sin plena justificación constitucional disminuyan el nivel de la protección a los derechos humanos de quienes se someten al orden jurídico del Estado mexicano.</w:t>
      </w:r>
    </w:p>
    <w:p w14:paraId="4FEC0129" w14:textId="77777777" w:rsidR="00F75155" w:rsidRPr="00AB090C" w:rsidRDefault="00F75155" w:rsidP="00F75155">
      <w:pPr>
        <w:spacing w:after="0" w:line="360" w:lineRule="auto"/>
        <w:ind w:left="567" w:right="567"/>
        <w:jc w:val="both"/>
        <w:rPr>
          <w:rFonts w:ascii="Palatino Linotype" w:hAnsi="Palatino Linotype" w:cs="Tahoma"/>
          <w:i/>
          <w:iCs/>
          <w:sz w:val="20"/>
          <w:szCs w:val="20"/>
        </w:rPr>
      </w:pPr>
    </w:p>
    <w:p w14:paraId="554D9BF0" w14:textId="01598F9E" w:rsidR="0089777A" w:rsidRPr="00F75155" w:rsidRDefault="001061D8" w:rsidP="00F75155">
      <w:pPr>
        <w:spacing w:after="0" w:line="360" w:lineRule="auto"/>
        <w:jc w:val="both"/>
        <w:rPr>
          <w:rFonts w:ascii="Palatino Linotype" w:hAnsi="Palatino Linotype" w:cs="Tahoma"/>
        </w:rPr>
      </w:pPr>
      <w:r w:rsidRPr="00AB090C">
        <w:rPr>
          <w:rFonts w:ascii="Palatino Linotype" w:hAnsi="Palatino Linotype" w:cs="Tahoma"/>
        </w:rPr>
        <w:t>Así, con base en los razonamientos expuestos, se emite el Presente Voto Particular.</w:t>
      </w:r>
      <w:r w:rsidRPr="00AB090C">
        <w:rPr>
          <w:rFonts w:ascii="Palatino Linotype" w:eastAsia="Calibri" w:hAnsi="Palatino Linotype" w:cs="Times New Roman"/>
          <w:lang w:val="es-MX"/>
        </w:rPr>
        <w:t xml:space="preserve"> </w:t>
      </w:r>
      <w:r w:rsidRPr="00AB090C">
        <w:rPr>
          <w:rFonts w:ascii="Palatino Linotype" w:hAnsi="Palatino Linotype" w:cs="Tahoma"/>
          <w:lang w:val="es-MX"/>
        </w:rPr>
        <w:t>-----------------------------------------------------------------------------------------------------------------------------------</w:t>
      </w:r>
      <w:r>
        <w:rPr>
          <w:rFonts w:ascii="Palatino Linotype" w:hAnsi="Palatino Linotype" w:cs="Tahoma"/>
        </w:rPr>
        <w:br w:type="page"/>
      </w:r>
    </w:p>
    <w:sectPr w:rsidR="0089777A" w:rsidRPr="00F75155" w:rsidSect="008E1028">
      <w:headerReference w:type="default" r:id="rId6"/>
      <w:footerReference w:type="default" r:id="rId7"/>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592E" w14:textId="77777777" w:rsidR="00C52B23" w:rsidRDefault="00C52B23" w:rsidP="001061D8">
      <w:pPr>
        <w:spacing w:after="0" w:line="240" w:lineRule="auto"/>
      </w:pPr>
      <w:r>
        <w:separator/>
      </w:r>
    </w:p>
  </w:endnote>
  <w:endnote w:type="continuationSeparator" w:id="0">
    <w:p w14:paraId="14560E9B" w14:textId="77777777" w:rsidR="00C52B23" w:rsidRDefault="00C52B23" w:rsidP="0010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69DC6832" w14:textId="77777777" w:rsidR="00AC333A" w:rsidRDefault="001061D8">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DD2111">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D2111">
              <w:rPr>
                <w:b/>
                <w:bCs/>
                <w:noProof/>
              </w:rPr>
              <w:t>4</w:t>
            </w:r>
            <w:r>
              <w:rPr>
                <w:b/>
                <w:bCs/>
                <w:sz w:val="24"/>
                <w:szCs w:val="24"/>
              </w:rPr>
              <w:fldChar w:fldCharType="end"/>
            </w:r>
          </w:p>
        </w:sdtContent>
      </w:sdt>
    </w:sdtContent>
  </w:sdt>
  <w:p w14:paraId="479638A8"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E103" w14:textId="77777777" w:rsidR="00C52B23" w:rsidRDefault="00C52B23" w:rsidP="001061D8">
      <w:pPr>
        <w:spacing w:after="0" w:line="240" w:lineRule="auto"/>
      </w:pPr>
      <w:r>
        <w:separator/>
      </w:r>
    </w:p>
  </w:footnote>
  <w:footnote w:type="continuationSeparator" w:id="0">
    <w:p w14:paraId="2F7B2DF0" w14:textId="77777777" w:rsidR="00C52B23" w:rsidRDefault="00C52B23" w:rsidP="00106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812"/>
    </w:tblGrid>
    <w:tr w:rsidR="0077694E" w:rsidRPr="001106EA" w14:paraId="25EB7EF1" w14:textId="77777777" w:rsidTr="00AA4F30">
      <w:trPr>
        <w:trHeight w:val="1843"/>
      </w:trPr>
      <w:tc>
        <w:tcPr>
          <w:tcW w:w="2977" w:type="dxa"/>
          <w:vAlign w:val="bottom"/>
        </w:tcPr>
        <w:p w14:paraId="0354F197" w14:textId="77777777" w:rsidR="0077694E" w:rsidRDefault="001061D8"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7E9180AF" wp14:editId="2F02B655">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C4EBBE" w14:textId="77777777" w:rsidR="00285C7B" w:rsidRDefault="00000000" w:rsidP="00285C7B">
          <w:pPr>
            <w:pStyle w:val="Encabezado"/>
            <w:tabs>
              <w:tab w:val="clear" w:pos="4252"/>
              <w:tab w:val="center" w:pos="2614"/>
            </w:tabs>
            <w:ind w:left="-255"/>
          </w:pPr>
        </w:p>
      </w:tc>
      <w:tc>
        <w:tcPr>
          <w:tcW w:w="5812" w:type="dxa"/>
          <w:vAlign w:val="center"/>
        </w:tcPr>
        <w:p w14:paraId="5994D993" w14:textId="77777777" w:rsidR="001106EA" w:rsidRPr="00B9745A" w:rsidRDefault="001061D8" w:rsidP="00AA4F30">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B83874F" w14:textId="4394801F" w:rsidR="00750BF1" w:rsidRDefault="001061D8" w:rsidP="00AA4F30">
          <w:pPr>
            <w:pStyle w:val="Encabezado"/>
            <w:ind w:left="-108" w:right="37"/>
            <w:jc w:val="both"/>
            <w:rPr>
              <w:rFonts w:ascii="Palatino Linotype" w:hAnsi="Palatino Linotype"/>
              <w:bCs/>
              <w:lang w:val="es-MX"/>
            </w:rPr>
          </w:pPr>
          <w:r w:rsidRPr="00B9745A">
            <w:rPr>
              <w:rFonts w:ascii="Palatino Linotype" w:hAnsi="Palatino Linotype" w:cs="Tahoma"/>
              <w:b/>
            </w:rPr>
            <w:t xml:space="preserve">Recurso de Revisión: </w:t>
          </w:r>
          <w:r w:rsidR="00AA4F30" w:rsidRPr="00AA4F30">
            <w:rPr>
              <w:rFonts w:ascii="Palatino Linotype" w:hAnsi="Palatino Linotype"/>
              <w:bCs/>
              <w:lang w:val="es-MX"/>
            </w:rPr>
            <w:t>17442/INFOEM/IP/RR/2022</w:t>
          </w:r>
        </w:p>
        <w:p w14:paraId="49010EBE" w14:textId="04B1FFF9" w:rsidR="00100065" w:rsidRDefault="001061D8" w:rsidP="00AA4F30">
          <w:pPr>
            <w:pStyle w:val="Encabezado"/>
            <w:ind w:left="-108" w:right="37"/>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AA4F30" w:rsidRPr="00AA4F30">
            <w:rPr>
              <w:rFonts w:ascii="Palatino Linotype" w:hAnsi="Palatino Linotype"/>
              <w:lang w:val="es-MX"/>
            </w:rPr>
            <w:t>Sistema Municipal Para el Desarrollo Integral de la Familia de Toluca</w:t>
          </w:r>
        </w:p>
        <w:p w14:paraId="489F64D1" w14:textId="6CDB47D9" w:rsidR="00285C7B" w:rsidRPr="00285C7B" w:rsidRDefault="001061D8" w:rsidP="00AA4F30">
          <w:pPr>
            <w:pStyle w:val="Encabezado"/>
            <w:tabs>
              <w:tab w:val="clear" w:pos="4252"/>
              <w:tab w:val="center" w:pos="2589"/>
            </w:tabs>
            <w:ind w:left="-108" w:right="600"/>
            <w:jc w:val="both"/>
            <w:rPr>
              <w:rFonts w:ascii="Palatino Linotype" w:hAnsi="Palatino Linotype"/>
              <w:bCs/>
              <w:lang w:val="es-ES_tradnl"/>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 </w:t>
          </w:r>
          <w:r w:rsidR="00AA4F30" w:rsidRPr="00AA4F30">
            <w:rPr>
              <w:rFonts w:ascii="Palatino Linotype" w:hAnsi="Palatino Linotype" w:cs="Arial"/>
              <w:szCs w:val="20"/>
            </w:rPr>
            <w:t>Sharon Cristina Morales Martínez</w:t>
          </w:r>
        </w:p>
      </w:tc>
    </w:tr>
  </w:tbl>
  <w:p w14:paraId="5671B54C" w14:textId="77777777" w:rsidR="00D55429" w:rsidRPr="001106EA" w:rsidRDefault="00000000">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D8"/>
    <w:rsid w:val="000421EE"/>
    <w:rsid w:val="00100CC0"/>
    <w:rsid w:val="001061D8"/>
    <w:rsid w:val="00114559"/>
    <w:rsid w:val="00120F8B"/>
    <w:rsid w:val="001622AC"/>
    <w:rsid w:val="001975CE"/>
    <w:rsid w:val="002A62AF"/>
    <w:rsid w:val="00334056"/>
    <w:rsid w:val="003756AF"/>
    <w:rsid w:val="00395D86"/>
    <w:rsid w:val="003D4367"/>
    <w:rsid w:val="004516DA"/>
    <w:rsid w:val="004952C5"/>
    <w:rsid w:val="0052699E"/>
    <w:rsid w:val="005A0324"/>
    <w:rsid w:val="005B11A3"/>
    <w:rsid w:val="006104B2"/>
    <w:rsid w:val="00641CFB"/>
    <w:rsid w:val="00750BF1"/>
    <w:rsid w:val="00770256"/>
    <w:rsid w:val="00796D11"/>
    <w:rsid w:val="007C3860"/>
    <w:rsid w:val="00881FA8"/>
    <w:rsid w:val="00893A5C"/>
    <w:rsid w:val="0089777A"/>
    <w:rsid w:val="008B61F0"/>
    <w:rsid w:val="008F3B04"/>
    <w:rsid w:val="009143F0"/>
    <w:rsid w:val="00AA4F30"/>
    <w:rsid w:val="00AB090C"/>
    <w:rsid w:val="00B05401"/>
    <w:rsid w:val="00B53E93"/>
    <w:rsid w:val="00C52B23"/>
    <w:rsid w:val="00D8238C"/>
    <w:rsid w:val="00DD2111"/>
    <w:rsid w:val="00E00CEE"/>
    <w:rsid w:val="00E04D58"/>
    <w:rsid w:val="00F27098"/>
    <w:rsid w:val="00F75155"/>
    <w:rsid w:val="00F76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E91EE"/>
  <w15:chartTrackingRefBased/>
  <w15:docId w15:val="{F1107878-DA18-4775-AC13-55D3301E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1D8"/>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61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61D8"/>
    <w:rPr>
      <w:lang w:val="es-ES"/>
    </w:rPr>
  </w:style>
  <w:style w:type="paragraph" w:styleId="Piedepgina">
    <w:name w:val="footer"/>
    <w:basedOn w:val="Normal"/>
    <w:link w:val="PiedepginaCar"/>
    <w:uiPriority w:val="99"/>
    <w:unhideWhenUsed/>
    <w:rsid w:val="001061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61D8"/>
    <w:rPr>
      <w:lang w:val="es-ES"/>
    </w:rPr>
  </w:style>
  <w:style w:type="table" w:styleId="Tablaconcuadrcula">
    <w:name w:val="Table Grid"/>
    <w:basedOn w:val="Tablanormal"/>
    <w:uiPriority w:val="59"/>
    <w:rsid w:val="001061D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106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1312</Words>
  <Characters>7219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Juan</cp:lastModifiedBy>
  <cp:revision>2</cp:revision>
  <cp:lastPrinted>2023-01-30T21:56:00Z</cp:lastPrinted>
  <dcterms:created xsi:type="dcterms:W3CDTF">2023-02-07T07:06:00Z</dcterms:created>
  <dcterms:modified xsi:type="dcterms:W3CDTF">2023-02-07T07:06:00Z</dcterms:modified>
</cp:coreProperties>
</file>