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D794F" w14:textId="7ED4BDCB" w:rsidR="00F34C61" w:rsidRDefault="00F84B95" w:rsidP="001A58CB">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C0216F">
        <w:rPr>
          <w:rFonts w:ascii="Palatino Linotype" w:eastAsia="Palatino Linotype" w:hAnsi="Palatino Linotype" w:cs="Palatino Linotype"/>
          <w:b/>
        </w:rPr>
        <w:t>14800</w:t>
      </w:r>
      <w:r w:rsidR="007D3006">
        <w:rPr>
          <w:rFonts w:ascii="Palatino Linotype" w:eastAsia="Palatino Linotype" w:hAnsi="Palatino Linotype" w:cs="Palatino Linotype"/>
          <w:b/>
        </w:rPr>
        <w:t>/INFOEM/IP/RR/2022</w:t>
      </w:r>
      <w:r w:rsidR="003A5D2E">
        <w:rPr>
          <w:rFonts w:ascii="Palatino Linotype" w:eastAsia="Palatino Linotype" w:hAnsi="Palatino Linotype" w:cs="Palatino Linotype"/>
          <w:b/>
        </w:rPr>
        <w:t xml:space="preserve"> </w:t>
      </w:r>
      <w:r w:rsidR="003A5D2E">
        <w:rPr>
          <w:rFonts w:ascii="Palatino Linotype" w:eastAsia="Palatino Linotype" w:hAnsi="Palatino Linotype" w:cs="Palatino Linotype"/>
          <w:b/>
        </w:rPr>
        <w:tab/>
      </w:r>
      <w:r w:rsidRPr="006A7606">
        <w:rPr>
          <w:rFonts w:ascii="Palatino Linotype" w:hAnsi="Palatino Linotype" w:cs="Tahoma"/>
          <w:b/>
        </w:rPr>
        <w:t xml:space="preserve">, PROMOVIDO EN CONTRA </w:t>
      </w:r>
      <w:r w:rsidR="007D3006" w:rsidRPr="006A7606">
        <w:rPr>
          <w:rFonts w:ascii="Palatino Linotype" w:hAnsi="Palatino Linotype" w:cs="Tahoma"/>
          <w:b/>
        </w:rPr>
        <w:t>DE</w:t>
      </w:r>
      <w:r w:rsidR="007D3006">
        <w:rPr>
          <w:rFonts w:ascii="Palatino Linotype" w:hAnsi="Palatino Linotype" w:cs="Tahoma"/>
          <w:b/>
        </w:rPr>
        <w:t xml:space="preserve">L </w:t>
      </w:r>
      <w:r w:rsidR="00C0216F" w:rsidRPr="00C0216F">
        <w:rPr>
          <w:rFonts w:ascii="Palatino Linotype" w:eastAsia="Palatino Linotype" w:hAnsi="Palatino Linotype" w:cs="Palatino Linotype"/>
          <w:b/>
        </w:rPr>
        <w:t>INSTITUTO DE SEGURIDAD SOCIAL DEL ESTADO DE MÉXICO Y MUNICIPIOS</w:t>
      </w:r>
      <w:r w:rsidR="00C0216F">
        <w:rPr>
          <w:rFonts w:ascii="Palatino Linotype" w:eastAsia="MS Mincho" w:hAnsi="Palatino Linotype"/>
          <w:b/>
          <w:lang w:val="es-ES_tradnl"/>
        </w:rPr>
        <w:t>.</w:t>
      </w:r>
    </w:p>
    <w:p w14:paraId="3643BA98" w14:textId="77777777" w:rsidR="004E5EAD" w:rsidRPr="006A7606" w:rsidRDefault="004E5EAD" w:rsidP="001A58CB">
      <w:pPr>
        <w:pStyle w:val="Encabezado"/>
        <w:spacing w:line="360" w:lineRule="auto"/>
        <w:ind w:right="49"/>
        <w:jc w:val="both"/>
        <w:rPr>
          <w:rFonts w:ascii="Palatino Linotype" w:hAnsi="Palatino Linotype" w:cs="Tahoma"/>
        </w:rPr>
      </w:pPr>
    </w:p>
    <w:p w14:paraId="5F5A2C76" w14:textId="1077F17E" w:rsidR="00F34C61" w:rsidRPr="00885189" w:rsidRDefault="00F34C61" w:rsidP="001A58CB">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6F0B86">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6F0B86">
        <w:rPr>
          <w:rFonts w:ascii="Palatino Linotype" w:hAnsi="Palatino Linotype" w:cs="Tahoma"/>
          <w:b/>
        </w:rPr>
        <w:t>Voto Particular</w:t>
      </w:r>
      <w:r w:rsidR="006F0B86">
        <w:rPr>
          <w:rFonts w:ascii="Palatino Linotype" w:hAnsi="Palatino Linotype" w:cs="Tahoma"/>
        </w:rPr>
        <w:t xml:space="preserve"> por no compartir en su totalidad las consideraciones que sustentan la Resolución del Recurso de Revisión </w:t>
      </w:r>
      <w:r w:rsidR="00C0216F">
        <w:rPr>
          <w:rFonts w:ascii="Palatino Linotype" w:eastAsia="Palatino Linotype" w:hAnsi="Palatino Linotype" w:cs="Palatino Linotype"/>
          <w:b/>
        </w:rPr>
        <w:t>14800</w:t>
      </w:r>
      <w:r w:rsidR="007D3006">
        <w:rPr>
          <w:rFonts w:ascii="Palatino Linotype" w:eastAsia="Palatino Linotype" w:hAnsi="Palatino Linotype" w:cs="Palatino Linotype"/>
          <w:b/>
        </w:rPr>
        <w:t>/INFOEM/IP/RR/2022.</w:t>
      </w:r>
    </w:p>
    <w:p w14:paraId="2168A381" w14:textId="77777777" w:rsidR="00F34C61" w:rsidRPr="00885189" w:rsidRDefault="00F34C61" w:rsidP="001A58CB">
      <w:pPr>
        <w:spacing w:after="0" w:line="360" w:lineRule="auto"/>
        <w:ind w:right="49"/>
        <w:jc w:val="both"/>
        <w:rPr>
          <w:rFonts w:ascii="Palatino Linotype" w:hAnsi="Palatino Linotype" w:cs="Tahoma"/>
        </w:rPr>
      </w:pPr>
    </w:p>
    <w:p w14:paraId="46555046" w14:textId="46A3B08C" w:rsidR="00EA7BAB" w:rsidRDefault="00F34C61" w:rsidP="000B7F9F">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sidR="002071AC">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solicitó</w:t>
      </w:r>
      <w:r w:rsidR="00B463E2">
        <w:rPr>
          <w:rFonts w:ascii="Palatino Linotype" w:hAnsi="Palatino Linotype" w:cs="Tahoma"/>
        </w:rPr>
        <w:t xml:space="preserve"> </w:t>
      </w:r>
      <w:r w:rsidR="000B7F9F">
        <w:rPr>
          <w:rFonts w:ascii="Palatino Linotype" w:hAnsi="Palatino Linotype" w:cs="Tahoma"/>
        </w:rPr>
        <w:t>los</w:t>
      </w:r>
      <w:r w:rsidR="00C0216F">
        <w:rPr>
          <w:rFonts w:ascii="Palatino Linotype" w:hAnsi="Palatino Linotype" w:cs="Tahoma"/>
        </w:rPr>
        <w:t xml:space="preserve"> amparos notificados al Sujeto Obligado</w:t>
      </w:r>
      <w:r w:rsidR="005236BA">
        <w:rPr>
          <w:rFonts w:ascii="Palatino Linotype" w:hAnsi="Palatino Linotype" w:cs="Tahoma"/>
        </w:rPr>
        <w:t xml:space="preserve">, </w:t>
      </w:r>
      <w:r w:rsidR="000B7F9F">
        <w:rPr>
          <w:rFonts w:ascii="Palatino Linotype" w:hAnsi="Palatino Linotype" w:cs="Tahoma"/>
        </w:rPr>
        <w:t xml:space="preserve">en respuesta </w:t>
      </w:r>
      <w:r w:rsidR="00C0216F">
        <w:rPr>
          <w:rFonts w:ascii="Palatino Linotype" w:hAnsi="Palatino Linotype" w:cs="Tahoma"/>
        </w:rPr>
        <w:t>se le proporcionó un listado</w:t>
      </w:r>
      <w:r w:rsidR="00B46E3B" w:rsidRPr="00B46E3B">
        <w:rPr>
          <w:rFonts w:ascii="Palatino Linotype" w:hAnsi="Palatino Linotype" w:cs="Tahoma"/>
        </w:rPr>
        <w:t xml:space="preserve">; por ello, la Ponencia Resolutora determinó </w:t>
      </w:r>
      <w:r w:rsidR="000B7F9F">
        <w:rPr>
          <w:rFonts w:ascii="Palatino Linotype" w:hAnsi="Palatino Linotype" w:cs="Tahoma"/>
        </w:rPr>
        <w:t xml:space="preserve">ordenar la entrega de </w:t>
      </w:r>
      <w:r w:rsidR="00C0216F">
        <w:rPr>
          <w:rFonts w:ascii="Palatino Linotype" w:hAnsi="Palatino Linotype" w:cs="Tahoma"/>
        </w:rPr>
        <w:t>los documentos en donde constara la información</w:t>
      </w:r>
      <w:bookmarkStart w:id="0" w:name="_GoBack"/>
      <w:bookmarkEnd w:id="0"/>
      <w:r w:rsidR="000B7F9F">
        <w:rPr>
          <w:rFonts w:ascii="Palatino Linotype" w:hAnsi="Palatino Linotype" w:cs="Tahoma"/>
        </w:rPr>
        <w:t xml:space="preserve"> y </w:t>
      </w:r>
      <w:r w:rsidR="002F095A">
        <w:rPr>
          <w:rFonts w:ascii="Palatino Linotype" w:hAnsi="Palatino Linotype" w:cs="Tahoma"/>
        </w:rPr>
        <w:t xml:space="preserve">de ser el caso </w:t>
      </w:r>
      <w:r w:rsidR="000B7F9F">
        <w:rPr>
          <w:rFonts w:ascii="Palatino Linotype" w:hAnsi="Palatino Linotype" w:cs="Tahoma"/>
        </w:rPr>
        <w:t xml:space="preserve">que hubiera expedientes en trámite </w:t>
      </w:r>
      <w:r w:rsidR="002F095A">
        <w:rPr>
          <w:rFonts w:ascii="Palatino Linotype" w:hAnsi="Palatino Linotype" w:cs="Tahoma"/>
        </w:rPr>
        <w:t xml:space="preserve">se debían reservar </w:t>
      </w:r>
      <w:r w:rsidR="00B46E3B" w:rsidRPr="00B46E3B">
        <w:rPr>
          <w:rFonts w:ascii="Palatino Linotype" w:hAnsi="Palatino Linotype" w:cs="Tahoma"/>
        </w:rPr>
        <w:t>con fundamento en el artículo 140, de la Ley de Transparencia y Acceso a la Información Pública del Estado de México y Municipios y, ordenó la entrega del acuerdo de clasificación emitido</w:t>
      </w:r>
      <w:r w:rsidR="00B46E3B">
        <w:rPr>
          <w:rFonts w:ascii="Palatino Linotype" w:hAnsi="Palatino Linotype" w:cs="Tahoma"/>
        </w:rPr>
        <w:t xml:space="preserve"> por el Comité de Transparencia</w:t>
      </w:r>
      <w:r w:rsidR="00EA7BAB">
        <w:rPr>
          <w:rFonts w:ascii="Palatino Linotype" w:hAnsi="Palatino Linotype" w:cs="Tahoma"/>
        </w:rPr>
        <w:t xml:space="preserve">, en el que se confirme la reserva de </w:t>
      </w:r>
      <w:r w:rsidR="00B46E3B">
        <w:rPr>
          <w:rFonts w:ascii="Palatino Linotype" w:hAnsi="Palatino Linotype" w:cs="Tahoma"/>
        </w:rPr>
        <w:t>dichos documentos</w:t>
      </w:r>
      <w:r w:rsidR="006F0B86">
        <w:rPr>
          <w:rFonts w:ascii="Palatino Linotype" w:hAnsi="Palatino Linotype" w:cs="Tahoma"/>
        </w:rPr>
        <w:t>.</w:t>
      </w:r>
    </w:p>
    <w:p w14:paraId="51F5610D" w14:textId="77777777" w:rsidR="00B77094" w:rsidRDefault="00B77094" w:rsidP="001A58CB">
      <w:pPr>
        <w:spacing w:after="0" w:line="360" w:lineRule="auto"/>
        <w:ind w:right="49"/>
        <w:jc w:val="both"/>
        <w:rPr>
          <w:rFonts w:ascii="Palatino Linotype" w:hAnsi="Palatino Linotype" w:cs="Tahoma"/>
        </w:rPr>
      </w:pPr>
    </w:p>
    <w:p w14:paraId="4D98FE79" w14:textId="77777777" w:rsidR="00B46E3B" w:rsidRDefault="006F0B86" w:rsidP="006F0B86">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De acuerdo con lo expuesto, emito el presente, en virtud de que considero </w:t>
      </w:r>
      <w:r w:rsidR="00B46E3B">
        <w:rPr>
          <w:rFonts w:ascii="Palatino Linotype" w:eastAsia="Calibri" w:hAnsi="Palatino Linotype" w:cs="Tahoma"/>
        </w:rPr>
        <w:t>se debió realizar un estudio</w:t>
      </w:r>
      <w:r w:rsidR="00B46E3B" w:rsidRPr="00B46E3B">
        <w:rPr>
          <w:rFonts w:ascii="Palatino Linotype" w:eastAsia="Calibri" w:hAnsi="Palatino Linotype" w:cs="Tahoma"/>
        </w:rPr>
        <w:t xml:space="preserve"> de la clasificación de información en donde se funde y motive la causal de reserva específica que se actualiza del </w:t>
      </w:r>
      <w:r w:rsidR="00174316" w:rsidRPr="00B46E3B">
        <w:rPr>
          <w:rFonts w:ascii="Palatino Linotype" w:eastAsia="Calibri" w:hAnsi="Palatino Linotype" w:cs="Tahoma"/>
        </w:rPr>
        <w:t>artículo</w:t>
      </w:r>
      <w:r w:rsidR="00B46E3B" w:rsidRPr="00B46E3B">
        <w:rPr>
          <w:rFonts w:ascii="Palatino Linotype" w:eastAsia="Calibri" w:hAnsi="Palatino Linotype" w:cs="Tahoma"/>
        </w:rPr>
        <w:t xml:space="preserve"> 140 </w:t>
      </w:r>
      <w:r w:rsidR="00B46E3B">
        <w:rPr>
          <w:rFonts w:ascii="Palatino Linotype" w:eastAsia="Calibri" w:hAnsi="Palatino Linotype" w:cs="Tahoma"/>
        </w:rPr>
        <w:t>de la Ley de Transparencia y Acceso a la Información Pública del Estado de México y M</w:t>
      </w:r>
      <w:r w:rsidR="00D51DEC">
        <w:rPr>
          <w:rFonts w:ascii="Palatino Linotype" w:eastAsia="Calibri" w:hAnsi="Palatino Linotype" w:cs="Tahoma"/>
        </w:rPr>
        <w:t>unicipios.</w:t>
      </w:r>
      <w:r w:rsidR="00C458FE">
        <w:rPr>
          <w:rFonts w:ascii="Palatino Linotype" w:eastAsia="Calibri" w:hAnsi="Palatino Linotype" w:cs="Tahoma"/>
        </w:rPr>
        <w:t xml:space="preserve"> </w:t>
      </w:r>
      <w:r w:rsidR="00D51DEC">
        <w:rPr>
          <w:rFonts w:ascii="Palatino Linotype" w:eastAsia="Calibri" w:hAnsi="Palatino Linotype" w:cs="Tahoma"/>
        </w:rPr>
        <w:t xml:space="preserve">Lo anterior, ya que la </w:t>
      </w:r>
      <w:r w:rsidR="00D51DEC" w:rsidRPr="00D51DEC">
        <w:rPr>
          <w:rFonts w:ascii="Palatino Linotype" w:eastAsia="Calibri" w:hAnsi="Palatino Linotype" w:cs="Tahoma"/>
        </w:rPr>
        <w:t xml:space="preserve">información reservada, es aquella que cuando, de manera excepcional y por razones de interés público, </w:t>
      </w:r>
      <w:r w:rsidR="00D51DEC" w:rsidRPr="00D51DEC">
        <w:rPr>
          <w:rFonts w:ascii="Palatino Linotype" w:eastAsia="Calibri" w:hAnsi="Palatino Linotype" w:cs="Tahoma"/>
        </w:rPr>
        <w:lastRenderedPageBreak/>
        <w:t xml:space="preserve">su publicidad puede causar un daño al interés jurídico tutelado por la Ley, en </w:t>
      </w:r>
      <w:r w:rsidR="00D51DEC">
        <w:rPr>
          <w:rFonts w:ascii="Palatino Linotype" w:eastAsia="Calibri" w:hAnsi="Palatino Linotype" w:cs="Tahoma"/>
        </w:rPr>
        <w:t xml:space="preserve">el que se debe especificar </w:t>
      </w:r>
      <w:r w:rsidR="00D51DEC" w:rsidRPr="00D51DEC">
        <w:rPr>
          <w:rFonts w:ascii="Palatino Linotype" w:eastAsia="Calibri" w:hAnsi="Palatino Linotype" w:cs="Tahoma"/>
        </w:rPr>
        <w:t>alguno de los supuestos establecidos en el artícu</w:t>
      </w:r>
      <w:r w:rsidR="00D51DEC">
        <w:rPr>
          <w:rFonts w:ascii="Palatino Linotype" w:eastAsia="Calibri" w:hAnsi="Palatino Linotype" w:cs="Tahoma"/>
        </w:rPr>
        <w:t xml:space="preserve">lo </w:t>
      </w:r>
      <w:r w:rsidR="00951B8A">
        <w:rPr>
          <w:rFonts w:ascii="Palatino Linotype" w:eastAsia="Calibri" w:hAnsi="Palatino Linotype" w:cs="Tahoma"/>
        </w:rPr>
        <w:t>mencionado</w:t>
      </w:r>
      <w:r w:rsidR="00310C37">
        <w:rPr>
          <w:rFonts w:ascii="Palatino Linotype" w:eastAsia="Calibri" w:hAnsi="Palatino Linotype" w:cs="Tahoma"/>
        </w:rPr>
        <w:t xml:space="preserve"> y con ello especificar </w:t>
      </w:r>
      <w:r w:rsidR="00310C37" w:rsidRPr="00310C37">
        <w:rPr>
          <w:rFonts w:ascii="Palatino Linotype" w:eastAsia="Calibri" w:hAnsi="Palatino Linotype" w:cs="Tahoma"/>
        </w:rPr>
        <w:t>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1673E21" w14:textId="77777777" w:rsidR="00310C37" w:rsidRDefault="00310C37" w:rsidP="006F0B86">
      <w:pPr>
        <w:spacing w:after="0" w:line="360" w:lineRule="auto"/>
        <w:contextualSpacing/>
        <w:jc w:val="both"/>
        <w:rPr>
          <w:rFonts w:ascii="Palatino Linotype" w:eastAsia="Calibri" w:hAnsi="Palatino Linotype" w:cs="Tahoma"/>
        </w:rPr>
      </w:pPr>
    </w:p>
    <w:p w14:paraId="70C7271E" w14:textId="77777777" w:rsidR="00310C37" w:rsidRPr="00310C37" w:rsidRDefault="00310C37" w:rsidP="00310C37">
      <w:pPr>
        <w:spacing w:after="0" w:line="360" w:lineRule="auto"/>
        <w:contextualSpacing/>
        <w:jc w:val="both"/>
        <w:rPr>
          <w:rFonts w:ascii="Palatino Linotype" w:eastAsia="Calibri" w:hAnsi="Palatino Linotype" w:cs="Tahoma"/>
        </w:rPr>
      </w:pPr>
      <w:r w:rsidRPr="00310C37">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w:t>
      </w:r>
      <w:r>
        <w:rPr>
          <w:rFonts w:ascii="Palatino Linotype" w:eastAsia="Calibri" w:hAnsi="Palatino Linotype" w:cs="Tahoma"/>
        </w:rPr>
        <w:t xml:space="preserve"> fundamentación incorrecta y por lo tanto una errónea</w:t>
      </w:r>
      <w:r w:rsidRPr="00310C37">
        <w:rPr>
          <w:rFonts w:ascii="Palatino Linotype" w:eastAsia="Calibri" w:hAnsi="Palatino Linotype" w:cs="Tahoma"/>
        </w:rPr>
        <w:t xml:space="preserve"> clasificación de la información.</w:t>
      </w:r>
      <w:r w:rsidR="008C5810">
        <w:rPr>
          <w:rFonts w:ascii="Palatino Linotype" w:eastAsia="Calibri" w:hAnsi="Palatino Linotype" w:cs="Tahoma"/>
        </w:rPr>
        <w:t xml:space="preserve"> </w:t>
      </w:r>
      <w:r w:rsidRPr="00310C37">
        <w:rPr>
          <w:rFonts w:ascii="Palatino Linotype" w:eastAsia="Calibri"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w:t>
      </w:r>
      <w:r>
        <w:rPr>
          <w:rFonts w:ascii="Palatino Linotype" w:eastAsia="Calibri" w:hAnsi="Palatino Linotype" w:cs="Tahoma"/>
        </w:rPr>
        <w:t>por lo tanto, se debe especificar la fracción que corresponda</w:t>
      </w:r>
      <w:r w:rsidRPr="00310C37">
        <w:rPr>
          <w:rFonts w:ascii="Palatino Linotype" w:eastAsia="Calibri" w:hAnsi="Palatino Linotype" w:cs="Tahoma"/>
        </w:rPr>
        <w:t>.</w:t>
      </w:r>
    </w:p>
    <w:p w14:paraId="23348D68" w14:textId="77777777" w:rsidR="00674268" w:rsidRDefault="00674268" w:rsidP="00310C37">
      <w:pPr>
        <w:spacing w:after="0" w:line="360" w:lineRule="auto"/>
        <w:contextualSpacing/>
        <w:jc w:val="both"/>
        <w:rPr>
          <w:rFonts w:ascii="Palatino Linotype" w:eastAsia="Calibri" w:hAnsi="Palatino Linotype" w:cs="Tahoma"/>
        </w:rPr>
      </w:pPr>
    </w:p>
    <w:p w14:paraId="32219630" w14:textId="77777777" w:rsidR="00310C37" w:rsidRDefault="00310C37" w:rsidP="00310C37">
      <w:pPr>
        <w:spacing w:after="0" w:line="360" w:lineRule="auto"/>
        <w:contextualSpacing/>
        <w:jc w:val="both"/>
        <w:rPr>
          <w:rFonts w:ascii="Palatino Linotype" w:eastAsia="Calibri" w:hAnsi="Palatino Linotype" w:cs="Tahoma"/>
        </w:rPr>
      </w:pPr>
      <w:r w:rsidRPr="00310C37">
        <w:rPr>
          <w:rFonts w:ascii="Palatino Linotype" w:eastAsia="Calibri" w:hAnsi="Palatino Linotype" w:cs="Tahoma"/>
        </w:rPr>
        <w:t xml:space="preserve">En consecuencia, es necesario que en el análisis de las resoluciones que dicta este Pleno, se proporcione un estudio exhaustivo y ofrecer al Particular las herramientas para conocer las razones por las que procede o </w:t>
      </w:r>
      <w:r>
        <w:rPr>
          <w:rFonts w:ascii="Palatino Linotype" w:eastAsia="Calibri" w:hAnsi="Palatino Linotype" w:cs="Tahoma"/>
        </w:rPr>
        <w:t>no la reserva de la información y en qué términos.</w:t>
      </w:r>
    </w:p>
    <w:p w14:paraId="4D8B8D3F" w14:textId="77777777" w:rsidR="006F0B86" w:rsidRPr="006F0B86" w:rsidRDefault="006F0B86" w:rsidP="006F0B86">
      <w:pPr>
        <w:spacing w:line="360" w:lineRule="auto"/>
        <w:contextualSpacing/>
        <w:jc w:val="both"/>
        <w:rPr>
          <w:rFonts w:ascii="Palatino Linotype" w:eastAsia="Calibri" w:hAnsi="Palatino Linotype" w:cs="Tahoma"/>
          <w:b/>
          <w:iCs/>
          <w:lang w:eastAsia="es-ES_tradnl"/>
        </w:rPr>
      </w:pPr>
    </w:p>
    <w:p w14:paraId="7DB6939B" w14:textId="77777777"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lastRenderedPageBreak/>
        <w:t xml:space="preserve">Ahora, </w:t>
      </w:r>
      <w:r w:rsidR="00174316" w:rsidRPr="00174316">
        <w:rPr>
          <w:rFonts w:ascii="Palatino Linotype" w:eastAsia="Calibri" w:hAnsi="Palatino Linotype" w:cs="Tahoma"/>
          <w:bCs/>
        </w:rPr>
        <w:t>de igual manera considero</w:t>
      </w:r>
      <w:r w:rsidR="00174316">
        <w:rPr>
          <w:rFonts w:ascii="Palatino Linotype" w:eastAsia="Calibri" w:hAnsi="Palatino Linotype" w:cs="Tahoma"/>
          <w:b/>
        </w:rPr>
        <w:t xml:space="preserve"> </w:t>
      </w:r>
      <w:r w:rsidRPr="006F0B86">
        <w:rPr>
          <w:rFonts w:ascii="Palatino Linotype" w:eastAsia="Calibri" w:hAnsi="Palatino Linotype" w:cs="Tahoma"/>
        </w:rPr>
        <w:t>se debió analizar de manera detallada la reserva</w:t>
      </w:r>
      <w:r w:rsidR="00310C37">
        <w:rPr>
          <w:rFonts w:ascii="Palatino Linotype" w:eastAsia="Calibri" w:hAnsi="Palatino Linotype" w:cs="Tahoma"/>
        </w:rPr>
        <w:t>,</w:t>
      </w:r>
      <w:r w:rsidRPr="006F0B86">
        <w:rPr>
          <w:rFonts w:ascii="Palatino Linotype" w:eastAsia="Calibri" w:hAnsi="Palatino Linotype" w:cs="Tahoma"/>
        </w:rPr>
        <w:t xml:space="preserve"> </w:t>
      </w:r>
      <w:r w:rsidR="00D51DEC">
        <w:rPr>
          <w:rFonts w:ascii="Palatino Linotype" w:eastAsia="Calibri" w:hAnsi="Palatino Linotype" w:cs="Tahoma"/>
        </w:rPr>
        <w:t xml:space="preserve">además de </w:t>
      </w:r>
      <w:r w:rsidRPr="006F0B86">
        <w:rPr>
          <w:rFonts w:ascii="Palatino Linotype" w:eastAsia="Calibri" w:hAnsi="Palatino Linotype" w:cs="Tahoma"/>
        </w:rPr>
        <w:t>precisar la fracción que actualiza la clasificación de la información, aunado que, para que proceda, no basta con que se actualice el dispositivo normativo, sino que además es menester acreditar la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6049ACD3" w14:textId="77777777" w:rsidR="006F0B86" w:rsidRPr="006F0B86" w:rsidRDefault="006F0B86" w:rsidP="006F0B86">
      <w:pPr>
        <w:spacing w:after="0" w:line="360" w:lineRule="auto"/>
        <w:jc w:val="both"/>
        <w:rPr>
          <w:rFonts w:ascii="Palatino Linotype" w:eastAsia="Calibri" w:hAnsi="Palatino Linotype" w:cs="Tahoma"/>
        </w:rPr>
      </w:pPr>
    </w:p>
    <w:p w14:paraId="0577FCE3" w14:textId="77777777" w:rsid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el análisis del proyecto debió incluir de qué manera en el caso específico se cumplía con todas las disposiciones de la Ley de Transparencia y Acceso a la Información Pública del Estado de México y Municipios y así plasmarlo en la Resolución.</w:t>
      </w:r>
      <w:r w:rsidR="00951B8A">
        <w:rPr>
          <w:rFonts w:ascii="Palatino Linotype" w:eastAsia="Calibri" w:hAnsi="Palatino Linotype" w:cs="Tahoma"/>
        </w:rPr>
        <w:t xml:space="preserve"> </w:t>
      </w:r>
      <w:r w:rsidRPr="006F0B86">
        <w:rPr>
          <w:rFonts w:ascii="Palatino Linotype" w:eastAsia="Calibri" w:hAnsi="Palatino Linotype" w:cs="Tahoma"/>
        </w:rPr>
        <w:t xml:space="preserve">Abona a lo expuesto, lo resuelto por el Instituto Nacional de Transparencia, Acceso a la Información Pública y Protección de Datos Personales, en los Recursos de Inconformidad con número </w:t>
      </w:r>
      <w:r w:rsidRPr="006F0B86">
        <w:rPr>
          <w:rFonts w:ascii="Palatino Linotype" w:eastAsia="Calibri" w:hAnsi="Palatino Linotype" w:cs="Tahoma"/>
          <w:b/>
          <w:bCs/>
        </w:rPr>
        <w:t xml:space="preserve">RIA 0118/18, RIA 0124/19 </w:t>
      </w:r>
      <w:r w:rsidRPr="006F0B86">
        <w:rPr>
          <w:rFonts w:ascii="Palatino Linotype" w:eastAsia="Calibri" w:hAnsi="Palatino Linotype" w:cs="Tahoma"/>
          <w:b/>
        </w:rPr>
        <w:t>y</w:t>
      </w:r>
      <w:r w:rsidRPr="006F0B86">
        <w:rPr>
          <w:rFonts w:ascii="Palatino Linotype" w:eastAsia="Calibri" w:hAnsi="Palatino Linotype" w:cs="Tahoma"/>
          <w:b/>
          <w:bCs/>
        </w:rPr>
        <w:t xml:space="preserve"> RIA 0118/19</w:t>
      </w:r>
      <w:r w:rsidRPr="006F0B86">
        <w:rPr>
          <w:rFonts w:ascii="Palatino Linotype" w:eastAsia="Calibri" w:hAnsi="Palatino Linotype" w:cs="Tahoma"/>
          <w:b/>
        </w:rPr>
        <w:t xml:space="preserve">, </w:t>
      </w:r>
      <w:r w:rsidRPr="006F0B86">
        <w:rPr>
          <w:rFonts w:ascii="Palatino Linotype" w:eastAsia="Calibri"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672D48F5" w14:textId="77777777" w:rsidR="00951B8A" w:rsidRPr="006F0B86" w:rsidRDefault="00951B8A" w:rsidP="006F0B86">
      <w:pPr>
        <w:spacing w:after="0" w:line="360" w:lineRule="auto"/>
        <w:jc w:val="both"/>
        <w:rPr>
          <w:rFonts w:ascii="Palatino Linotype" w:eastAsia="Calibri" w:hAnsi="Palatino Linotype" w:cs="Tahoma"/>
        </w:rPr>
      </w:pPr>
    </w:p>
    <w:p w14:paraId="4F54DD8F" w14:textId="77777777"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determina la existencia de información clasificada, debe contener un análisis exhaustivo de los elementos de forma y fondo que establecen la Ley de Transparencia y Acceso a la </w:t>
      </w:r>
      <w:r w:rsidRPr="006F0B86">
        <w:rPr>
          <w:rFonts w:ascii="Palatino Linotype" w:eastAsia="Calibri" w:hAnsi="Palatino Linotype" w:cs="Tahoma"/>
        </w:rPr>
        <w:lastRenderedPageBreak/>
        <w:t>Información Pública del Estado de México y Municipios y los Lineamientos generales en materia de clasificación y desclasificación de la información, así como para la elaboración de versiones públicas.</w:t>
      </w:r>
    </w:p>
    <w:p w14:paraId="05C488C6" w14:textId="77777777" w:rsidR="006F0B86" w:rsidRPr="006F0B86" w:rsidRDefault="006F0B86" w:rsidP="006F0B86">
      <w:pPr>
        <w:spacing w:after="0" w:line="360" w:lineRule="auto"/>
        <w:jc w:val="both"/>
        <w:rPr>
          <w:rFonts w:ascii="Palatino Linotype" w:eastAsia="Calibri" w:hAnsi="Palatino Linotype" w:cs="Tahoma"/>
        </w:rPr>
      </w:pPr>
    </w:p>
    <w:p w14:paraId="5FBFD4E4" w14:textId="77777777"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Bajo esa lógica, estimo que en el presente caso, si bien de la postura expuesta por el Sujeto Obligado se puede desprender que la información, en caso de existir puede actualizar la causal de reserva establecida en el artículo 140, fracción VI, 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5D571B2C" w14:textId="77777777" w:rsidR="006F0B86" w:rsidRPr="006F0B86" w:rsidRDefault="006F0B86" w:rsidP="006F0B86">
      <w:pPr>
        <w:spacing w:after="0" w:line="360" w:lineRule="auto"/>
        <w:jc w:val="both"/>
        <w:rPr>
          <w:rFonts w:ascii="Palatino Linotype" w:eastAsia="Calibri" w:hAnsi="Palatino Linotype" w:cs="Tahoma"/>
        </w:rPr>
      </w:pPr>
    </w:p>
    <w:p w14:paraId="71BA59D9" w14:textId="77777777"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1515C522" w14:textId="77777777" w:rsidR="006F0B86" w:rsidRPr="006F0B86" w:rsidRDefault="006F0B86" w:rsidP="006F0B86">
      <w:pPr>
        <w:spacing w:after="0" w:line="360" w:lineRule="auto"/>
        <w:jc w:val="both"/>
        <w:rPr>
          <w:rFonts w:ascii="Palatino Linotype" w:eastAsia="Calibri" w:hAnsi="Palatino Linotype" w:cs="Tahoma"/>
        </w:rPr>
      </w:pPr>
    </w:p>
    <w:p w14:paraId="7F386105" w14:textId="77777777" w:rsidR="00174316" w:rsidRDefault="006F0B86" w:rsidP="00951B8A">
      <w:pPr>
        <w:spacing w:after="0" w:line="360" w:lineRule="auto"/>
        <w:jc w:val="both"/>
        <w:rPr>
          <w:rFonts w:ascii="Palatino Linotype" w:eastAsia="Calibri" w:hAnsi="Palatino Linotype" w:cs="Tahoma"/>
        </w:rPr>
      </w:pPr>
      <w:r w:rsidRPr="006F0B86">
        <w:rPr>
          <w:rFonts w:ascii="Palatino Linotype" w:eastAsia="Calibri"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 la fracción correspondiente del artículo 140 de la Ley de Transparencia y Acceso a la Información Pública del Estado de México y Municipios, así como la prueba de daño y no sólo indicar que se deba entregar el Acuerdo de Clasificación.</w:t>
      </w:r>
      <w:r w:rsidR="00951B8A">
        <w:rPr>
          <w:rFonts w:ascii="Palatino Linotype" w:eastAsia="Calibri" w:hAnsi="Palatino Linotype" w:cs="Tahoma"/>
        </w:rPr>
        <w:t xml:space="preserve"> </w:t>
      </w:r>
    </w:p>
    <w:p w14:paraId="30EEFB72" w14:textId="77777777" w:rsidR="00174316" w:rsidRDefault="00174316" w:rsidP="00951B8A">
      <w:pPr>
        <w:spacing w:after="0" w:line="360" w:lineRule="auto"/>
        <w:jc w:val="both"/>
        <w:rPr>
          <w:rFonts w:ascii="Palatino Linotype" w:eastAsia="Calibri" w:hAnsi="Palatino Linotype" w:cs="Tahoma"/>
        </w:rPr>
      </w:pPr>
    </w:p>
    <w:p w14:paraId="5B311D5A" w14:textId="77777777" w:rsidR="00F34C61" w:rsidRDefault="006F0B86" w:rsidP="00174316">
      <w:pPr>
        <w:spacing w:after="0" w:line="360" w:lineRule="auto"/>
        <w:jc w:val="both"/>
        <w:rPr>
          <w:rFonts w:ascii="Palatino Linotype" w:hAnsi="Palatino Linotype" w:cs="Tahoma"/>
        </w:rPr>
      </w:pP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r w:rsidR="00174316">
        <w:rPr>
          <w:rFonts w:ascii="Palatino Linotype" w:eastAsia="Calibri" w:hAnsi="Palatino Linotype" w:cs="Tahoma"/>
        </w:rPr>
        <w:t>--------------------------------</w:t>
      </w:r>
    </w:p>
    <w:p w14:paraId="063FF6D7" w14:textId="77777777" w:rsidR="002F2CA2" w:rsidRDefault="002F2CA2" w:rsidP="001A58CB">
      <w:pPr>
        <w:spacing w:after="0" w:line="360" w:lineRule="auto"/>
        <w:ind w:right="49"/>
        <w:jc w:val="both"/>
        <w:rPr>
          <w:rFonts w:ascii="Palatino Linotype" w:hAnsi="Palatino Linotype" w:cs="Tahoma"/>
        </w:rPr>
      </w:pPr>
    </w:p>
    <w:p w14:paraId="5EED5438" w14:textId="77777777" w:rsidR="002F2CA2" w:rsidRDefault="002F2CA2" w:rsidP="001A58CB">
      <w:pPr>
        <w:spacing w:after="0" w:line="360" w:lineRule="auto"/>
        <w:ind w:right="49"/>
        <w:jc w:val="both"/>
        <w:rPr>
          <w:rFonts w:ascii="Palatino Linotype" w:hAnsi="Palatino Linotype" w:cs="Tahoma"/>
        </w:rPr>
      </w:pPr>
    </w:p>
    <w:p w14:paraId="51C4D870" w14:textId="77777777" w:rsidR="00F34C61" w:rsidRDefault="00F34C61" w:rsidP="001A58CB">
      <w:pPr>
        <w:spacing w:after="0" w:line="360" w:lineRule="auto"/>
        <w:ind w:right="49"/>
        <w:jc w:val="both"/>
        <w:rPr>
          <w:rFonts w:ascii="Palatino Linotype" w:hAnsi="Palatino Linotype" w:cs="Tahoma"/>
        </w:rPr>
      </w:pPr>
    </w:p>
    <w:p w14:paraId="07B01057" w14:textId="77777777" w:rsidR="00F34C61" w:rsidRDefault="00F34C61" w:rsidP="001A58CB">
      <w:pPr>
        <w:spacing w:after="0" w:line="360" w:lineRule="auto"/>
        <w:ind w:right="49"/>
        <w:jc w:val="both"/>
        <w:rPr>
          <w:rFonts w:ascii="Palatino Linotype" w:hAnsi="Palatino Linotype" w:cs="Tahoma"/>
        </w:rPr>
      </w:pPr>
    </w:p>
    <w:p w14:paraId="086F904F" w14:textId="77777777" w:rsidR="00F34C61" w:rsidRDefault="00F34C61" w:rsidP="001A58CB">
      <w:pPr>
        <w:spacing w:after="0" w:line="360" w:lineRule="auto"/>
        <w:ind w:right="49"/>
        <w:jc w:val="both"/>
        <w:rPr>
          <w:rFonts w:ascii="Palatino Linotype" w:hAnsi="Palatino Linotype" w:cs="Tahoma"/>
        </w:rPr>
      </w:pPr>
    </w:p>
    <w:p w14:paraId="3AFFCABE" w14:textId="77777777" w:rsidR="00F34C61" w:rsidRDefault="00F34C61" w:rsidP="001A58CB">
      <w:pPr>
        <w:spacing w:after="0" w:line="360" w:lineRule="auto"/>
        <w:ind w:right="49"/>
        <w:jc w:val="both"/>
        <w:rPr>
          <w:rFonts w:ascii="Palatino Linotype" w:hAnsi="Palatino Linotype" w:cs="Tahoma"/>
        </w:rPr>
      </w:pPr>
    </w:p>
    <w:p w14:paraId="02119CAA" w14:textId="77777777" w:rsidR="00D51DEC" w:rsidRDefault="00D51DEC" w:rsidP="001A58CB">
      <w:pPr>
        <w:spacing w:after="0" w:line="360" w:lineRule="auto"/>
        <w:ind w:right="49"/>
        <w:jc w:val="both"/>
        <w:rPr>
          <w:rFonts w:ascii="Palatino Linotype" w:hAnsi="Palatino Linotype" w:cs="Tahoma"/>
        </w:rPr>
      </w:pPr>
    </w:p>
    <w:p w14:paraId="78B3DDBA" w14:textId="77777777" w:rsidR="00D51DEC" w:rsidRDefault="00D51DEC" w:rsidP="001A58CB">
      <w:pPr>
        <w:spacing w:after="0" w:line="360" w:lineRule="auto"/>
        <w:ind w:right="49"/>
        <w:jc w:val="both"/>
        <w:rPr>
          <w:rFonts w:ascii="Palatino Linotype" w:hAnsi="Palatino Linotype" w:cs="Tahoma"/>
        </w:rPr>
      </w:pPr>
    </w:p>
    <w:p w14:paraId="274E1CB7" w14:textId="77777777" w:rsidR="00D51DEC" w:rsidRDefault="00D51DEC" w:rsidP="001A58CB">
      <w:pPr>
        <w:spacing w:after="0" w:line="360" w:lineRule="auto"/>
        <w:ind w:right="49"/>
        <w:jc w:val="both"/>
        <w:rPr>
          <w:rFonts w:ascii="Palatino Linotype" w:hAnsi="Palatino Linotype" w:cs="Tahoma"/>
        </w:rPr>
      </w:pPr>
    </w:p>
    <w:p w14:paraId="7AB0517F" w14:textId="77777777" w:rsidR="00D51DEC" w:rsidRDefault="00D51DEC" w:rsidP="001A58CB">
      <w:pPr>
        <w:spacing w:after="0" w:line="360" w:lineRule="auto"/>
        <w:ind w:right="49"/>
        <w:jc w:val="both"/>
        <w:rPr>
          <w:rFonts w:ascii="Palatino Linotype" w:hAnsi="Palatino Linotype" w:cs="Tahoma"/>
        </w:rPr>
      </w:pPr>
    </w:p>
    <w:p w14:paraId="59337E1B" w14:textId="77777777" w:rsidR="00D81B6B" w:rsidRDefault="00D81B6B" w:rsidP="001A58CB">
      <w:pPr>
        <w:spacing w:after="0" w:line="360" w:lineRule="auto"/>
        <w:ind w:right="49"/>
        <w:jc w:val="both"/>
        <w:rPr>
          <w:rFonts w:ascii="Palatino Linotype" w:hAnsi="Palatino Linotype" w:cs="Tahoma"/>
        </w:rPr>
      </w:pPr>
    </w:p>
    <w:p w14:paraId="2779AD26" w14:textId="77777777" w:rsidR="00D51DEC" w:rsidRDefault="00D51DEC" w:rsidP="001A58CB">
      <w:pPr>
        <w:spacing w:after="0" w:line="360" w:lineRule="auto"/>
        <w:ind w:right="49"/>
        <w:jc w:val="both"/>
        <w:rPr>
          <w:rFonts w:ascii="Palatino Linotype" w:hAnsi="Palatino Linotype" w:cs="Tahoma"/>
        </w:rPr>
      </w:pPr>
    </w:p>
    <w:p w14:paraId="01F44E65" w14:textId="77777777" w:rsidR="00622BCF" w:rsidRDefault="00622BCF" w:rsidP="001A58CB">
      <w:pPr>
        <w:spacing w:after="0" w:line="360" w:lineRule="auto"/>
        <w:ind w:right="49"/>
        <w:jc w:val="both"/>
        <w:rPr>
          <w:rFonts w:ascii="Palatino Linotype" w:hAnsi="Palatino Linotype" w:cs="Tahoma"/>
        </w:rPr>
      </w:pPr>
    </w:p>
    <w:p w14:paraId="14702607" w14:textId="77777777" w:rsidR="00622BCF" w:rsidRDefault="00622BCF" w:rsidP="001A58CB">
      <w:pPr>
        <w:spacing w:after="0" w:line="360" w:lineRule="auto"/>
        <w:ind w:right="49"/>
        <w:jc w:val="both"/>
        <w:rPr>
          <w:rFonts w:ascii="Palatino Linotype" w:hAnsi="Palatino Linotype" w:cs="Tahoma"/>
        </w:rPr>
      </w:pPr>
    </w:p>
    <w:p w14:paraId="2D6F89E7" w14:textId="77777777" w:rsidR="00310C37" w:rsidRDefault="00310C37" w:rsidP="001A58CB">
      <w:pPr>
        <w:spacing w:after="0" w:line="360" w:lineRule="auto"/>
        <w:ind w:right="49"/>
        <w:jc w:val="both"/>
        <w:rPr>
          <w:rFonts w:ascii="Palatino Linotype" w:hAnsi="Palatino Linotype" w:cs="Tahoma"/>
        </w:rPr>
      </w:pPr>
    </w:p>
    <w:p w14:paraId="2B0A259B" w14:textId="77777777" w:rsidR="00310C37" w:rsidRDefault="00310C37" w:rsidP="001A58CB">
      <w:pPr>
        <w:spacing w:after="0" w:line="360" w:lineRule="auto"/>
        <w:ind w:right="49"/>
        <w:jc w:val="both"/>
        <w:rPr>
          <w:rFonts w:ascii="Palatino Linotype" w:hAnsi="Palatino Linotype" w:cs="Tahoma"/>
        </w:rPr>
      </w:pPr>
    </w:p>
    <w:p w14:paraId="3F51781C" w14:textId="77777777" w:rsidR="00D51DEC" w:rsidRDefault="00D51DEC" w:rsidP="001A58CB">
      <w:pPr>
        <w:spacing w:after="0" w:line="360" w:lineRule="auto"/>
        <w:ind w:right="49"/>
        <w:jc w:val="both"/>
        <w:rPr>
          <w:rFonts w:ascii="Palatino Linotype" w:hAnsi="Palatino Linotype" w:cs="Tahoma"/>
        </w:rPr>
      </w:pPr>
    </w:p>
    <w:p w14:paraId="3379AAFB" w14:textId="77777777" w:rsidR="00D51DEC" w:rsidRDefault="00D51DEC" w:rsidP="001A58CB">
      <w:pPr>
        <w:spacing w:after="0" w:line="360" w:lineRule="auto"/>
        <w:ind w:right="49"/>
        <w:jc w:val="both"/>
        <w:rPr>
          <w:rFonts w:ascii="Palatino Linotype" w:hAnsi="Palatino Linotype" w:cs="Tahoma"/>
        </w:rPr>
      </w:pPr>
    </w:p>
    <w:p w14:paraId="5DA12CBC" w14:textId="77777777" w:rsidR="00D51DEC" w:rsidRDefault="00D51DEC" w:rsidP="001A58CB">
      <w:pPr>
        <w:spacing w:after="0" w:line="360" w:lineRule="auto"/>
        <w:ind w:right="49"/>
        <w:jc w:val="both"/>
        <w:rPr>
          <w:rFonts w:ascii="Palatino Linotype" w:hAnsi="Palatino Linotype" w:cs="Tahoma"/>
        </w:rPr>
      </w:pPr>
    </w:p>
    <w:p w14:paraId="0B3E0211" w14:textId="77777777" w:rsidR="00F34C61" w:rsidRDefault="00F34C61" w:rsidP="001A58CB">
      <w:pPr>
        <w:spacing w:after="0" w:line="360" w:lineRule="auto"/>
        <w:ind w:right="49"/>
        <w:jc w:val="both"/>
        <w:rPr>
          <w:rFonts w:ascii="Palatino Linotype" w:hAnsi="Palatino Linotype" w:cs="Tahoma"/>
        </w:rPr>
      </w:pPr>
    </w:p>
    <w:p w14:paraId="64E1EA84" w14:textId="77777777" w:rsidR="00F34C61" w:rsidRDefault="00F34C61" w:rsidP="001A58CB">
      <w:pPr>
        <w:spacing w:after="0" w:line="360" w:lineRule="auto"/>
        <w:ind w:right="49"/>
        <w:jc w:val="both"/>
        <w:rPr>
          <w:rFonts w:ascii="Palatino Linotype" w:hAnsi="Palatino Linotype" w:cs="Tahoma"/>
        </w:rPr>
      </w:pPr>
    </w:p>
    <w:p w14:paraId="49EEA777" w14:textId="77777777" w:rsidR="00F34C61" w:rsidRDefault="00F34C61" w:rsidP="001A58CB">
      <w:pPr>
        <w:spacing w:after="0" w:line="360" w:lineRule="auto"/>
        <w:ind w:right="49"/>
        <w:jc w:val="both"/>
        <w:rPr>
          <w:rFonts w:ascii="Palatino Linotype" w:hAnsi="Palatino Linotype" w:cs="Tahoma"/>
        </w:rPr>
      </w:pPr>
    </w:p>
    <w:p w14:paraId="639B4E14" w14:textId="77777777" w:rsidR="00F34C61" w:rsidRDefault="00F34C61" w:rsidP="001A58CB">
      <w:pPr>
        <w:spacing w:after="0" w:line="360" w:lineRule="auto"/>
        <w:ind w:right="49"/>
        <w:jc w:val="both"/>
        <w:rPr>
          <w:rFonts w:ascii="Palatino Linotype" w:hAnsi="Palatino Linotype" w:cs="Tahoma"/>
        </w:rPr>
      </w:pPr>
    </w:p>
    <w:p w14:paraId="580F4AE7" w14:textId="77777777" w:rsidR="00F84B95" w:rsidRDefault="00F84B95" w:rsidP="001A58CB">
      <w:pPr>
        <w:spacing w:after="0" w:line="360" w:lineRule="auto"/>
        <w:ind w:right="49"/>
        <w:jc w:val="both"/>
      </w:pPr>
    </w:p>
    <w:sectPr w:rsidR="00F84B95" w:rsidSect="00951B8A">
      <w:headerReference w:type="default" r:id="rId7"/>
      <w:footerReference w:type="default" r:id="rId8"/>
      <w:pgSz w:w="12240" w:h="15840" w:code="1"/>
      <w:pgMar w:top="1417" w:right="1701" w:bottom="1276"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D7926" w14:textId="77777777" w:rsidR="00892CCB" w:rsidRDefault="00892CCB" w:rsidP="00A80C30">
      <w:pPr>
        <w:spacing w:after="0" w:line="240" w:lineRule="auto"/>
      </w:pPr>
      <w:r>
        <w:separator/>
      </w:r>
    </w:p>
  </w:endnote>
  <w:endnote w:type="continuationSeparator" w:id="0">
    <w:p w14:paraId="5EF3FE5A" w14:textId="77777777" w:rsidR="00892CCB" w:rsidRDefault="00892CCB"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71A06CB0" w14:textId="77777777"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2613A">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2613A">
              <w:rPr>
                <w:b/>
                <w:bCs/>
                <w:noProof/>
              </w:rPr>
              <w:t>5</w:t>
            </w:r>
            <w:r>
              <w:rPr>
                <w:b/>
                <w:bCs/>
                <w:sz w:val="24"/>
                <w:szCs w:val="24"/>
              </w:rPr>
              <w:fldChar w:fldCharType="end"/>
            </w:r>
          </w:p>
        </w:sdtContent>
      </w:sdt>
    </w:sdtContent>
  </w:sdt>
  <w:p w14:paraId="3276940C" w14:textId="77777777"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DFAC1" w14:textId="77777777" w:rsidR="00892CCB" w:rsidRDefault="00892CCB" w:rsidP="00A80C30">
      <w:pPr>
        <w:spacing w:after="0" w:line="240" w:lineRule="auto"/>
      </w:pPr>
      <w:r>
        <w:separator/>
      </w:r>
    </w:p>
  </w:footnote>
  <w:footnote w:type="continuationSeparator" w:id="0">
    <w:p w14:paraId="4E774DDE" w14:textId="77777777" w:rsidR="00892CCB" w:rsidRDefault="00892CCB"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379"/>
    </w:tblGrid>
    <w:tr w:rsidR="003212EB" w:rsidRPr="001106EA" w14:paraId="02B28D61" w14:textId="77777777" w:rsidTr="00951B8A">
      <w:trPr>
        <w:trHeight w:val="1782"/>
      </w:trPr>
      <w:tc>
        <w:tcPr>
          <w:tcW w:w="2552" w:type="dxa"/>
          <w:vAlign w:val="bottom"/>
        </w:tcPr>
        <w:p w14:paraId="06759130" w14:textId="77777777" w:rsidR="003212EB" w:rsidRDefault="006F0B86"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683AFC4B" wp14:editId="39EDB871">
                <wp:simplePos x="0" y="0"/>
                <wp:positionH relativeFrom="column">
                  <wp:posOffset>-243840</wp:posOffset>
                </wp:positionH>
                <wp:positionV relativeFrom="paragraph">
                  <wp:posOffset>-856615</wp:posOffset>
                </wp:positionV>
                <wp:extent cx="1873250" cy="11264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74F84F3" w14:textId="77777777" w:rsidR="003212EB" w:rsidRDefault="003212EB" w:rsidP="00285C7B">
          <w:pPr>
            <w:pStyle w:val="Encabezado"/>
            <w:tabs>
              <w:tab w:val="clear" w:pos="4252"/>
              <w:tab w:val="center" w:pos="2614"/>
            </w:tabs>
            <w:ind w:left="-255"/>
          </w:pPr>
        </w:p>
      </w:tc>
      <w:tc>
        <w:tcPr>
          <w:tcW w:w="6379" w:type="dxa"/>
          <w:vAlign w:val="center"/>
        </w:tcPr>
        <w:p w14:paraId="70AC460D" w14:textId="77777777" w:rsidR="003212EB" w:rsidRPr="00B9745A" w:rsidRDefault="003212EB"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C085085" w14:textId="6B8E4E79" w:rsidR="003212EB" w:rsidRDefault="003212EB"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C0216F">
            <w:rPr>
              <w:rFonts w:ascii="Palatino Linotype" w:hAnsi="Palatino Linotype"/>
              <w:lang w:val="es-MX"/>
            </w:rPr>
            <w:t>14800</w:t>
          </w:r>
          <w:r w:rsidR="007D3006" w:rsidRPr="007D3006">
            <w:rPr>
              <w:rFonts w:ascii="Palatino Linotype" w:hAnsi="Palatino Linotype"/>
              <w:lang w:val="es-MX"/>
            </w:rPr>
            <w:t>/INFOEM/IP/RR/2022</w:t>
          </w:r>
          <w:r w:rsidR="002071AC">
            <w:rPr>
              <w:rFonts w:ascii="Palatino Linotype" w:hAnsi="Palatino Linotype"/>
              <w:lang w:val="es-MX"/>
            </w:rPr>
            <w:t xml:space="preserve"> </w:t>
          </w:r>
        </w:p>
        <w:p w14:paraId="0605B219" w14:textId="33EBF5B6" w:rsidR="002F095A" w:rsidRDefault="003212EB" w:rsidP="002F095A">
          <w:pPr>
            <w:pStyle w:val="Encabezado"/>
            <w:ind w:left="-108"/>
            <w:jc w:val="both"/>
            <w:rPr>
              <w:rFonts w:ascii="Palatino Linotype" w:hAnsi="Palatino Linotype"/>
              <w:bCs/>
            </w:rPr>
          </w:pPr>
          <w:r>
            <w:rPr>
              <w:rFonts w:ascii="Palatino Linotype" w:hAnsi="Palatino Linotype" w:cs="Tahoma"/>
              <w:b/>
            </w:rPr>
            <w:t>Sujeto Obligado:</w:t>
          </w:r>
          <w:r>
            <w:rPr>
              <w:rFonts w:ascii="Palatino Linotype" w:hAnsi="Palatino Linotype"/>
              <w:bCs/>
              <w:lang w:val="es-MX"/>
            </w:rPr>
            <w:t xml:space="preserve"> </w:t>
          </w:r>
          <w:r w:rsidR="00C0216F" w:rsidRPr="00C0216F">
            <w:rPr>
              <w:rFonts w:ascii="Palatino Linotype" w:hAnsi="Palatino Linotype"/>
              <w:bCs/>
            </w:rPr>
            <w:t>Instituto de Seguridad Social del Estado de México y Municipios</w:t>
          </w:r>
        </w:p>
        <w:p w14:paraId="238E09E7" w14:textId="44BFCC55" w:rsidR="003212EB" w:rsidRDefault="003212EB" w:rsidP="00B463E2">
          <w:pPr>
            <w:pStyle w:val="Encabezado"/>
            <w:ind w:left="-108" w:right="-250"/>
            <w:jc w:val="both"/>
            <w:rPr>
              <w:rFonts w:ascii="Palatino Linotype" w:hAnsi="Palatino Linotype" w:cs="Arial"/>
              <w:szCs w:val="20"/>
            </w:rPr>
          </w:pPr>
          <w:r w:rsidRPr="00B9745A">
            <w:rPr>
              <w:rFonts w:ascii="Palatino Linotype" w:hAnsi="Palatino Linotype" w:cs="Tahoma"/>
              <w:b/>
            </w:rPr>
            <w:t>Comisionad</w:t>
          </w:r>
          <w:r w:rsidR="00ED4DBE">
            <w:rPr>
              <w:rFonts w:ascii="Palatino Linotype" w:hAnsi="Palatino Linotype" w:cs="Tahoma"/>
              <w:b/>
            </w:rPr>
            <w:t>a</w:t>
          </w:r>
          <w:r w:rsidRPr="00B9745A">
            <w:rPr>
              <w:rFonts w:ascii="Palatino Linotype" w:hAnsi="Palatino Linotype" w:cs="Tahoma"/>
              <w:b/>
            </w:rPr>
            <w:t xml:space="preserve"> Ponente: </w:t>
          </w:r>
          <w:r w:rsidR="00C0216F" w:rsidRPr="00C0216F">
            <w:rPr>
              <w:rFonts w:ascii="Palatino Linotype" w:hAnsi="Palatino Linotype" w:cs="Tahoma"/>
              <w:bCs/>
            </w:rPr>
            <w:t>José Martínez Vilchis</w:t>
          </w:r>
        </w:p>
        <w:p w14:paraId="1B1EABD3" w14:textId="77777777" w:rsidR="006F0B86" w:rsidRPr="00285C7B" w:rsidRDefault="006F0B86" w:rsidP="00B463E2">
          <w:pPr>
            <w:pStyle w:val="Encabezado"/>
            <w:ind w:left="-108" w:right="-250"/>
            <w:jc w:val="both"/>
            <w:rPr>
              <w:rFonts w:ascii="Palatino Linotype" w:hAnsi="Palatino Linotype"/>
              <w:bCs/>
              <w:lang w:val="es-ES_tradnl"/>
            </w:rPr>
          </w:pPr>
        </w:p>
      </w:tc>
    </w:tr>
  </w:tbl>
  <w:p w14:paraId="16E67FE8" w14:textId="77777777" w:rsidR="003212EB" w:rsidRPr="001106EA" w:rsidRDefault="003212E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525AA"/>
    <w:rsid w:val="00082310"/>
    <w:rsid w:val="000B7F9F"/>
    <w:rsid w:val="000D62C0"/>
    <w:rsid w:val="00100065"/>
    <w:rsid w:val="00130238"/>
    <w:rsid w:val="00174316"/>
    <w:rsid w:val="001971A0"/>
    <w:rsid w:val="001A58CB"/>
    <w:rsid w:val="001D6059"/>
    <w:rsid w:val="001F75E5"/>
    <w:rsid w:val="002071AC"/>
    <w:rsid w:val="00285C7B"/>
    <w:rsid w:val="002D6AB3"/>
    <w:rsid w:val="002F095A"/>
    <w:rsid w:val="002F2CA2"/>
    <w:rsid w:val="00304A0F"/>
    <w:rsid w:val="00310C37"/>
    <w:rsid w:val="00314859"/>
    <w:rsid w:val="003212EB"/>
    <w:rsid w:val="003A5D2E"/>
    <w:rsid w:val="003E56C5"/>
    <w:rsid w:val="00427F85"/>
    <w:rsid w:val="00437622"/>
    <w:rsid w:val="004412C6"/>
    <w:rsid w:val="00456D37"/>
    <w:rsid w:val="004738C3"/>
    <w:rsid w:val="00480115"/>
    <w:rsid w:val="00486BD3"/>
    <w:rsid w:val="00494387"/>
    <w:rsid w:val="004A7A76"/>
    <w:rsid w:val="004C0D87"/>
    <w:rsid w:val="004C7D91"/>
    <w:rsid w:val="004D26F6"/>
    <w:rsid w:val="004E5EAD"/>
    <w:rsid w:val="00506560"/>
    <w:rsid w:val="00506AB5"/>
    <w:rsid w:val="005236BA"/>
    <w:rsid w:val="00524084"/>
    <w:rsid w:val="00524A4C"/>
    <w:rsid w:val="0052613A"/>
    <w:rsid w:val="005277CD"/>
    <w:rsid w:val="00533E57"/>
    <w:rsid w:val="005378B9"/>
    <w:rsid w:val="00541BAC"/>
    <w:rsid w:val="00543C9A"/>
    <w:rsid w:val="00557EC7"/>
    <w:rsid w:val="0059209B"/>
    <w:rsid w:val="005974CA"/>
    <w:rsid w:val="00601591"/>
    <w:rsid w:val="0060453B"/>
    <w:rsid w:val="00622BCF"/>
    <w:rsid w:val="006408E2"/>
    <w:rsid w:val="00674268"/>
    <w:rsid w:val="00684986"/>
    <w:rsid w:val="00690441"/>
    <w:rsid w:val="00690DC9"/>
    <w:rsid w:val="006A2BEA"/>
    <w:rsid w:val="006C2B09"/>
    <w:rsid w:val="006F0B86"/>
    <w:rsid w:val="00716333"/>
    <w:rsid w:val="00750063"/>
    <w:rsid w:val="007547CE"/>
    <w:rsid w:val="00756729"/>
    <w:rsid w:val="007B1D95"/>
    <w:rsid w:val="007B6ED5"/>
    <w:rsid w:val="007B7E24"/>
    <w:rsid w:val="007D1914"/>
    <w:rsid w:val="007D3006"/>
    <w:rsid w:val="007F32AC"/>
    <w:rsid w:val="00823E1B"/>
    <w:rsid w:val="00826C7B"/>
    <w:rsid w:val="0083177F"/>
    <w:rsid w:val="00833C20"/>
    <w:rsid w:val="00837AD2"/>
    <w:rsid w:val="00842979"/>
    <w:rsid w:val="00864A25"/>
    <w:rsid w:val="00892CCB"/>
    <w:rsid w:val="00897758"/>
    <w:rsid w:val="008B7FC0"/>
    <w:rsid w:val="008C5810"/>
    <w:rsid w:val="008D221B"/>
    <w:rsid w:val="008E1028"/>
    <w:rsid w:val="008E2746"/>
    <w:rsid w:val="008F78B8"/>
    <w:rsid w:val="00913F1E"/>
    <w:rsid w:val="00922026"/>
    <w:rsid w:val="00940F06"/>
    <w:rsid w:val="00951B8A"/>
    <w:rsid w:val="00960C5A"/>
    <w:rsid w:val="00961702"/>
    <w:rsid w:val="009C0622"/>
    <w:rsid w:val="009C37A6"/>
    <w:rsid w:val="009C6B45"/>
    <w:rsid w:val="009F23B2"/>
    <w:rsid w:val="00A17F80"/>
    <w:rsid w:val="00A21473"/>
    <w:rsid w:val="00A54CCC"/>
    <w:rsid w:val="00A80C30"/>
    <w:rsid w:val="00A9782A"/>
    <w:rsid w:val="00AC2D47"/>
    <w:rsid w:val="00AD5399"/>
    <w:rsid w:val="00AF77D3"/>
    <w:rsid w:val="00B031CD"/>
    <w:rsid w:val="00B22C41"/>
    <w:rsid w:val="00B43526"/>
    <w:rsid w:val="00B463E2"/>
    <w:rsid w:val="00B46E3B"/>
    <w:rsid w:val="00B55282"/>
    <w:rsid w:val="00B77094"/>
    <w:rsid w:val="00B80272"/>
    <w:rsid w:val="00BA54EE"/>
    <w:rsid w:val="00BB606D"/>
    <w:rsid w:val="00BD201D"/>
    <w:rsid w:val="00BD7B75"/>
    <w:rsid w:val="00C00E77"/>
    <w:rsid w:val="00C0216F"/>
    <w:rsid w:val="00C36D41"/>
    <w:rsid w:val="00C458FE"/>
    <w:rsid w:val="00C533E2"/>
    <w:rsid w:val="00C60C1A"/>
    <w:rsid w:val="00C75F6B"/>
    <w:rsid w:val="00C90B82"/>
    <w:rsid w:val="00CB36F3"/>
    <w:rsid w:val="00CC3620"/>
    <w:rsid w:val="00CD7937"/>
    <w:rsid w:val="00D51BFD"/>
    <w:rsid w:val="00D51DEC"/>
    <w:rsid w:val="00D6254E"/>
    <w:rsid w:val="00D71359"/>
    <w:rsid w:val="00D81B6B"/>
    <w:rsid w:val="00D96FAA"/>
    <w:rsid w:val="00DA5ADF"/>
    <w:rsid w:val="00DB121C"/>
    <w:rsid w:val="00DD5D61"/>
    <w:rsid w:val="00E01F66"/>
    <w:rsid w:val="00E15D99"/>
    <w:rsid w:val="00E3351B"/>
    <w:rsid w:val="00E43FEA"/>
    <w:rsid w:val="00E67710"/>
    <w:rsid w:val="00E678EF"/>
    <w:rsid w:val="00E7322A"/>
    <w:rsid w:val="00E878DE"/>
    <w:rsid w:val="00EA7BAB"/>
    <w:rsid w:val="00EB135A"/>
    <w:rsid w:val="00ED4DBE"/>
    <w:rsid w:val="00ED75FF"/>
    <w:rsid w:val="00EE0581"/>
    <w:rsid w:val="00EE2310"/>
    <w:rsid w:val="00EF3687"/>
    <w:rsid w:val="00F04F7C"/>
    <w:rsid w:val="00F0698C"/>
    <w:rsid w:val="00F1426D"/>
    <w:rsid w:val="00F34C61"/>
    <w:rsid w:val="00F35BFB"/>
    <w:rsid w:val="00F446B7"/>
    <w:rsid w:val="00F47181"/>
    <w:rsid w:val="00F829A6"/>
    <w:rsid w:val="00F84B95"/>
    <w:rsid w:val="00FB0274"/>
    <w:rsid w:val="00FB1738"/>
    <w:rsid w:val="00FC3DE6"/>
    <w:rsid w:val="00FE051C"/>
    <w:rsid w:val="00FF5922"/>
    <w:rsid w:val="00FF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B9FD"/>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1278</Words>
  <Characters>7029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2</cp:revision>
  <cp:lastPrinted>2022-10-24T14:45:00Z</cp:lastPrinted>
  <dcterms:created xsi:type="dcterms:W3CDTF">2023-04-17T00:17:00Z</dcterms:created>
  <dcterms:modified xsi:type="dcterms:W3CDTF">2023-04-17T17:47:00Z</dcterms:modified>
</cp:coreProperties>
</file>