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A25" w:rsidRDefault="004D6585">
      <w:pPr>
        <w:widowControl w:val="0"/>
        <w:pBdr>
          <w:top w:val="nil"/>
          <w:left w:val="nil"/>
          <w:bottom w:val="nil"/>
          <w:right w:val="nil"/>
          <w:between w:val="nil"/>
        </w:pBdr>
        <w:spacing w:after="0" w:line="276" w:lineRule="auto"/>
      </w:pPr>
      <w:r>
        <w:pict w14:anchorId="1A9B99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0pt;height:50pt;z-index:251658752;visibility:hidden">
            <o:lock v:ext="edit" selection="t"/>
          </v:shape>
        </w:pict>
      </w:r>
      <w:r>
        <w:pict w14:anchorId="5E65E84F">
          <v:shape id="_x0000_s1026" type="#_x0000_t136" style="position:absolute;margin-left:0;margin-top:0;width:50pt;height:50pt;z-index:251659776;visibility:hidden">
            <o:lock v:ext="edit" selection="t"/>
          </v:shape>
        </w:pict>
      </w:r>
    </w:p>
    <w:p w:rsidR="00192A25" w:rsidRDefault="003E7535">
      <w:pPr>
        <w:widowControl w:val="0"/>
        <w:pBdr>
          <w:top w:val="nil"/>
          <w:left w:val="nil"/>
          <w:bottom w:val="nil"/>
          <w:right w:val="nil"/>
          <w:between w:val="nil"/>
        </w:pBdr>
        <w:spacing w:after="0" w:line="360" w:lineRule="auto"/>
        <w:jc w:val="both"/>
      </w:pPr>
      <w:bookmarkStart w:id="0" w:name="_heading=h.2et92p0" w:colFirst="0" w:colLast="0"/>
      <w:bookmarkEnd w:id="0"/>
      <w:r>
        <w:rPr>
          <w:rFonts w:ascii="Palatino Linotype" w:eastAsia="Palatino Linotype" w:hAnsi="Palatino Linotype" w:cs="Palatino Linotype"/>
          <w:b/>
          <w:sz w:val="24"/>
          <w:szCs w:val="24"/>
        </w:rPr>
        <w:t>VOTO PARTICULAR CONCURRENTE QUE F</w:t>
      </w:r>
      <w:r>
        <w:rPr>
          <w:rFonts w:ascii="Palatino Linotype" w:eastAsia="Palatino Linotype" w:hAnsi="Palatino Linotype" w:cs="Palatino Linotype"/>
          <w:b/>
          <w:color w:val="000000"/>
          <w:sz w:val="24"/>
          <w:szCs w:val="24"/>
        </w:rPr>
        <w:t>ORMULAN</w:t>
      </w:r>
      <w:r>
        <w:rPr>
          <w:rFonts w:ascii="Palatino Linotype" w:eastAsia="Palatino Linotype" w:hAnsi="Palatino Linotype" w:cs="Palatino Linotype"/>
          <w:b/>
          <w:sz w:val="24"/>
          <w:szCs w:val="24"/>
        </w:rPr>
        <w:t xml:space="preserve"> LAS COMISIONADAS GUADALUPE RAMÍREZ PEÑA Y LA COMISIONADA SHARON CRISTINA MORALES MARTÍNEZ, EN RELACIÓN CON LA RESOLUCIÓN DICTADA POR EL PLENO DEL INSTITUTO DE TRANSPARENCIA, ACCESO A LA INFORMACIÓN PÚBLICA Y PROTECCIÓN DE DATOS PERSONALES DEL ESTADO DE MÉXICO Y MUNICIPIOS, EN LA TRIGÉSIMA CUARTA SESIÓN ORDINARIA DEL VEINTE DE SEPTIEMBRE DE DOS MIL VEINTITRÉS, EN EL RECURSO DE REVISIÓN 17390/INFOEM/IP/RR/2022.</w:t>
      </w:r>
      <w:r>
        <w:rPr>
          <w:noProof/>
          <w:lang w:val="es-MX"/>
        </w:rPr>
        <mc:AlternateContent>
          <mc:Choice Requires="wpg">
            <w:drawing>
              <wp:anchor distT="0" distB="0" distL="114300" distR="114300" simplePos="0" relativeHeight="251655680" behindDoc="0" locked="0" layoutInCell="1" hidden="0" allowOverlap="1">
                <wp:simplePos x="0" y="0"/>
                <wp:positionH relativeFrom="column">
                  <wp:posOffset>1</wp:posOffset>
                </wp:positionH>
                <wp:positionV relativeFrom="paragraph">
                  <wp:posOffset>0</wp:posOffset>
                </wp:positionV>
                <wp:extent cx="644525" cy="644525"/>
                <wp:effectExtent l="0" t="0" r="0" b="0"/>
                <wp:wrapNone/>
                <wp:docPr id="53" name="Rectángulo 53"/>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192A25" w:rsidRDefault="00192A2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44525" cy="644525"/>
                <wp:effectExtent b="0" l="0" r="0" t="0"/>
                <wp:wrapNone/>
                <wp:docPr id="5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44525" cy="644525"/>
                        </a:xfrm>
                        <a:prstGeom prst="rect"/>
                        <a:ln/>
                      </pic:spPr>
                    </pic:pic>
                  </a:graphicData>
                </a:graphic>
              </wp:anchor>
            </w:drawing>
          </mc:Fallback>
        </mc:AlternateContent>
      </w:r>
      <w:r>
        <w:rPr>
          <w:noProof/>
          <w:lang w:val="es-MX"/>
        </w:rPr>
        <mc:AlternateContent>
          <mc:Choice Requires="wpg">
            <w:drawing>
              <wp:anchor distT="0" distB="0" distL="114300" distR="114300" simplePos="0" relativeHeight="251656704" behindDoc="0" locked="0" layoutInCell="1" hidden="0" allowOverlap="1">
                <wp:simplePos x="0" y="0"/>
                <wp:positionH relativeFrom="column">
                  <wp:posOffset>1</wp:posOffset>
                </wp:positionH>
                <wp:positionV relativeFrom="paragraph">
                  <wp:posOffset>0</wp:posOffset>
                </wp:positionV>
                <wp:extent cx="644525" cy="644525"/>
                <wp:effectExtent l="0" t="0" r="0" b="0"/>
                <wp:wrapNone/>
                <wp:docPr id="58" name="Rectángulo 58"/>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192A25" w:rsidRDefault="00192A2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44525" cy="644525"/>
                <wp:effectExtent b="0" l="0" r="0" t="0"/>
                <wp:wrapNone/>
                <wp:docPr id="58"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644525" cy="644525"/>
                        </a:xfrm>
                        <a:prstGeom prst="rect"/>
                        <a:ln/>
                      </pic:spPr>
                    </pic:pic>
                  </a:graphicData>
                </a:graphic>
              </wp:anchor>
            </w:drawing>
          </mc:Fallback>
        </mc:AlternateContent>
      </w:r>
      <w:r>
        <w:rPr>
          <w:noProof/>
          <w:lang w:val="es-MX"/>
        </w:rPr>
        <mc:AlternateContent>
          <mc:Choice Requires="wpg">
            <w:drawing>
              <wp:anchor distT="0" distB="0" distL="114300" distR="114300" simplePos="0" relativeHeight="251657728" behindDoc="0" locked="0" layoutInCell="1" hidden="0" allowOverlap="1">
                <wp:simplePos x="0" y="0"/>
                <wp:positionH relativeFrom="column">
                  <wp:posOffset>1</wp:posOffset>
                </wp:positionH>
                <wp:positionV relativeFrom="paragraph">
                  <wp:posOffset>0</wp:posOffset>
                </wp:positionV>
                <wp:extent cx="644525" cy="644525"/>
                <wp:effectExtent l="0" t="0" r="0" b="0"/>
                <wp:wrapNone/>
                <wp:docPr id="59" name="Rectángulo 59"/>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192A25" w:rsidRDefault="00192A2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44525" cy="644525"/>
                <wp:effectExtent b="0" l="0" r="0" t="0"/>
                <wp:wrapNone/>
                <wp:docPr id="59"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644525" cy="644525"/>
                        </a:xfrm>
                        <a:prstGeom prst="rect"/>
                        <a:ln/>
                      </pic:spPr>
                    </pic:pic>
                  </a:graphicData>
                </a:graphic>
              </wp:anchor>
            </w:drawing>
          </mc:Fallback>
        </mc:AlternateContent>
      </w:r>
    </w:p>
    <w:p w:rsidR="00192A25" w:rsidRDefault="00192A25">
      <w:pPr>
        <w:pBdr>
          <w:top w:val="nil"/>
          <w:left w:val="nil"/>
          <w:bottom w:val="nil"/>
          <w:right w:val="nil"/>
          <w:between w:val="nil"/>
        </w:pBdr>
        <w:tabs>
          <w:tab w:val="center" w:pos="4252"/>
          <w:tab w:val="right" w:pos="8504"/>
        </w:tabs>
        <w:spacing w:after="0" w:line="360" w:lineRule="auto"/>
        <w:ind w:right="49"/>
        <w:jc w:val="both"/>
        <w:rPr>
          <w:rFonts w:ascii="Palatino Linotype" w:eastAsia="Palatino Linotype" w:hAnsi="Palatino Linotype" w:cs="Palatino Linotype"/>
          <w:color w:val="FF0000"/>
          <w:sz w:val="24"/>
          <w:szCs w:val="24"/>
        </w:rPr>
      </w:pPr>
    </w:p>
    <w:p w:rsidR="00192A25" w:rsidRDefault="003E7535">
      <w:pPr>
        <w:pBdr>
          <w:top w:val="nil"/>
          <w:left w:val="nil"/>
          <w:bottom w:val="nil"/>
          <w:right w:val="nil"/>
          <w:between w:val="nil"/>
        </w:pBdr>
        <w:tabs>
          <w:tab w:val="center" w:pos="4252"/>
          <w:tab w:val="right" w:pos="8504"/>
        </w:tabs>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Con fundamento en lo dispuesto por el artículo 14, fracciones X y XI, del Reglamento del Instituto de Transparencia, Acceso a la Información Pública y Protección de Datos Personales del Estado de México y Municipios, las Comisionadas </w:t>
      </w:r>
      <w:r>
        <w:rPr>
          <w:rFonts w:ascii="Palatino Linotype" w:eastAsia="Palatino Linotype" w:hAnsi="Palatino Linotype" w:cs="Palatino Linotype"/>
          <w:b/>
          <w:color w:val="000000"/>
          <w:sz w:val="24"/>
          <w:szCs w:val="24"/>
        </w:rPr>
        <w:t>Guadalupe Ramírez Peña y Sharon Cristina Morales Martínez</w:t>
      </w:r>
      <w:r>
        <w:rPr>
          <w:rFonts w:ascii="Palatino Linotype" w:eastAsia="Palatino Linotype" w:hAnsi="Palatino Linotype" w:cs="Palatino Linotype"/>
          <w:color w:val="000000"/>
          <w:sz w:val="24"/>
          <w:szCs w:val="24"/>
        </w:rPr>
        <w:t xml:space="preserve">  emiten </w:t>
      </w:r>
      <w:r>
        <w:rPr>
          <w:rFonts w:ascii="Palatino Linotype" w:eastAsia="Palatino Linotype" w:hAnsi="Palatino Linotype" w:cs="Palatino Linotype"/>
          <w:b/>
          <w:color w:val="000000"/>
          <w:sz w:val="24"/>
          <w:szCs w:val="24"/>
        </w:rPr>
        <w:t>VOTO PARTICULAR CONCURRENTE</w:t>
      </w:r>
      <w:r>
        <w:rPr>
          <w:rFonts w:ascii="Palatino Linotype" w:eastAsia="Palatino Linotype" w:hAnsi="Palatino Linotype" w:cs="Palatino Linotype"/>
          <w:color w:val="000000"/>
          <w:sz w:val="24"/>
          <w:szCs w:val="24"/>
        </w:rPr>
        <w:t xml:space="preserve"> respecto a la resolución dictada en el recurso de revisión </w:t>
      </w:r>
      <w:r>
        <w:rPr>
          <w:rFonts w:ascii="Palatino Linotype" w:eastAsia="Palatino Linotype" w:hAnsi="Palatino Linotype" w:cs="Palatino Linotype"/>
          <w:b/>
          <w:color w:val="000000"/>
          <w:sz w:val="24"/>
          <w:szCs w:val="24"/>
        </w:rPr>
        <w:t>17390/INFOEM/IP/RR/2022</w:t>
      </w:r>
      <w:r>
        <w:rPr>
          <w:rFonts w:ascii="Palatino Linotype" w:eastAsia="Palatino Linotype" w:hAnsi="Palatino Linotype" w:cs="Palatino Linotype"/>
          <w:color w:val="000000"/>
          <w:sz w:val="24"/>
          <w:szCs w:val="24"/>
        </w:rPr>
        <w:t xml:space="preserve">, pronunciada por el Pleno de este Instituto ante el proyecto presentado por el </w:t>
      </w:r>
      <w:r>
        <w:rPr>
          <w:rFonts w:ascii="Palatino Linotype" w:eastAsia="Palatino Linotype" w:hAnsi="Palatino Linotype" w:cs="Palatino Linotype"/>
          <w:b/>
          <w:color w:val="000000"/>
          <w:sz w:val="24"/>
          <w:szCs w:val="24"/>
        </w:rPr>
        <w:t>Comisionado Presidente José Martínez Vilchis</w:t>
      </w:r>
      <w:r>
        <w:rPr>
          <w:rFonts w:ascii="Palatino Linotype" w:eastAsia="Palatino Linotype" w:hAnsi="Palatino Linotype" w:cs="Palatino Linotype"/>
          <w:color w:val="000000"/>
          <w:sz w:val="24"/>
          <w:szCs w:val="24"/>
        </w:rPr>
        <w:t>, el cual fue resuelto conforme al criterio mayoritario que es del tenor siguiente:</w:t>
      </w:r>
    </w:p>
    <w:p w:rsidR="00192A25" w:rsidRDefault="00192A25">
      <w:pPr>
        <w:spacing w:after="0" w:line="360" w:lineRule="auto"/>
        <w:jc w:val="both"/>
        <w:rPr>
          <w:rFonts w:ascii="Palatino Linotype" w:eastAsia="Palatino Linotype" w:hAnsi="Palatino Linotype" w:cs="Palatino Linotype"/>
          <w:color w:val="000000"/>
          <w:sz w:val="24"/>
          <w:szCs w:val="24"/>
        </w:rPr>
      </w:pPr>
    </w:p>
    <w:p w:rsidR="00192A25" w:rsidRDefault="003E7535">
      <w:pPr>
        <w:pBdr>
          <w:top w:val="nil"/>
          <w:left w:val="nil"/>
          <w:bottom w:val="nil"/>
          <w:right w:val="nil"/>
          <w:between w:val="nil"/>
        </w:pBdr>
        <w:tabs>
          <w:tab w:val="center" w:pos="4252"/>
          <w:tab w:val="right" w:pos="8504"/>
        </w:tabs>
        <w:spacing w:after="0" w:line="360" w:lineRule="auto"/>
        <w:ind w:right="49"/>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I. Antecedentes.</w:t>
      </w:r>
    </w:p>
    <w:p w:rsidR="00192A25" w:rsidRDefault="003E753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medio de impugnación que nos ocupa, la persona solicitante requirió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la siguiente información:</w:t>
      </w:r>
    </w:p>
    <w:p w:rsidR="00192A25" w:rsidRDefault="003E7535">
      <w:pPr>
        <w:tabs>
          <w:tab w:val="left" w:pos="5647"/>
        </w:tabs>
        <w:spacing w:after="0" w:line="276"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“Solicito todos las licencias de conducir del personal de protección civil y bomberos del año 2022” (Sic)</w:t>
      </w:r>
    </w:p>
    <w:p w:rsidR="00912A2F" w:rsidRDefault="00912A2F">
      <w:pPr>
        <w:tabs>
          <w:tab w:val="left" w:pos="5647"/>
        </w:tabs>
        <w:spacing w:after="0" w:line="276" w:lineRule="auto"/>
        <w:ind w:left="567" w:right="900"/>
        <w:jc w:val="both"/>
        <w:rPr>
          <w:rFonts w:ascii="Palatino Linotype" w:eastAsia="Palatino Linotype" w:hAnsi="Palatino Linotype" w:cs="Palatino Linotype"/>
          <w:i/>
        </w:rPr>
      </w:pPr>
    </w:p>
    <w:p w:rsidR="00192A25" w:rsidRDefault="003E7535">
      <w:pPr>
        <w:spacing w:after="0" w:line="360" w:lineRule="auto"/>
        <w:jc w:val="both"/>
        <w:rPr>
          <w:i/>
          <w:sz w:val="20"/>
          <w:szCs w:val="20"/>
        </w:rPr>
      </w:pPr>
      <w:r>
        <w:rPr>
          <w:rFonts w:ascii="Palatino Linotype" w:eastAsia="Palatino Linotype" w:hAnsi="Palatino Linotype" w:cs="Palatino Linotype"/>
          <w:sz w:val="24"/>
          <w:szCs w:val="24"/>
        </w:rPr>
        <w:t xml:space="preserve">Es de precisar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fue omiso en remitir su respuesta, por lo tanto, se actualiza la figura jurídica de la negativa ficta, cuya esencia consiste en atribuir un efecto negativo al silencio de la autoridad administrativa frente a las instancias y solicitudes que hagan los particulares.</w:t>
      </w:r>
    </w:p>
    <w:p w:rsidR="00192A25" w:rsidRDefault="00192A25">
      <w:pPr>
        <w:spacing w:after="0" w:line="360" w:lineRule="auto"/>
        <w:jc w:val="both"/>
        <w:rPr>
          <w:i/>
          <w:sz w:val="20"/>
          <w:szCs w:val="20"/>
        </w:rPr>
      </w:pPr>
    </w:p>
    <w:p w:rsidR="00192A25" w:rsidRDefault="003E753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Teniendo así que ante la falta de respuesta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la Parte</w:t>
      </w:r>
      <w:r>
        <w:rPr>
          <w:rFonts w:ascii="Palatino Linotype" w:eastAsia="Palatino Linotype" w:hAnsi="Palatino Linotype" w:cs="Palatino Linotype"/>
          <w:color w:val="FF0000"/>
          <w:sz w:val="24"/>
          <w:szCs w:val="24"/>
        </w:rPr>
        <w:t xml:space="preserv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el medio de impugnación citado al rubro, expresando lo siguiente:</w:t>
      </w:r>
    </w:p>
    <w:p w:rsidR="00192A25" w:rsidRDefault="00192A25">
      <w:pPr>
        <w:spacing w:after="0" w:line="360" w:lineRule="auto"/>
        <w:jc w:val="both"/>
        <w:rPr>
          <w:rFonts w:ascii="Palatino Linotype" w:eastAsia="Palatino Linotype" w:hAnsi="Palatino Linotype" w:cs="Palatino Linotype"/>
          <w:sz w:val="24"/>
          <w:szCs w:val="24"/>
        </w:rPr>
      </w:pPr>
    </w:p>
    <w:p w:rsidR="00192A25" w:rsidRDefault="003E7535">
      <w:pPr>
        <w:pBdr>
          <w:top w:val="nil"/>
          <w:left w:val="nil"/>
          <w:bottom w:val="nil"/>
          <w:right w:val="nil"/>
          <w:between w:val="nil"/>
        </w:pBdr>
        <w:spacing w:after="0" w:line="360" w:lineRule="auto"/>
        <w:ind w:left="851" w:right="900"/>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a) Acto Impugnado:</w:t>
      </w:r>
    </w:p>
    <w:p w:rsidR="00192A25" w:rsidRDefault="003E7535">
      <w:pPr>
        <w:spacing w:after="0" w:line="240" w:lineRule="auto"/>
        <w:ind w:left="851" w:right="900"/>
        <w:jc w:val="both"/>
        <w:rPr>
          <w:rFonts w:ascii="Palatino Linotype" w:eastAsia="Palatino Linotype" w:hAnsi="Palatino Linotype" w:cs="Palatino Linotype"/>
          <w:i/>
          <w:color w:val="000000"/>
        </w:rPr>
      </w:pPr>
      <w:r>
        <w:rPr>
          <w:rFonts w:ascii="Palatino Linotype" w:eastAsia="Palatino Linotype" w:hAnsi="Palatino Linotype" w:cs="Palatino Linotype"/>
          <w:i/>
        </w:rPr>
        <w:t>“</w:t>
      </w:r>
      <w:r>
        <w:rPr>
          <w:rFonts w:ascii="Palatino Linotype" w:eastAsia="Palatino Linotype" w:hAnsi="Palatino Linotype" w:cs="Palatino Linotype"/>
          <w:i/>
          <w:color w:val="000000"/>
        </w:rPr>
        <w:t>NO ENTREGA INFORMACIÓN” (Sic)</w:t>
      </w:r>
    </w:p>
    <w:p w:rsidR="00192A25" w:rsidRDefault="00192A25">
      <w:pPr>
        <w:spacing w:after="0" w:line="360" w:lineRule="auto"/>
        <w:ind w:left="851" w:right="900"/>
        <w:jc w:val="both"/>
        <w:rPr>
          <w:rFonts w:ascii="Palatino Linotype" w:eastAsia="Palatino Linotype" w:hAnsi="Palatino Linotype" w:cs="Palatino Linotype"/>
          <w:sz w:val="24"/>
          <w:szCs w:val="24"/>
        </w:rPr>
      </w:pPr>
    </w:p>
    <w:p w:rsidR="00192A25" w:rsidRDefault="003E7535">
      <w:pPr>
        <w:spacing w:after="0" w:line="360" w:lineRule="auto"/>
        <w:ind w:left="851" w:right="900"/>
        <w:jc w:val="both"/>
        <w:rPr>
          <w:rFonts w:ascii="Palatino Linotype" w:eastAsia="Palatino Linotype" w:hAnsi="Palatino Linotype" w:cs="Palatino Linotype"/>
          <w:sz w:val="28"/>
          <w:szCs w:val="28"/>
        </w:rPr>
      </w:pPr>
      <w:r>
        <w:rPr>
          <w:rFonts w:ascii="Palatino Linotype" w:eastAsia="Palatino Linotype" w:hAnsi="Palatino Linotype" w:cs="Palatino Linotype"/>
          <w:b/>
          <w:sz w:val="24"/>
          <w:szCs w:val="24"/>
        </w:rPr>
        <w:t>b) Razones o motivos de inconformidad:</w:t>
      </w:r>
    </w:p>
    <w:p w:rsidR="00192A25" w:rsidRDefault="003E7535">
      <w:pPr>
        <w:spacing w:after="0" w:line="360" w:lineRule="auto"/>
        <w:ind w:left="143" w:right="-28" w:firstLine="708"/>
        <w:jc w:val="both"/>
        <w:rPr>
          <w:rFonts w:ascii="Palatino Linotype" w:eastAsia="Palatino Linotype" w:hAnsi="Palatino Linotype" w:cs="Palatino Linotype"/>
          <w:i/>
        </w:rPr>
      </w:pPr>
      <w:r>
        <w:rPr>
          <w:rFonts w:ascii="Palatino Linotype" w:eastAsia="Palatino Linotype" w:hAnsi="Palatino Linotype" w:cs="Palatino Linotype"/>
          <w:i/>
        </w:rPr>
        <w:t>“NO ENTREGA INFORMACIÓN” (Sic)</w:t>
      </w:r>
    </w:p>
    <w:p w:rsidR="00192A25" w:rsidRDefault="00192A25">
      <w:pPr>
        <w:spacing w:after="0" w:line="360" w:lineRule="auto"/>
        <w:ind w:right="-28"/>
        <w:jc w:val="both"/>
        <w:rPr>
          <w:rFonts w:ascii="Palatino Linotype" w:eastAsia="Palatino Linotype" w:hAnsi="Palatino Linotype" w:cs="Palatino Linotype"/>
          <w:i/>
          <w:sz w:val="24"/>
          <w:szCs w:val="24"/>
        </w:rPr>
      </w:pPr>
    </w:p>
    <w:p w:rsidR="00192A25" w:rsidRDefault="003E7535">
      <w:pPr>
        <w:widowControl w:val="0"/>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admitido el presente recurso de revisión, el Comisionado Ponente procedió a conjuntar el expediente electrónico y concedió a las partes un plazo de siete días hábiles para efecto de que las partes remitieran sus informes justificados, manifestaciones, alegatos o cualquier manifestación que a su derecho conviniera, teniendo así que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xml:space="preserve"> fue omisa en remitir pronunciamiento alguno, mientras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adjuntó el archivo electrónico “</w:t>
      </w:r>
      <w:r>
        <w:rPr>
          <w:rFonts w:ascii="Palatino Linotype" w:eastAsia="Palatino Linotype" w:hAnsi="Palatino Linotype" w:cs="Palatino Linotype"/>
          <w:b/>
          <w:i/>
          <w:sz w:val="24"/>
          <w:szCs w:val="24"/>
        </w:rPr>
        <w:t xml:space="preserve">respuesta de solicitud 1325-22.pdf”, </w:t>
      </w:r>
      <w:r>
        <w:rPr>
          <w:rFonts w:ascii="Palatino Linotype" w:eastAsia="Palatino Linotype" w:hAnsi="Palatino Linotype" w:cs="Palatino Linotype"/>
          <w:sz w:val="24"/>
          <w:szCs w:val="24"/>
        </w:rPr>
        <w:t>el cual se encuentra suscrito por el Titular de la Unidad de Transparencia, medularmente en los siguientes términos:</w:t>
      </w:r>
    </w:p>
    <w:p w:rsidR="00192A25" w:rsidRDefault="003E7535">
      <w:pPr>
        <w:spacing w:before="240" w:line="276" w:lineRule="auto"/>
        <w:ind w:left="567" w:right="851"/>
        <w:jc w:val="both"/>
        <w:rPr>
          <w:rFonts w:ascii="Palatino Linotype" w:eastAsia="Palatino Linotype" w:hAnsi="Palatino Linotype" w:cs="Palatino Linotype"/>
          <w:b/>
          <w:i/>
        </w:rPr>
      </w:pPr>
      <w:r>
        <w:rPr>
          <w:rFonts w:ascii="Palatino Linotype" w:eastAsia="Palatino Linotype" w:hAnsi="Palatino Linotype" w:cs="Palatino Linotype"/>
          <w:b/>
          <w:i/>
        </w:rPr>
        <w:lastRenderedPageBreak/>
        <w:t>“…</w:t>
      </w:r>
      <w:r>
        <w:rPr>
          <w:rFonts w:ascii="Palatino Linotype" w:eastAsia="Palatino Linotype" w:hAnsi="Palatino Linotype" w:cs="Palatino Linotype"/>
          <w:i/>
        </w:rPr>
        <w:t xml:space="preserve">le informo que este Sujeto Obligado al realizar un análisis en su solicitud procedió a turnarla al Servidor Público Habilitado poseedor de la información, mismo que nos informa que de conformidad con la Ley del Trabajo de los Servidores Públicos del Estado de México y Municipios en su artículo 47 mismo que se transcribe a continuación: </w:t>
      </w:r>
    </w:p>
    <w:p w:rsidR="00192A25" w:rsidRDefault="003E7535">
      <w:pPr>
        <w:spacing w:before="240" w:line="276" w:lineRule="auto"/>
        <w:ind w:left="567" w:right="851"/>
        <w:jc w:val="both"/>
        <w:rPr>
          <w:rFonts w:ascii="Palatino Linotype" w:eastAsia="Palatino Linotype" w:hAnsi="Palatino Linotype" w:cs="Palatino Linotype"/>
          <w:i/>
        </w:rPr>
      </w:pPr>
      <w:r>
        <w:rPr>
          <w:rFonts w:ascii="Palatino Linotype" w:eastAsia="Palatino Linotype" w:hAnsi="Palatino Linotype" w:cs="Palatino Linotype"/>
          <w:b/>
          <w:i/>
        </w:rPr>
        <w:t>ARTÍCULO 47.</w:t>
      </w:r>
      <w:r>
        <w:rPr>
          <w:rFonts w:ascii="Palatino Linotype" w:eastAsia="Palatino Linotype" w:hAnsi="Palatino Linotype" w:cs="Palatino Linotype"/>
          <w:i/>
        </w:rPr>
        <w:t xml:space="preserve"> Para ingresar al servicio público se requiere: </w:t>
      </w:r>
    </w:p>
    <w:p w:rsidR="00192A25" w:rsidRDefault="003E7535">
      <w:pPr>
        <w:numPr>
          <w:ilvl w:val="0"/>
          <w:numId w:val="1"/>
        </w:numPr>
        <w:spacing w:before="240" w:line="276" w:lineRule="auto"/>
        <w:ind w:left="567" w:right="851" w:firstLine="0"/>
        <w:jc w:val="both"/>
        <w:rPr>
          <w:rFonts w:ascii="Palatino Linotype" w:eastAsia="Palatino Linotype" w:hAnsi="Palatino Linotype" w:cs="Palatino Linotype"/>
          <w:i/>
        </w:rPr>
      </w:pPr>
      <w:r>
        <w:rPr>
          <w:rFonts w:ascii="Palatino Linotype" w:eastAsia="Palatino Linotype" w:hAnsi="Palatino Linotype" w:cs="Palatino Linotype"/>
          <w:i/>
        </w:rPr>
        <w:t xml:space="preserve">Presentar una solicitud utilizando la forma oficial que se autorice por la institución pública o dependencia correspondiente; </w:t>
      </w:r>
    </w:p>
    <w:p w:rsidR="00192A25" w:rsidRDefault="003E7535">
      <w:pPr>
        <w:numPr>
          <w:ilvl w:val="0"/>
          <w:numId w:val="1"/>
        </w:numPr>
        <w:spacing w:before="240" w:line="276" w:lineRule="auto"/>
        <w:ind w:left="567" w:right="851" w:hanging="141"/>
        <w:jc w:val="both"/>
        <w:rPr>
          <w:rFonts w:ascii="Palatino Linotype" w:eastAsia="Palatino Linotype" w:hAnsi="Palatino Linotype" w:cs="Palatino Linotype"/>
          <w:i/>
        </w:rPr>
      </w:pPr>
      <w:r>
        <w:rPr>
          <w:rFonts w:ascii="Palatino Linotype" w:eastAsia="Palatino Linotype" w:hAnsi="Palatino Linotype" w:cs="Palatino Linotype"/>
          <w:i/>
        </w:rPr>
        <w:t xml:space="preserve">Ser de nacionalidad mexicana, con la excepción prevista en el artículo 17 de la presente ley; </w:t>
      </w:r>
    </w:p>
    <w:p w:rsidR="00192A25" w:rsidRDefault="003E7535">
      <w:pPr>
        <w:numPr>
          <w:ilvl w:val="0"/>
          <w:numId w:val="1"/>
        </w:numPr>
        <w:spacing w:before="240" w:line="276" w:lineRule="auto"/>
        <w:ind w:left="567" w:right="851" w:hanging="141"/>
        <w:jc w:val="both"/>
        <w:rPr>
          <w:rFonts w:ascii="Palatino Linotype" w:eastAsia="Palatino Linotype" w:hAnsi="Palatino Linotype" w:cs="Palatino Linotype"/>
          <w:i/>
        </w:rPr>
      </w:pPr>
      <w:r>
        <w:rPr>
          <w:rFonts w:ascii="Palatino Linotype" w:eastAsia="Palatino Linotype" w:hAnsi="Palatino Linotype" w:cs="Palatino Linotype"/>
          <w:i/>
        </w:rPr>
        <w:t xml:space="preserve">Estar en pleno ejercicio de sus derechos civiles y políticos, en su caso; </w:t>
      </w:r>
    </w:p>
    <w:p w:rsidR="00192A25" w:rsidRDefault="003E7535">
      <w:pPr>
        <w:numPr>
          <w:ilvl w:val="0"/>
          <w:numId w:val="1"/>
        </w:numPr>
        <w:spacing w:before="240" w:line="276" w:lineRule="auto"/>
        <w:ind w:left="567" w:right="851" w:hanging="141"/>
        <w:jc w:val="both"/>
        <w:rPr>
          <w:rFonts w:ascii="Palatino Linotype" w:eastAsia="Palatino Linotype" w:hAnsi="Palatino Linotype" w:cs="Palatino Linotype"/>
          <w:i/>
        </w:rPr>
      </w:pPr>
      <w:r>
        <w:rPr>
          <w:rFonts w:ascii="Palatino Linotype" w:eastAsia="Palatino Linotype" w:hAnsi="Palatino Linotype" w:cs="Palatino Linotype"/>
          <w:i/>
        </w:rPr>
        <w:t xml:space="preserve">Acreditar, cuando proceda, el cumplimiento de la Ley del Servicio Militar Nacional; </w:t>
      </w:r>
    </w:p>
    <w:p w:rsidR="00192A25" w:rsidRDefault="003E7535">
      <w:pPr>
        <w:numPr>
          <w:ilvl w:val="0"/>
          <w:numId w:val="1"/>
        </w:numPr>
        <w:spacing w:before="240" w:line="276" w:lineRule="auto"/>
        <w:ind w:left="567" w:right="851" w:hanging="141"/>
        <w:jc w:val="both"/>
        <w:rPr>
          <w:rFonts w:ascii="Palatino Linotype" w:eastAsia="Palatino Linotype" w:hAnsi="Palatino Linotype" w:cs="Palatino Linotype"/>
          <w:i/>
        </w:rPr>
      </w:pPr>
      <w:r>
        <w:rPr>
          <w:rFonts w:ascii="Palatino Linotype" w:eastAsia="Palatino Linotype" w:hAnsi="Palatino Linotype" w:cs="Palatino Linotype"/>
          <w:i/>
        </w:rPr>
        <w:t xml:space="preserve">Derogada. </w:t>
      </w:r>
    </w:p>
    <w:p w:rsidR="00192A25" w:rsidRDefault="003E7535">
      <w:pPr>
        <w:numPr>
          <w:ilvl w:val="0"/>
          <w:numId w:val="1"/>
        </w:numPr>
        <w:spacing w:before="240" w:line="276" w:lineRule="auto"/>
        <w:ind w:left="567" w:right="851" w:hanging="141"/>
        <w:jc w:val="both"/>
        <w:rPr>
          <w:rFonts w:ascii="Palatino Linotype" w:eastAsia="Palatino Linotype" w:hAnsi="Palatino Linotype" w:cs="Palatino Linotype"/>
          <w:i/>
        </w:rPr>
      </w:pPr>
      <w:r>
        <w:rPr>
          <w:rFonts w:ascii="Palatino Linotype" w:eastAsia="Palatino Linotype" w:hAnsi="Palatino Linotype" w:cs="Palatino Linotype"/>
          <w:i/>
        </w:rPr>
        <w:t xml:space="preserve">No haber sido separado anteriormente del servicio por las causas previstas en el artículo 93 de la presente ley; </w:t>
      </w:r>
    </w:p>
    <w:p w:rsidR="00192A25" w:rsidRDefault="003E7535">
      <w:pPr>
        <w:numPr>
          <w:ilvl w:val="0"/>
          <w:numId w:val="1"/>
        </w:numPr>
        <w:spacing w:before="240" w:line="276" w:lineRule="auto"/>
        <w:ind w:left="567" w:right="851" w:hanging="283"/>
        <w:jc w:val="both"/>
        <w:rPr>
          <w:rFonts w:ascii="Palatino Linotype" w:eastAsia="Palatino Linotype" w:hAnsi="Palatino Linotype" w:cs="Palatino Linotype"/>
          <w:i/>
        </w:rPr>
      </w:pPr>
      <w:r>
        <w:rPr>
          <w:rFonts w:ascii="Palatino Linotype" w:eastAsia="Palatino Linotype" w:hAnsi="Palatino Linotype" w:cs="Palatino Linotype"/>
          <w:i/>
        </w:rPr>
        <w:t xml:space="preserve">Tener buena salud, lo que se comprobará con los certificados médicos correspondientes, en la forma en que se establezca en cada institución pública; </w:t>
      </w:r>
    </w:p>
    <w:p w:rsidR="00192A25" w:rsidRDefault="003E7535">
      <w:pPr>
        <w:numPr>
          <w:ilvl w:val="0"/>
          <w:numId w:val="1"/>
        </w:numPr>
        <w:spacing w:before="240" w:line="276" w:lineRule="auto"/>
        <w:ind w:left="567" w:right="851" w:hanging="283"/>
        <w:jc w:val="both"/>
        <w:rPr>
          <w:rFonts w:ascii="Palatino Linotype" w:eastAsia="Palatino Linotype" w:hAnsi="Palatino Linotype" w:cs="Palatino Linotype"/>
          <w:i/>
        </w:rPr>
      </w:pPr>
      <w:r>
        <w:rPr>
          <w:rFonts w:ascii="Palatino Linotype" w:eastAsia="Palatino Linotype" w:hAnsi="Palatino Linotype" w:cs="Palatino Linotype"/>
          <w:i/>
        </w:rPr>
        <w:t xml:space="preserve">Cumplir con los requisitos que se establezcan para los diferentes puestos; </w:t>
      </w:r>
    </w:p>
    <w:p w:rsidR="00192A25" w:rsidRDefault="003E7535">
      <w:pPr>
        <w:numPr>
          <w:ilvl w:val="0"/>
          <w:numId w:val="1"/>
        </w:numPr>
        <w:spacing w:before="240" w:line="276" w:lineRule="auto"/>
        <w:ind w:left="567" w:right="851" w:hanging="283"/>
        <w:jc w:val="both"/>
        <w:rPr>
          <w:rFonts w:ascii="Palatino Linotype" w:eastAsia="Palatino Linotype" w:hAnsi="Palatino Linotype" w:cs="Palatino Linotype"/>
          <w:i/>
        </w:rPr>
      </w:pPr>
      <w:r>
        <w:rPr>
          <w:rFonts w:ascii="Palatino Linotype" w:eastAsia="Palatino Linotype" w:hAnsi="Palatino Linotype" w:cs="Palatino Linotype"/>
          <w:i/>
        </w:rPr>
        <w:t xml:space="preserve">Acreditar por medio de los exámenes correspondientes los conocimientos y aptitudes necesarios para el desempeño del puesto; y </w:t>
      </w:r>
    </w:p>
    <w:p w:rsidR="00192A25" w:rsidRDefault="003E7535">
      <w:pPr>
        <w:numPr>
          <w:ilvl w:val="0"/>
          <w:numId w:val="1"/>
        </w:numPr>
        <w:spacing w:before="240" w:line="276" w:lineRule="auto"/>
        <w:ind w:left="567" w:right="851" w:hanging="283"/>
        <w:jc w:val="both"/>
        <w:rPr>
          <w:rFonts w:ascii="Palatino Linotype" w:eastAsia="Palatino Linotype" w:hAnsi="Palatino Linotype" w:cs="Palatino Linotype"/>
          <w:i/>
        </w:rPr>
      </w:pPr>
      <w:r>
        <w:rPr>
          <w:rFonts w:ascii="Palatino Linotype" w:eastAsia="Palatino Linotype" w:hAnsi="Palatino Linotype" w:cs="Palatino Linotype"/>
          <w:i/>
        </w:rPr>
        <w:t xml:space="preserve">No estar inhabilitado para el ejercicio del servicio público. </w:t>
      </w:r>
    </w:p>
    <w:p w:rsidR="00192A25" w:rsidRDefault="003E7535">
      <w:pPr>
        <w:numPr>
          <w:ilvl w:val="0"/>
          <w:numId w:val="1"/>
        </w:numPr>
        <w:spacing w:before="240" w:line="276" w:lineRule="auto"/>
        <w:ind w:left="567" w:right="851" w:hanging="425"/>
        <w:jc w:val="both"/>
        <w:rPr>
          <w:rFonts w:ascii="Palatino Linotype" w:eastAsia="Palatino Linotype" w:hAnsi="Palatino Linotype" w:cs="Palatino Linotype"/>
          <w:i/>
        </w:rPr>
      </w:pPr>
      <w:r>
        <w:rPr>
          <w:rFonts w:ascii="Palatino Linotype" w:eastAsia="Palatino Linotype" w:hAnsi="Palatino Linotype" w:cs="Palatino Linotype"/>
          <w:i/>
        </w:rPr>
        <w:t>Presentar certificado expedido por la Unidad del Registro de Deudores Alimentarios Morosos en el que conste, si se encuentra inscrito o no en el mismo.</w:t>
      </w:r>
      <w:r>
        <w:rPr>
          <w:rFonts w:ascii="Palatino Linotype" w:eastAsia="Palatino Linotype" w:hAnsi="Palatino Linotype" w:cs="Palatino Linotype"/>
          <w:b/>
          <w:i/>
        </w:rPr>
        <w:t xml:space="preserve"> </w:t>
      </w:r>
    </w:p>
    <w:p w:rsidR="00192A25" w:rsidRDefault="003E7535">
      <w:pPr>
        <w:spacing w:before="240" w:line="276" w:lineRule="auto"/>
        <w:ind w:left="567"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La institución o dependencia que reciba un certificado en que conste que la persona que se incorpora al servicio público se encuentra inscrito el Registro de Deudores </w:t>
      </w:r>
      <w:r>
        <w:rPr>
          <w:rFonts w:ascii="Palatino Linotype" w:eastAsia="Palatino Linotype" w:hAnsi="Palatino Linotype" w:cs="Palatino Linotype"/>
          <w:i/>
        </w:rPr>
        <w:lastRenderedPageBreak/>
        <w:t>Alimentarios Morosos deberá dar aviso al juez de conocimiento de dicha circunstancia, para los efectos legales a que haya lugar.</w:t>
      </w:r>
    </w:p>
    <w:p w:rsidR="00192A25" w:rsidRDefault="003E7535">
      <w:pPr>
        <w:spacing w:before="240"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Cabe recalcar que, de acuerdo al artículo antes referido, la </w:t>
      </w:r>
      <w:r>
        <w:rPr>
          <w:rFonts w:ascii="Palatino Linotype" w:eastAsia="Palatino Linotype" w:hAnsi="Palatino Linotype" w:cs="Palatino Linotype"/>
          <w:b/>
          <w:i/>
        </w:rPr>
        <w:t>“LICENCIA DE CONDUCIR”</w:t>
      </w:r>
      <w:r>
        <w:rPr>
          <w:rFonts w:ascii="Palatino Linotype" w:eastAsia="Palatino Linotype" w:hAnsi="Palatino Linotype" w:cs="Palatino Linotype"/>
          <w:i/>
        </w:rPr>
        <w:t xml:space="preserve">, </w:t>
      </w:r>
      <w:r>
        <w:rPr>
          <w:rFonts w:ascii="Palatino Linotype" w:eastAsia="Palatino Linotype" w:hAnsi="Palatino Linotype" w:cs="Palatino Linotype"/>
          <w:b/>
          <w:i/>
        </w:rPr>
        <w:t>no forma parte de los requisitos para ser Servidor Público, por lo tanto,</w:t>
      </w:r>
      <w:r>
        <w:rPr>
          <w:rFonts w:ascii="Palatino Linotype" w:eastAsia="Palatino Linotype" w:hAnsi="Palatino Linotype" w:cs="Palatino Linotype"/>
          <w:i/>
        </w:rPr>
        <w:t xml:space="preserve"> </w:t>
      </w:r>
      <w:r>
        <w:rPr>
          <w:rFonts w:ascii="Palatino Linotype" w:eastAsia="Palatino Linotype" w:hAnsi="Palatino Linotype" w:cs="Palatino Linotype"/>
          <w:b/>
          <w:i/>
          <w:u w:val="single"/>
        </w:rPr>
        <w:t>dentro de los expedientes de cada Servidor Público no obra documentación referente a licencia o licencias de conducir</w:t>
      </w:r>
      <w:r>
        <w:rPr>
          <w:rFonts w:ascii="Palatino Linotype" w:eastAsia="Palatino Linotype" w:hAnsi="Palatino Linotype" w:cs="Palatino Linotype"/>
          <w:b/>
          <w:i/>
        </w:rPr>
        <w:t>.</w:t>
      </w:r>
      <w:r>
        <w:rPr>
          <w:rFonts w:ascii="Palatino Linotype" w:eastAsia="Palatino Linotype" w:hAnsi="Palatino Linotype" w:cs="Palatino Linotype"/>
          <w:i/>
        </w:rPr>
        <w:t xml:space="preserve"> </w:t>
      </w:r>
    </w:p>
    <w:p w:rsidR="00192A25" w:rsidRDefault="003E7535">
      <w:pPr>
        <w:spacing w:before="240"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Por tal motivo este Sujeto Obligado no se encuentra en posibilidad de hacer entrega de la información específica que demanda la particular, en razón de que ésta no obra en sus archivos, lo cual encuentra su fundamento en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 lo que a contrario sensu significa que no se está obligado a proporcionar lo que no obre en sus archivos.</w:t>
      </w:r>
    </w:p>
    <w:p w:rsidR="00192A25" w:rsidRDefault="003E7535">
      <w:pPr>
        <w:spacing w:before="240" w:line="276"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b/>
          <w:i/>
        </w:rPr>
        <w:t>…</w:t>
      </w:r>
      <w:r>
        <w:rPr>
          <w:rFonts w:ascii="Palatino Linotype" w:eastAsia="Palatino Linotype" w:hAnsi="Palatino Linotype" w:cs="Palatino Linotype"/>
          <w:i/>
        </w:rPr>
        <w:t>”</w:t>
      </w:r>
    </w:p>
    <w:p w:rsidR="00192A25" w:rsidRDefault="003E7535">
      <w:pPr>
        <w:spacing w:after="0" w:line="360" w:lineRule="auto"/>
        <w:ind w:right="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las cosas, </w:t>
      </w:r>
      <w:r w:rsidR="00912A2F">
        <w:rPr>
          <w:rFonts w:ascii="Palatino Linotype" w:eastAsia="Palatino Linotype" w:hAnsi="Palatino Linotype" w:cs="Palatino Linotype"/>
          <w:sz w:val="24"/>
          <w:szCs w:val="24"/>
        </w:rPr>
        <w:t>el Comisionado Ponente considero</w:t>
      </w:r>
      <w:r>
        <w:rPr>
          <w:rFonts w:ascii="Palatino Linotype" w:eastAsia="Palatino Linotype" w:hAnsi="Palatino Linotype" w:cs="Palatino Linotype"/>
          <w:sz w:val="24"/>
          <w:szCs w:val="24"/>
        </w:rPr>
        <w:t xml:space="preserve"> que los motivos de inconformidad aducidos por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xml:space="preserve"> eran fundados, y determinó </w:t>
      </w:r>
      <w:r>
        <w:rPr>
          <w:rFonts w:ascii="Palatino Linotype" w:eastAsia="Palatino Linotype" w:hAnsi="Palatino Linotype" w:cs="Palatino Linotype"/>
          <w:b/>
          <w:sz w:val="24"/>
          <w:szCs w:val="24"/>
        </w:rPr>
        <w:t>ORDENAR</w:t>
      </w:r>
      <w:r>
        <w:rPr>
          <w:rFonts w:ascii="Palatino Linotype" w:eastAsia="Palatino Linotype" w:hAnsi="Palatino Linotype" w:cs="Palatino Linotype"/>
          <w:sz w:val="24"/>
          <w:szCs w:val="24"/>
        </w:rPr>
        <w:t xml:space="preserve"> la entrega de la siguiente información:</w:t>
      </w:r>
    </w:p>
    <w:p w:rsidR="00192A25" w:rsidRDefault="00192A25">
      <w:pPr>
        <w:spacing w:line="276" w:lineRule="auto"/>
        <w:ind w:right="900"/>
        <w:jc w:val="both"/>
        <w:rPr>
          <w:rFonts w:ascii="Palatino Linotype" w:eastAsia="Palatino Linotype" w:hAnsi="Palatino Linotype" w:cs="Palatino Linotype"/>
          <w:i/>
        </w:rPr>
      </w:pPr>
    </w:p>
    <w:p w:rsidR="00192A25" w:rsidRDefault="003E7535">
      <w:pPr>
        <w:tabs>
          <w:tab w:val="left" w:pos="4962"/>
        </w:tabs>
        <w:spacing w:after="0" w:line="276" w:lineRule="auto"/>
        <w:ind w:left="567" w:right="758"/>
        <w:jc w:val="both"/>
        <w:rPr>
          <w:rFonts w:ascii="Palatino Linotype" w:eastAsia="Palatino Linotype" w:hAnsi="Palatino Linotype" w:cs="Palatino Linotype"/>
          <w:i/>
        </w:rPr>
      </w:pPr>
      <w:r>
        <w:rPr>
          <w:rFonts w:ascii="Palatino Linotype" w:eastAsia="Palatino Linotype" w:hAnsi="Palatino Linotype" w:cs="Palatino Linotype"/>
          <w:i/>
        </w:rPr>
        <w:t>“PRIMERO. Resultan fundadas las razones o motivos de inconformidad hechos valer por el Recurrente, en términos del considerando CUARTO, de la presente resolución.</w:t>
      </w:r>
    </w:p>
    <w:p w:rsidR="00192A25" w:rsidRDefault="00192A25">
      <w:pPr>
        <w:tabs>
          <w:tab w:val="left" w:pos="4962"/>
        </w:tabs>
        <w:spacing w:after="0" w:line="276" w:lineRule="auto"/>
        <w:ind w:left="567" w:right="758"/>
        <w:jc w:val="both"/>
        <w:rPr>
          <w:rFonts w:ascii="Palatino Linotype" w:eastAsia="Palatino Linotype" w:hAnsi="Palatino Linotype" w:cs="Palatino Linotype"/>
          <w:i/>
        </w:rPr>
      </w:pPr>
    </w:p>
    <w:p w:rsidR="00192A25" w:rsidRDefault="003E7535">
      <w:pPr>
        <w:tabs>
          <w:tab w:val="left" w:pos="4962"/>
        </w:tabs>
        <w:spacing w:after="0" w:line="276" w:lineRule="auto"/>
        <w:ind w:left="567" w:right="758"/>
        <w:jc w:val="both"/>
        <w:rPr>
          <w:rFonts w:ascii="Palatino Linotype" w:eastAsia="Palatino Linotype" w:hAnsi="Palatino Linotype" w:cs="Palatino Linotype"/>
          <w:i/>
        </w:rPr>
      </w:pPr>
      <w:r>
        <w:rPr>
          <w:rFonts w:ascii="Palatino Linotype" w:eastAsia="Palatino Linotype" w:hAnsi="Palatino Linotype" w:cs="Palatino Linotype"/>
          <w:i/>
        </w:rPr>
        <w:t>SEGUNDO. Se ORDENA al SUJETO OBLIGADO en la solicitud de información número 01325/ZINACANT/IP/2022, en términos del Considerando CUARTO de esta resolución, haga entrega en versión pública de lo siguiente:</w:t>
      </w:r>
    </w:p>
    <w:p w:rsidR="00192A25" w:rsidRDefault="00192A25">
      <w:pPr>
        <w:tabs>
          <w:tab w:val="left" w:pos="4962"/>
        </w:tabs>
        <w:spacing w:after="0" w:line="276" w:lineRule="auto"/>
        <w:ind w:left="567" w:right="758"/>
        <w:jc w:val="both"/>
        <w:rPr>
          <w:rFonts w:ascii="Palatino Linotype" w:eastAsia="Palatino Linotype" w:hAnsi="Palatino Linotype" w:cs="Palatino Linotype"/>
          <w:i/>
        </w:rPr>
      </w:pPr>
    </w:p>
    <w:p w:rsidR="00192A25" w:rsidRDefault="003E7535">
      <w:pPr>
        <w:tabs>
          <w:tab w:val="left" w:pos="4962"/>
        </w:tabs>
        <w:spacing w:after="0" w:line="276" w:lineRule="auto"/>
        <w:ind w:left="567" w:right="758"/>
        <w:jc w:val="both"/>
        <w:rPr>
          <w:rFonts w:ascii="Palatino Linotype" w:eastAsia="Palatino Linotype" w:hAnsi="Palatino Linotype" w:cs="Palatino Linotype"/>
          <w:i/>
        </w:rPr>
      </w:pPr>
      <w:r>
        <w:rPr>
          <w:rFonts w:ascii="Palatino Linotype" w:eastAsia="Palatino Linotype" w:hAnsi="Palatino Linotype" w:cs="Palatino Linotype"/>
          <w:i/>
        </w:rPr>
        <w:t>1. Licencias de conducir de los servidores públicos adscritos a la Coordinación de Protección Civil y Bomberos, del primero de enero al veinticuatro de noviembre de dos mil veintidós.</w:t>
      </w:r>
    </w:p>
    <w:p w:rsidR="00192A25" w:rsidRDefault="00192A25">
      <w:pPr>
        <w:tabs>
          <w:tab w:val="left" w:pos="4962"/>
        </w:tabs>
        <w:spacing w:after="0" w:line="276" w:lineRule="auto"/>
        <w:ind w:left="851" w:right="758"/>
        <w:jc w:val="both"/>
        <w:rPr>
          <w:rFonts w:ascii="Palatino Linotype" w:eastAsia="Palatino Linotype" w:hAnsi="Palatino Linotype" w:cs="Palatino Linotype"/>
          <w:i/>
        </w:rPr>
      </w:pPr>
    </w:p>
    <w:p w:rsidR="00192A25" w:rsidRDefault="003E7535">
      <w:pPr>
        <w:tabs>
          <w:tab w:val="left" w:pos="4962"/>
        </w:tabs>
        <w:spacing w:after="0" w:line="276"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192A25" w:rsidRDefault="00192A25">
      <w:pPr>
        <w:tabs>
          <w:tab w:val="left" w:pos="4962"/>
        </w:tabs>
        <w:spacing w:after="0" w:line="276" w:lineRule="auto"/>
        <w:ind w:left="567" w:right="900"/>
        <w:jc w:val="both"/>
        <w:rPr>
          <w:rFonts w:ascii="Palatino Linotype" w:eastAsia="Palatino Linotype" w:hAnsi="Palatino Linotype" w:cs="Palatino Linotype"/>
          <w:i/>
        </w:rPr>
      </w:pPr>
    </w:p>
    <w:p w:rsidR="00192A25" w:rsidRDefault="003E7535">
      <w:pPr>
        <w:tabs>
          <w:tab w:val="left" w:pos="4962"/>
        </w:tabs>
        <w:spacing w:after="0" w:line="276"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i/>
        </w:rPr>
        <w:t>Para el caso de que la información que se ordena entregar, no obre en los archivos del Sujeto Obligado, bastará con que el área competente lo haga del conocimiento del Recurrente de manera precisa y clara.”</w:t>
      </w:r>
    </w:p>
    <w:p w:rsidR="00192A25" w:rsidRDefault="00192A25">
      <w:pPr>
        <w:tabs>
          <w:tab w:val="left" w:pos="4962"/>
        </w:tabs>
        <w:spacing w:after="0" w:line="276" w:lineRule="auto"/>
        <w:ind w:left="851" w:right="758"/>
        <w:jc w:val="both"/>
        <w:rPr>
          <w:rFonts w:ascii="Palatino Linotype" w:eastAsia="Palatino Linotype" w:hAnsi="Palatino Linotype" w:cs="Palatino Linotype"/>
          <w:i/>
          <w:color w:val="FF0000"/>
        </w:rPr>
      </w:pPr>
    </w:p>
    <w:p w:rsidR="00192A25" w:rsidRDefault="003E7535">
      <w:pP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II. Razones del Voto Particular.</w:t>
      </w:r>
    </w:p>
    <w:p w:rsidR="00192A25" w:rsidRDefault="00192A25">
      <w:pPr>
        <w:spacing w:after="0" w:line="360" w:lineRule="auto"/>
        <w:jc w:val="both"/>
        <w:rPr>
          <w:rFonts w:ascii="Palatino Linotype" w:eastAsia="Palatino Linotype" w:hAnsi="Palatino Linotype" w:cs="Palatino Linotype"/>
          <w:b/>
          <w:color w:val="000000"/>
          <w:sz w:val="24"/>
          <w:szCs w:val="24"/>
        </w:rPr>
      </w:pPr>
    </w:p>
    <w:p w:rsidR="00192A25" w:rsidRDefault="003E7535">
      <w:pPr>
        <w:spacing w:after="0" w:line="360" w:lineRule="auto"/>
        <w:jc w:val="both"/>
        <w:rPr>
          <w:rFonts w:ascii="Palatino Linotype" w:eastAsia="Palatino Linotype" w:hAnsi="Palatino Linotype" w:cs="Palatino Linotype"/>
          <w:color w:val="FF0000"/>
          <w:sz w:val="24"/>
          <w:szCs w:val="24"/>
        </w:rPr>
      </w:pPr>
      <w:bookmarkStart w:id="1" w:name="_heading=h.gjdgxs" w:colFirst="0" w:colLast="0"/>
      <w:bookmarkEnd w:id="1"/>
      <w:r>
        <w:rPr>
          <w:rFonts w:ascii="Palatino Linotype" w:eastAsia="Palatino Linotype" w:hAnsi="Palatino Linotype" w:cs="Palatino Linotype"/>
          <w:sz w:val="24"/>
          <w:szCs w:val="24"/>
        </w:rPr>
        <w:t>Derivado de lo anterior, la emisión del presente voto se centrará en que si bien se comparte el sentido de la resolución</w:t>
      </w:r>
      <w:r w:rsidR="006810DF">
        <w:rPr>
          <w:rFonts w:ascii="Palatino Linotype" w:eastAsia="Palatino Linotype" w:hAnsi="Palatino Linotype" w:cs="Palatino Linotype"/>
          <w:sz w:val="24"/>
          <w:szCs w:val="24"/>
        </w:rPr>
        <w:t>, toda vez que como bien se señala, no se acredita una búsqueda exhaustiva de la información,</w:t>
      </w:r>
      <w:r>
        <w:rPr>
          <w:rFonts w:ascii="Palatino Linotype" w:eastAsia="Palatino Linotype" w:hAnsi="Palatino Linotype" w:cs="Palatino Linotype"/>
          <w:sz w:val="24"/>
          <w:szCs w:val="24"/>
        </w:rPr>
        <w:t xml:space="preserve"> no se coincide con los argumentos señalados en la misma, particularmente respecto al considerar que la fotografía de los servidores públicos en cualquier documento que se encuentre vinculado con el cumplimiento de disposiciones legales debe ser pública, ya que dicha publicación únicamente debe ser aplicable </w:t>
      </w:r>
      <w:r w:rsidR="00D26C1F" w:rsidRPr="00E946D1">
        <w:rPr>
          <w:rFonts w:ascii="Palatino Linotype" w:eastAsia="Palatino Linotype" w:hAnsi="Palatino Linotype" w:cs="Palatino Linotype"/>
          <w:sz w:val="24"/>
          <w:szCs w:val="24"/>
        </w:rPr>
        <w:t>en documentos oficiales de</w:t>
      </w:r>
      <w:r>
        <w:rPr>
          <w:rFonts w:ascii="Palatino Linotype" w:eastAsia="Palatino Linotype" w:hAnsi="Palatino Linotype" w:cs="Palatino Linotype"/>
          <w:sz w:val="24"/>
          <w:szCs w:val="24"/>
        </w:rPr>
        <w:t xml:space="preserve"> servidores públicos que ocupan de nivel mando medio – superior </w:t>
      </w:r>
      <w:r>
        <w:rPr>
          <w:rFonts w:ascii="Palatino Linotype" w:eastAsia="Palatino Linotype" w:hAnsi="Palatino Linotype" w:cs="Palatino Linotype"/>
          <w:color w:val="000000"/>
          <w:sz w:val="24"/>
          <w:szCs w:val="24"/>
        </w:rPr>
        <w:t>o que tengan interacción con el público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color w:val="000000"/>
          <w:sz w:val="24"/>
          <w:szCs w:val="24"/>
        </w:rPr>
        <w:t>por lo que las suscritas consideran que dicho dato debe ser confidencial por las consideraciones que a continuación se expresan.</w:t>
      </w:r>
    </w:p>
    <w:p w:rsidR="00DE74B8" w:rsidRDefault="00DE74B8" w:rsidP="00DE74B8">
      <w:pPr>
        <w:pBdr>
          <w:top w:val="nil"/>
          <w:left w:val="nil"/>
          <w:bottom w:val="nil"/>
          <w:right w:val="nil"/>
          <w:between w:val="nil"/>
        </w:pBdr>
        <w:spacing w:after="0" w:line="360" w:lineRule="auto"/>
        <w:ind w:right="142"/>
        <w:jc w:val="both"/>
        <w:rPr>
          <w:rFonts w:ascii="Palatino Linotype" w:eastAsia="Palatino Linotype" w:hAnsi="Palatino Linotype" w:cs="Palatino Linotype"/>
          <w:color w:val="FF0000"/>
          <w:sz w:val="24"/>
          <w:szCs w:val="24"/>
        </w:rPr>
      </w:pPr>
    </w:p>
    <w:p w:rsidR="00192A25" w:rsidRDefault="00DE74B8" w:rsidP="00DE74B8">
      <w:pPr>
        <w:pBdr>
          <w:top w:val="nil"/>
          <w:left w:val="nil"/>
          <w:bottom w:val="nil"/>
          <w:right w:val="nil"/>
          <w:between w:val="nil"/>
        </w:pBdr>
        <w:spacing w:after="0" w:line="360" w:lineRule="auto"/>
        <w:ind w:right="142"/>
        <w:jc w:val="both"/>
        <w:rPr>
          <w:rFonts w:ascii="Palatino Linotype" w:eastAsia="Palatino Linotype" w:hAnsi="Palatino Linotype" w:cs="Palatino Linotype"/>
          <w:sz w:val="24"/>
          <w:szCs w:val="24"/>
        </w:rPr>
      </w:pPr>
      <w:r w:rsidRPr="00DE74B8">
        <w:rPr>
          <w:rFonts w:ascii="Palatino Linotype" w:eastAsia="Palatino Linotype" w:hAnsi="Palatino Linotype" w:cs="Palatino Linotype"/>
          <w:color w:val="000000" w:themeColor="text1"/>
          <w:sz w:val="24"/>
          <w:szCs w:val="24"/>
        </w:rPr>
        <w:t>En primera instancia,</w:t>
      </w:r>
      <w:r>
        <w:rPr>
          <w:rFonts w:ascii="Palatino Linotype" w:eastAsia="Palatino Linotype" w:hAnsi="Palatino Linotype" w:cs="Palatino Linotype"/>
          <w:color w:val="FF0000"/>
          <w:sz w:val="24"/>
          <w:szCs w:val="24"/>
        </w:rPr>
        <w:t xml:space="preserve"> </w:t>
      </w:r>
      <w:r>
        <w:rPr>
          <w:rFonts w:ascii="Palatino Linotype" w:eastAsia="Palatino Linotype" w:hAnsi="Palatino Linotype" w:cs="Palatino Linotype"/>
          <w:sz w:val="24"/>
          <w:szCs w:val="24"/>
        </w:rPr>
        <w:t xml:space="preserve">debe señalarse que si bien es cierto dentro del presente asunto no se acreditó la búsqueda exhaustiva y razonable de las </w:t>
      </w:r>
      <w:r w:rsidRPr="006810DF">
        <w:rPr>
          <w:rFonts w:ascii="Palatino Linotype" w:eastAsia="Palatino Linotype" w:hAnsi="Palatino Linotype" w:cs="Palatino Linotype"/>
          <w:sz w:val="24"/>
          <w:szCs w:val="24"/>
        </w:rPr>
        <w:t>licencias de conducir del personal de protección civil y bomberos del año 2022</w:t>
      </w:r>
      <w:r>
        <w:rPr>
          <w:rFonts w:ascii="Palatino Linotype" w:eastAsia="Palatino Linotype" w:hAnsi="Palatino Linotype" w:cs="Palatino Linotype"/>
          <w:sz w:val="24"/>
          <w:szCs w:val="24"/>
        </w:rPr>
        <w:t xml:space="preserve">, no menos cierto es que del análisis al marco normativo citado, no se desprende que contar con estas documentales sea un requisito inexcusable para el ingreso de los servidores </w:t>
      </w:r>
      <w:r>
        <w:rPr>
          <w:rFonts w:ascii="Palatino Linotype" w:eastAsia="Palatino Linotype" w:hAnsi="Palatino Linotype" w:cs="Palatino Linotype"/>
          <w:sz w:val="24"/>
          <w:szCs w:val="24"/>
        </w:rPr>
        <w:lastRenderedPageBreak/>
        <w:t xml:space="preserve">públicos a laborar a instituciones públicas, no obstante, se destaca el hecho de que el </w:t>
      </w:r>
      <w:r w:rsidRPr="00DE74B8">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no turnó la solicitud de información a las unidades administrativas competentes para que en el momento procesal oportuno pudieran pronunciarse al respecto, lo cual no otorga certeza jurídica a </w:t>
      </w:r>
      <w:r w:rsidRPr="00DE74B8">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pues no se estaría dando cumplimiento a lo previsto por el artículo 162 de la Ley de Transparencia y Acceso a la Información Pública del Estado de México y Municipios; es por ello que en atención a estos señalamientos, el Comisionado Ponente determinó ordenar la entrega de la información, ello, dejando visible la fotografía de la totalidad de los servidores públicos bajo la siguiente argumentación:</w:t>
      </w:r>
    </w:p>
    <w:p w:rsidR="00192A25" w:rsidRDefault="003E7535">
      <w:pPr>
        <w:spacing w:after="0" w:line="276" w:lineRule="auto"/>
        <w:ind w:left="566"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 “Por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192A25" w:rsidRDefault="00192A25">
      <w:pPr>
        <w:spacing w:after="0" w:line="276" w:lineRule="auto"/>
        <w:ind w:left="566" w:right="900"/>
        <w:jc w:val="both"/>
        <w:rPr>
          <w:rFonts w:ascii="Palatino Linotype" w:eastAsia="Palatino Linotype" w:hAnsi="Palatino Linotype" w:cs="Palatino Linotype"/>
          <w:i/>
        </w:rPr>
      </w:pPr>
    </w:p>
    <w:p w:rsidR="00192A25" w:rsidRDefault="003E7535">
      <w:pPr>
        <w:spacing w:after="0" w:line="276" w:lineRule="auto"/>
        <w:ind w:left="566" w:right="900"/>
        <w:jc w:val="both"/>
        <w:rPr>
          <w:rFonts w:ascii="Palatino Linotype" w:eastAsia="Palatino Linotype" w:hAnsi="Palatino Linotype" w:cs="Palatino Linotype"/>
          <w:i/>
        </w:rPr>
      </w:pPr>
      <w:r>
        <w:rPr>
          <w:rFonts w:ascii="Palatino Linotype" w:eastAsia="Palatino Linotype" w:hAnsi="Palatino Linotype" w:cs="Palatino Linotype"/>
          <w:i/>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rsidR="00192A25" w:rsidRDefault="00192A25">
      <w:pPr>
        <w:spacing w:after="0" w:line="276" w:lineRule="auto"/>
        <w:ind w:left="566" w:right="900"/>
        <w:jc w:val="both"/>
        <w:rPr>
          <w:rFonts w:ascii="Palatino Linotype" w:eastAsia="Palatino Linotype" w:hAnsi="Palatino Linotype" w:cs="Palatino Linotype"/>
          <w:i/>
        </w:rPr>
      </w:pPr>
    </w:p>
    <w:p w:rsidR="00192A25" w:rsidRDefault="003E7535">
      <w:pPr>
        <w:spacing w:after="0" w:line="276" w:lineRule="auto"/>
        <w:ind w:left="566" w:right="900"/>
        <w:jc w:val="both"/>
        <w:rPr>
          <w:rFonts w:ascii="Palatino Linotype" w:eastAsia="Palatino Linotype" w:hAnsi="Palatino Linotype" w:cs="Palatino Linotype"/>
          <w:b/>
          <w:i/>
        </w:rPr>
      </w:pPr>
      <w:r>
        <w:rPr>
          <w:rFonts w:ascii="Palatino Linotype" w:eastAsia="Palatino Linotype" w:hAnsi="Palatino Linotype" w:cs="Palatino Linotype"/>
          <w:i/>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w:t>
      </w:r>
      <w:r>
        <w:rPr>
          <w:rFonts w:ascii="Palatino Linotype" w:eastAsia="Palatino Linotype" w:hAnsi="Palatino Linotype" w:cs="Palatino Linotype"/>
          <w:b/>
          <w:i/>
        </w:rPr>
        <w:t>(con excepción del personal operativo en materia de seguridad, respecto del cual el Pleno de este Instituto ya se ha pronunciado en el sentido de que la información que los haga identificados o identificables debe clasificarse como reservada).</w:t>
      </w:r>
    </w:p>
    <w:p w:rsidR="00192A25" w:rsidRDefault="00192A25">
      <w:pPr>
        <w:spacing w:after="0" w:line="276" w:lineRule="auto"/>
        <w:ind w:left="566" w:right="900"/>
        <w:jc w:val="both"/>
        <w:rPr>
          <w:rFonts w:ascii="Palatino Linotype" w:eastAsia="Palatino Linotype" w:hAnsi="Palatino Linotype" w:cs="Palatino Linotype"/>
          <w:i/>
        </w:rPr>
      </w:pPr>
    </w:p>
    <w:p w:rsidR="00192A25" w:rsidRDefault="003E7535">
      <w:pPr>
        <w:spacing w:after="0" w:line="276" w:lineRule="auto"/>
        <w:ind w:left="566" w:right="900"/>
        <w:jc w:val="both"/>
        <w:rPr>
          <w:rFonts w:ascii="Palatino Linotype" w:eastAsia="Palatino Linotype" w:hAnsi="Palatino Linotype" w:cs="Palatino Linotype"/>
          <w:i/>
        </w:rPr>
      </w:pPr>
      <w:r>
        <w:rPr>
          <w:rFonts w:ascii="Palatino Linotype" w:eastAsia="Palatino Linotype" w:hAnsi="Palatino Linotype" w:cs="Palatino Linotype"/>
          <w:i/>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rsidR="00192A25" w:rsidRDefault="00192A25">
      <w:pPr>
        <w:spacing w:after="0" w:line="276" w:lineRule="auto"/>
        <w:ind w:left="566" w:right="900"/>
        <w:jc w:val="both"/>
        <w:rPr>
          <w:rFonts w:ascii="Palatino Linotype" w:eastAsia="Palatino Linotype" w:hAnsi="Palatino Linotype" w:cs="Palatino Linotype"/>
          <w:i/>
        </w:rPr>
      </w:pPr>
    </w:p>
    <w:p w:rsidR="00192A25" w:rsidRDefault="003E7535">
      <w:pPr>
        <w:spacing w:after="0" w:line="276" w:lineRule="auto"/>
        <w:ind w:left="566" w:right="900"/>
        <w:jc w:val="both"/>
        <w:rPr>
          <w:rFonts w:ascii="Palatino Linotype" w:eastAsia="Palatino Linotype" w:hAnsi="Palatino Linotype" w:cs="Palatino Linotype"/>
          <w:i/>
        </w:rPr>
      </w:pPr>
      <w:r>
        <w:rPr>
          <w:rFonts w:ascii="Palatino Linotype" w:eastAsia="Palatino Linotype" w:hAnsi="Palatino Linotype" w:cs="Palatino Linotype"/>
          <w:i/>
        </w:rPr>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rsidR="00192A25" w:rsidRDefault="00192A25">
      <w:pPr>
        <w:spacing w:after="0" w:line="276" w:lineRule="auto"/>
        <w:ind w:left="566" w:right="900"/>
        <w:jc w:val="both"/>
        <w:rPr>
          <w:rFonts w:ascii="Palatino Linotype" w:eastAsia="Palatino Linotype" w:hAnsi="Palatino Linotype" w:cs="Palatino Linotype"/>
          <w:i/>
        </w:rPr>
      </w:pPr>
    </w:p>
    <w:p w:rsidR="00192A25" w:rsidRDefault="003E7535">
      <w:pPr>
        <w:spacing w:after="0" w:line="276" w:lineRule="auto"/>
        <w:ind w:left="566" w:right="900"/>
        <w:jc w:val="both"/>
        <w:rPr>
          <w:rFonts w:ascii="Palatino Linotype" w:eastAsia="Palatino Linotype" w:hAnsi="Palatino Linotype" w:cs="Palatino Linotype"/>
          <w:i/>
        </w:rPr>
      </w:pPr>
      <w:r>
        <w:rPr>
          <w:rFonts w:ascii="Palatino Linotype" w:eastAsia="Palatino Linotype" w:hAnsi="Palatino Linotype" w:cs="Palatino Linotype"/>
          <w:i/>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rsidR="00192A25" w:rsidRDefault="00192A25">
      <w:pPr>
        <w:spacing w:after="0" w:line="276" w:lineRule="auto"/>
        <w:ind w:left="566" w:right="900"/>
        <w:jc w:val="both"/>
        <w:rPr>
          <w:rFonts w:ascii="Palatino Linotype" w:eastAsia="Palatino Linotype" w:hAnsi="Palatino Linotype" w:cs="Palatino Linotype"/>
          <w:i/>
        </w:rPr>
      </w:pPr>
    </w:p>
    <w:p w:rsidR="00192A25" w:rsidRDefault="003E7535">
      <w:pPr>
        <w:spacing w:after="0" w:line="276" w:lineRule="auto"/>
        <w:ind w:left="566" w:right="900"/>
        <w:jc w:val="both"/>
        <w:rPr>
          <w:rFonts w:ascii="Palatino Linotype" w:eastAsia="Palatino Linotype" w:hAnsi="Palatino Linotype" w:cs="Palatino Linotype"/>
          <w:i/>
        </w:rPr>
      </w:pPr>
      <w:r>
        <w:rPr>
          <w:rFonts w:ascii="Palatino Linotype" w:eastAsia="Palatino Linotype" w:hAnsi="Palatino Linotype" w:cs="Palatino Linotype"/>
          <w:b/>
          <w:i/>
        </w:rPr>
        <w:t>Conforme a lo anterior, las fotografías de servidores públicos sin importar el nivel o rango guardan la naturaleza de públicas</w:t>
      </w:r>
      <w:r>
        <w:rPr>
          <w:rFonts w:ascii="Palatino Linotype" w:eastAsia="Palatino Linotype" w:hAnsi="Palatino Linotype" w:cs="Palatino Linotype"/>
          <w:i/>
        </w:rPr>
        <w:t xml:space="preserve"> (con excepción del personal operativo en materia de seguridad) </w:t>
      </w:r>
      <w:r>
        <w:rPr>
          <w:rFonts w:ascii="Palatino Linotype" w:eastAsia="Palatino Linotype" w:hAnsi="Palatino Linotype" w:cs="Palatino Linotype"/>
          <w:b/>
          <w:i/>
        </w:rPr>
        <w:t>y no procede su clasificación</w:t>
      </w:r>
      <w:r>
        <w:rPr>
          <w:rFonts w:ascii="Palatino Linotype" w:eastAsia="Palatino Linotype" w:hAnsi="Palatino Linotype" w:cs="Palatino Linotype"/>
          <w:i/>
        </w:rPr>
        <w:t xml:space="preserve">, en términos del artículo 143, fracción I, de la Ley de Transparencia y Acceso a la Información Pública del Estado de México y Municipios, </w:t>
      </w:r>
      <w:r>
        <w:rPr>
          <w:rFonts w:ascii="Palatino Linotype" w:eastAsia="Palatino Linotype" w:hAnsi="Palatino Linotype" w:cs="Palatino Linotype"/>
          <w:b/>
          <w:i/>
        </w:rPr>
        <w:t>por lo que en las versiones públicas que se ordenen, no podrá clasificarse esa información.</w:t>
      </w:r>
    </w:p>
    <w:p w:rsidR="00192A25" w:rsidRDefault="00192A25">
      <w:pPr>
        <w:spacing w:after="0" w:line="276" w:lineRule="auto"/>
        <w:ind w:left="566" w:right="900"/>
        <w:jc w:val="both"/>
        <w:rPr>
          <w:rFonts w:ascii="Palatino Linotype" w:eastAsia="Palatino Linotype" w:hAnsi="Palatino Linotype" w:cs="Palatino Linotype"/>
          <w:i/>
        </w:rPr>
      </w:pPr>
    </w:p>
    <w:p w:rsidR="00192A25" w:rsidRDefault="003E7535">
      <w:pPr>
        <w:spacing w:after="0" w:line="276" w:lineRule="auto"/>
        <w:ind w:left="566" w:right="900"/>
        <w:jc w:val="both"/>
        <w:rPr>
          <w:rFonts w:ascii="Palatino Linotype" w:eastAsia="Palatino Linotype" w:hAnsi="Palatino Linotype" w:cs="Palatino Linotype"/>
          <w:i/>
        </w:rPr>
      </w:pPr>
      <w:r>
        <w:rPr>
          <w:rFonts w:ascii="Palatino Linotype" w:eastAsia="Palatino Linotype" w:hAnsi="Palatino Linotype" w:cs="Palatino Linotype"/>
          <w:i/>
        </w:rPr>
        <w:t>Cabe hacer la aclaración que aquellos documentos que sean clasificados en su totalidad por no revestir de interés público, como lo es la credencial de elector, la fotografía correrá la misma suerte que el documento en cuestión, únicamente para dicha expresión documental.”</w:t>
      </w:r>
      <w:r w:rsidR="006810DF">
        <w:rPr>
          <w:rFonts w:ascii="Palatino Linotype" w:eastAsia="Palatino Linotype" w:hAnsi="Palatino Linotype" w:cs="Palatino Linotype"/>
          <w:i/>
        </w:rPr>
        <w:t xml:space="preserve"> (Énfasis añadido)</w:t>
      </w:r>
    </w:p>
    <w:p w:rsidR="00192A25" w:rsidRDefault="00192A25">
      <w:pPr>
        <w:spacing w:after="0" w:line="360" w:lineRule="auto"/>
        <w:ind w:left="566" w:right="487"/>
        <w:jc w:val="both"/>
        <w:rPr>
          <w:rFonts w:ascii="Palatino Linotype" w:eastAsia="Palatino Linotype" w:hAnsi="Palatino Linotype" w:cs="Palatino Linotype"/>
          <w:i/>
        </w:rPr>
      </w:pPr>
    </w:p>
    <w:p w:rsidR="00192A25" w:rsidRDefault="003E7535" w:rsidP="0015233E">
      <w:pPr>
        <w:pBdr>
          <w:top w:val="nil"/>
          <w:left w:val="nil"/>
          <w:bottom w:val="nil"/>
          <w:right w:val="nil"/>
          <w:between w:val="nil"/>
        </w:pBdr>
        <w:spacing w:after="0" w:line="360" w:lineRule="auto"/>
        <w:ind w:right="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Atentos a lo anterior, se considera que en la información que se ordena entregar, </w:t>
      </w:r>
      <w:r>
        <w:rPr>
          <w:rFonts w:ascii="Palatino Linotype" w:eastAsia="Palatino Linotype" w:hAnsi="Palatino Linotype" w:cs="Palatino Linotype"/>
          <w:sz w:val="24"/>
          <w:szCs w:val="24"/>
          <w:u w:val="single"/>
        </w:rPr>
        <w:t xml:space="preserve">no se debe dejar visible la fotografía </w:t>
      </w:r>
      <w:r w:rsidR="00A5102C" w:rsidRPr="00E946D1">
        <w:rPr>
          <w:rFonts w:ascii="Palatino Linotype" w:eastAsia="Palatino Linotype" w:hAnsi="Palatino Linotype" w:cs="Palatino Linotype"/>
          <w:sz w:val="24"/>
          <w:szCs w:val="24"/>
          <w:u w:val="single"/>
        </w:rPr>
        <w:t>de la licencia de conducir de los servidores públicos, dado que dicho documentos es de carácter personal y no así un doc</w:t>
      </w:r>
      <w:r w:rsidR="0015233E" w:rsidRPr="00E946D1">
        <w:rPr>
          <w:rFonts w:ascii="Palatino Linotype" w:eastAsia="Palatino Linotype" w:hAnsi="Palatino Linotype" w:cs="Palatino Linotype"/>
          <w:sz w:val="24"/>
          <w:szCs w:val="24"/>
          <w:u w:val="single"/>
        </w:rPr>
        <w:t>umento oficial de la dependencia; por lo que,</w:t>
      </w:r>
      <w:r>
        <w:rPr>
          <w:rFonts w:ascii="Palatino Linotype" w:eastAsia="Palatino Linotype" w:hAnsi="Palatino Linotype" w:cs="Palatino Linotype"/>
          <w:sz w:val="24"/>
          <w:szCs w:val="24"/>
        </w:rPr>
        <w:t xml:space="preserve"> la Ley de Transparencia y Acceso a la Información Pública en relación con la Ley de Protección de Datos Personales en Posesión de Sujetos Obligados ambas del Estado de México y Municipios, prevé que la fotografía, por regla general es un dato personal confidencial, toda vez que se revela la identidad del titular.</w:t>
      </w:r>
    </w:p>
    <w:p w:rsidR="00192A25" w:rsidRDefault="00192A25">
      <w:pPr>
        <w:pBdr>
          <w:top w:val="nil"/>
          <w:left w:val="nil"/>
          <w:bottom w:val="nil"/>
          <w:right w:val="nil"/>
          <w:between w:val="nil"/>
        </w:pBdr>
        <w:spacing w:after="0" w:line="360" w:lineRule="auto"/>
        <w:ind w:right="142"/>
        <w:jc w:val="both"/>
        <w:rPr>
          <w:rFonts w:ascii="Palatino Linotype" w:eastAsia="Palatino Linotype" w:hAnsi="Palatino Linotype" w:cs="Palatino Linotype"/>
          <w:sz w:val="24"/>
          <w:szCs w:val="24"/>
        </w:rPr>
      </w:pPr>
    </w:p>
    <w:p w:rsidR="00192A25" w:rsidRDefault="003E7535">
      <w:pPr>
        <w:pBdr>
          <w:top w:val="nil"/>
          <w:left w:val="nil"/>
          <w:bottom w:val="nil"/>
          <w:right w:val="nil"/>
          <w:between w:val="nil"/>
        </w:pBdr>
        <w:spacing w:after="0" w:line="360" w:lineRule="auto"/>
        <w:ind w:right="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robustecer lo anterior, es aplicable el Criterio 15/17 emitido por el Instituto Nacional de Transparencia, Acceso a la Información Pública y Protección de Datos Personales, en el que se establece lo siguiente:</w:t>
      </w:r>
    </w:p>
    <w:p w:rsidR="00192A25" w:rsidRDefault="00192A25">
      <w:pPr>
        <w:pBdr>
          <w:top w:val="nil"/>
          <w:left w:val="nil"/>
          <w:bottom w:val="nil"/>
          <w:right w:val="nil"/>
          <w:between w:val="nil"/>
        </w:pBdr>
        <w:spacing w:after="0" w:line="360" w:lineRule="auto"/>
        <w:ind w:right="142"/>
        <w:jc w:val="both"/>
        <w:rPr>
          <w:rFonts w:ascii="Palatino Linotype" w:eastAsia="Palatino Linotype" w:hAnsi="Palatino Linotype" w:cs="Palatino Linotype"/>
          <w:sz w:val="24"/>
          <w:szCs w:val="24"/>
        </w:rPr>
      </w:pPr>
    </w:p>
    <w:p w:rsidR="00192A25" w:rsidRDefault="003E7535">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b/>
          <w:i/>
        </w:rPr>
        <w:t>“FOTOGRAFÍA EN TÍTULO O CÉDULA PROFESIONAL ES DE ACCESO PÚBLICO.</w:t>
      </w:r>
      <w:r>
        <w:rPr>
          <w:rFonts w:ascii="Palatino Linotype" w:eastAsia="Palatino Linotype" w:hAnsi="Palatino Linotype" w:cs="Palatino Linotype"/>
          <w:i/>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rsidR="00192A25" w:rsidRDefault="00192A25">
      <w:pPr>
        <w:spacing w:after="0" w:line="360" w:lineRule="auto"/>
        <w:ind w:left="566" w:right="487"/>
        <w:jc w:val="both"/>
        <w:rPr>
          <w:rFonts w:ascii="Palatino Linotype" w:eastAsia="Palatino Linotype" w:hAnsi="Palatino Linotype" w:cs="Palatino Linotype"/>
          <w:sz w:val="24"/>
          <w:szCs w:val="24"/>
        </w:rPr>
      </w:pPr>
    </w:p>
    <w:p w:rsidR="00192A25" w:rsidRDefault="003E7535">
      <w:pPr>
        <w:pBdr>
          <w:top w:val="nil"/>
          <w:left w:val="nil"/>
          <w:bottom w:val="nil"/>
          <w:right w:val="nil"/>
          <w:between w:val="nil"/>
        </w:pBdr>
        <w:spacing w:after="0" w:line="360" w:lineRule="auto"/>
        <w:ind w:right="142"/>
        <w:jc w:val="both"/>
        <w:rPr>
          <w:rFonts w:ascii="Palatino Linotype" w:eastAsia="Palatino Linotype" w:hAnsi="Palatino Linotype" w:cs="Palatino Linotype"/>
          <w:sz w:val="24"/>
          <w:szCs w:val="24"/>
        </w:rPr>
      </w:pPr>
      <w:bookmarkStart w:id="2" w:name="_heading=h.tyjcwt" w:colFirst="0" w:colLast="0"/>
      <w:bookmarkEnd w:id="2"/>
      <w:r>
        <w:rPr>
          <w:rFonts w:ascii="Palatino Linotype" w:eastAsia="Palatino Linotype" w:hAnsi="Palatino Linotype" w:cs="Palatino Linotype"/>
          <w:sz w:val="24"/>
          <w:szCs w:val="24"/>
        </w:rPr>
        <w:t>Como se puede advertir, la razón esencial —</w:t>
      </w:r>
      <w:r>
        <w:rPr>
          <w:rFonts w:ascii="Palatino Linotype" w:eastAsia="Palatino Linotype" w:hAnsi="Palatino Linotype" w:cs="Palatino Linotype"/>
          <w:i/>
          <w:sz w:val="24"/>
          <w:szCs w:val="24"/>
        </w:rPr>
        <w:t>ratio essendi</w:t>
      </w:r>
      <w:r>
        <w:rPr>
          <w:rFonts w:ascii="Arial" w:eastAsia="Arial" w:hAnsi="Arial" w:cs="Arial"/>
          <w:color w:val="70757A"/>
          <w:sz w:val="21"/>
          <w:szCs w:val="21"/>
          <w:highlight w:val="white"/>
        </w:rPr>
        <w:t>—</w:t>
      </w:r>
      <w:r>
        <w:rPr>
          <w:rFonts w:ascii="Palatino Linotype" w:eastAsia="Palatino Linotype" w:hAnsi="Palatino Linotype" w:cs="Palatino Linotype"/>
          <w:i/>
          <w:sz w:val="24"/>
          <w:szCs w:val="24"/>
        </w:rPr>
        <w:t xml:space="preserve"> </w:t>
      </w:r>
      <w:r>
        <w:rPr>
          <w:rFonts w:ascii="Palatino Linotype" w:eastAsia="Palatino Linotype" w:hAnsi="Palatino Linotype" w:cs="Palatino Linotype"/>
          <w:sz w:val="24"/>
          <w:szCs w:val="24"/>
        </w:rPr>
        <w:t>del criterio señalado radica en el interés público que se tenga para conocer la calidad profesional; dicho interés público no puede separarse del titular de esos datos confidenciales, de tal forma que no se puede generalizar el interés que se pueda tener por conocer la fotografía de una persona que ostenta un nivel medio o superior como de aquellos que no  lo ostentan.</w:t>
      </w:r>
    </w:p>
    <w:p w:rsidR="00192A25" w:rsidRDefault="00192A25">
      <w:pPr>
        <w:pBdr>
          <w:top w:val="nil"/>
          <w:left w:val="nil"/>
          <w:bottom w:val="nil"/>
          <w:right w:val="nil"/>
          <w:between w:val="nil"/>
        </w:pBdr>
        <w:spacing w:after="0" w:line="360" w:lineRule="auto"/>
        <w:ind w:right="142"/>
        <w:jc w:val="both"/>
        <w:rPr>
          <w:rFonts w:ascii="Palatino Linotype" w:eastAsia="Palatino Linotype" w:hAnsi="Palatino Linotype" w:cs="Palatino Linotype"/>
          <w:sz w:val="24"/>
          <w:szCs w:val="24"/>
        </w:rPr>
      </w:pPr>
    </w:p>
    <w:p w:rsidR="006810DF" w:rsidRDefault="003E7535">
      <w:pPr>
        <w:pBdr>
          <w:top w:val="nil"/>
          <w:left w:val="nil"/>
          <w:bottom w:val="nil"/>
          <w:right w:val="nil"/>
          <w:between w:val="nil"/>
        </w:pBdr>
        <w:spacing w:after="0" w:line="360" w:lineRule="auto"/>
        <w:ind w:right="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Correlativo a lo anterior, en el caso de los servidores públicos y aquellas personas que no cuenten con un nivel de cargo medio o superior, la información correspondiente a su fotografía como un dato personal que les identifica o los hace identificables es información que debe conservarse como información confidencial, al no encontrarse la justificación del interés público.</w:t>
      </w:r>
    </w:p>
    <w:p w:rsidR="00192A25" w:rsidRDefault="00192A25">
      <w:pPr>
        <w:tabs>
          <w:tab w:val="left" w:pos="4962"/>
        </w:tabs>
        <w:spacing w:after="0" w:line="360" w:lineRule="auto"/>
        <w:jc w:val="both"/>
        <w:rPr>
          <w:rFonts w:ascii="Palatino Linotype" w:eastAsia="Palatino Linotype" w:hAnsi="Palatino Linotype" w:cs="Palatino Linotype"/>
          <w:sz w:val="24"/>
          <w:szCs w:val="24"/>
        </w:rPr>
      </w:pPr>
    </w:p>
    <w:p w:rsidR="00192A25" w:rsidRDefault="003E7535">
      <w:pPr>
        <w:tabs>
          <w:tab w:val="left" w:pos="4962"/>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Siendo el caso, que los objetivos de la transparencia se alcanzan con permitir el acceso al documento ordenado, incluso, pues el dar a conocer la fotografía no es indispensable o determinante para dar cuenta de la idoneidad de las personas servidoras públicas </w:t>
      </w:r>
      <w:r w:rsidRPr="00DE74B8">
        <w:rPr>
          <w:rFonts w:ascii="Palatino Linotype" w:eastAsia="Palatino Linotype" w:hAnsi="Palatino Linotype" w:cs="Palatino Linotype"/>
          <w:sz w:val="24"/>
          <w:szCs w:val="24"/>
        </w:rPr>
        <w:t>o para acreditar</w:t>
      </w:r>
      <w:r>
        <w:rPr>
          <w:rFonts w:ascii="Palatino Linotype" w:eastAsia="Palatino Linotype" w:hAnsi="Palatino Linotype" w:cs="Palatino Linotype"/>
          <w:sz w:val="24"/>
          <w:szCs w:val="24"/>
        </w:rPr>
        <w:t xml:space="preserve"> que cumplieron con determinados requisitos, lo que da cuenta de ello es el propio documento. </w:t>
      </w:r>
    </w:p>
    <w:p w:rsidR="00192A25" w:rsidRDefault="00192A25">
      <w:pPr>
        <w:tabs>
          <w:tab w:val="left" w:pos="4962"/>
        </w:tabs>
        <w:spacing w:after="0" w:line="360" w:lineRule="auto"/>
        <w:jc w:val="both"/>
        <w:rPr>
          <w:rFonts w:ascii="Palatino Linotype" w:eastAsia="Palatino Linotype" w:hAnsi="Palatino Linotype" w:cs="Palatino Linotype"/>
          <w:sz w:val="24"/>
          <w:szCs w:val="24"/>
        </w:rPr>
      </w:pPr>
    </w:p>
    <w:p w:rsidR="00192A25" w:rsidRDefault="003E7535">
      <w:pPr>
        <w:tabs>
          <w:tab w:val="left" w:pos="4962"/>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se considera que procede la clasificación de la </w:t>
      </w:r>
      <w:r w:rsidRPr="00E946D1">
        <w:rPr>
          <w:rFonts w:ascii="Palatino Linotype" w:eastAsia="Palatino Linotype" w:hAnsi="Palatino Linotype" w:cs="Palatino Linotype"/>
          <w:sz w:val="24"/>
          <w:szCs w:val="24"/>
        </w:rPr>
        <w:t xml:space="preserve">fotografía </w:t>
      </w:r>
      <w:r w:rsidR="00D26C1F" w:rsidRPr="00E946D1">
        <w:rPr>
          <w:rFonts w:ascii="Palatino Linotype" w:eastAsia="Palatino Linotype" w:hAnsi="Palatino Linotype" w:cs="Palatino Linotype"/>
          <w:sz w:val="24"/>
          <w:szCs w:val="24"/>
        </w:rPr>
        <w:t>en los documentos personales de servidores públicos</w:t>
      </w:r>
      <w:r w:rsidRPr="00E946D1">
        <w:rPr>
          <w:rFonts w:ascii="Palatino Linotype" w:eastAsia="Palatino Linotype" w:hAnsi="Palatino Linotype" w:cs="Palatino Linotype"/>
          <w:sz w:val="24"/>
          <w:szCs w:val="24"/>
        </w:rPr>
        <w:t>,</w:t>
      </w:r>
      <w:r>
        <w:rPr>
          <w:rFonts w:ascii="Palatino Linotype" w:eastAsia="Palatino Linotype" w:hAnsi="Palatino Linotype" w:cs="Palatino Linotype"/>
          <w:sz w:val="24"/>
          <w:szCs w:val="24"/>
        </w:rPr>
        <w:t xml:space="preserve"> pues no se advierte el interés público para dejar visible dicha información.</w:t>
      </w:r>
    </w:p>
    <w:p w:rsidR="00192A25" w:rsidRDefault="00192A25">
      <w:pPr>
        <w:tabs>
          <w:tab w:val="left" w:pos="4962"/>
        </w:tabs>
        <w:spacing w:after="0" w:line="360" w:lineRule="auto"/>
        <w:jc w:val="both"/>
        <w:rPr>
          <w:rFonts w:ascii="Palatino Linotype" w:eastAsia="Palatino Linotype" w:hAnsi="Palatino Linotype" w:cs="Palatino Linotype"/>
          <w:sz w:val="24"/>
          <w:szCs w:val="24"/>
        </w:rPr>
      </w:pPr>
    </w:p>
    <w:p w:rsidR="00192A25" w:rsidRDefault="003E7535">
      <w:pPr>
        <w:pBdr>
          <w:top w:val="nil"/>
          <w:left w:val="nil"/>
          <w:bottom w:val="nil"/>
          <w:right w:val="nil"/>
          <w:between w:val="nil"/>
        </w:pBdr>
        <w:spacing w:after="240" w:line="360" w:lineRule="auto"/>
        <w:ind w:right="139"/>
        <w:jc w:val="both"/>
        <w:rPr>
          <w:rFonts w:ascii="Palatino Linotype" w:eastAsia="Palatino Linotype" w:hAnsi="Palatino Linotype" w:cs="Palatino Linotype"/>
          <w:sz w:val="24"/>
          <w:szCs w:val="24"/>
        </w:rPr>
      </w:pPr>
      <w:bookmarkStart w:id="3" w:name="_heading=h.3dy6vkm" w:colFirst="0" w:colLast="0"/>
      <w:bookmarkEnd w:id="3"/>
      <w:r>
        <w:rPr>
          <w:rFonts w:ascii="Palatino Linotype" w:eastAsia="Palatino Linotype" w:hAnsi="Palatino Linotype" w:cs="Palatino Linotype"/>
          <w:sz w:val="24"/>
          <w:szCs w:val="24"/>
        </w:rPr>
        <w:t xml:space="preserve">Es por las razones expuestas las suscritas no comparten este punto del estudio de la resolución, y por ende se emite el presente </w:t>
      </w:r>
      <w:r>
        <w:rPr>
          <w:rFonts w:ascii="Palatino Linotype" w:eastAsia="Palatino Linotype" w:hAnsi="Palatino Linotype" w:cs="Palatino Linotype"/>
          <w:b/>
          <w:sz w:val="24"/>
          <w:szCs w:val="24"/>
        </w:rPr>
        <w:t>Voto Particular Concurrente</w:t>
      </w:r>
      <w:r>
        <w:rPr>
          <w:rFonts w:ascii="Palatino Linotype" w:eastAsia="Palatino Linotype" w:hAnsi="Palatino Linotype" w:cs="Palatino Linotype"/>
          <w:sz w:val="24"/>
          <w:szCs w:val="24"/>
        </w:rPr>
        <w:t xml:space="preserve">, pues consideramos que se debió clasificar la fotografía de las y los servidores públicos que no son mandos medios ni superiores, por tanto, se considera que se actualiza la causal de clasificación, establecida en el artículo 143, fracción I, de la Ley de la </w:t>
      </w:r>
      <w:r w:rsidR="00E946D1">
        <w:rPr>
          <w:rFonts w:ascii="Palatino Linotype" w:eastAsia="Palatino Linotype" w:hAnsi="Palatino Linotype" w:cs="Palatino Linotype"/>
          <w:noProof/>
          <w:sz w:val="24"/>
          <w:szCs w:val="24"/>
          <w:lang w:val="es-MX"/>
        </w:rPr>
        <mc:AlternateContent>
          <mc:Choice Requires="wps">
            <w:drawing>
              <wp:anchor distT="0" distB="0" distL="114300" distR="114300" simplePos="0" relativeHeight="251660800" behindDoc="0" locked="0" layoutInCell="1" allowOverlap="1">
                <wp:simplePos x="0" y="0"/>
                <wp:positionH relativeFrom="column">
                  <wp:posOffset>5714</wp:posOffset>
                </wp:positionH>
                <wp:positionV relativeFrom="paragraph">
                  <wp:posOffset>1162049</wp:posOffset>
                </wp:positionV>
                <wp:extent cx="5400675" cy="654367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400675" cy="6543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E9E945" id="Conector recto 1"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5pt,91.5pt" to="425.7pt,60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" strokecolor="black [3200]" strokeweight=".5pt">
                <v:stroke joinstyle="miter"/>
              </v:line>
            </w:pict>
          </mc:Fallback>
        </mc:AlternateContent>
      </w:r>
      <w:r>
        <w:rPr>
          <w:rFonts w:ascii="Palatino Linotype" w:eastAsia="Palatino Linotype" w:hAnsi="Palatino Linotype" w:cs="Palatino Linotype"/>
          <w:sz w:val="24"/>
          <w:szCs w:val="24"/>
        </w:rPr>
        <w:t>materia.</w:t>
      </w:r>
    </w:p>
    <w:p w:rsidR="00192A25" w:rsidRDefault="003E7535">
      <w:pPr>
        <w:spacing w:line="360" w:lineRule="auto"/>
        <w:jc w:val="both"/>
        <w:rPr>
          <w:rFonts w:ascii="Palatino Linotype" w:eastAsia="Palatino Linotype" w:hAnsi="Palatino Linotype" w:cs="Palatino Linotype"/>
        </w:rPr>
      </w:pPr>
      <w:r>
        <w:br w:type="page"/>
      </w:r>
      <w:bookmarkStart w:id="4" w:name="_GoBack"/>
      <w:bookmarkEnd w:id="4"/>
    </w:p>
    <w:p w:rsidR="00192A25" w:rsidRDefault="00192A25">
      <w:pPr>
        <w:spacing w:after="0" w:line="360" w:lineRule="auto"/>
        <w:ind w:right="139"/>
        <w:jc w:val="both"/>
        <w:rPr>
          <w:rFonts w:ascii="Palatino Linotype" w:eastAsia="Palatino Linotype" w:hAnsi="Palatino Linotype" w:cs="Palatino Linotype"/>
        </w:rPr>
      </w:pPr>
    </w:p>
    <w:p w:rsidR="00192A25" w:rsidRDefault="00192A25">
      <w:pPr>
        <w:spacing w:after="0" w:line="360" w:lineRule="auto"/>
        <w:rPr>
          <w:rFonts w:ascii="Palatino Linotype" w:eastAsia="Palatino Linotype" w:hAnsi="Palatino Linotype" w:cs="Palatino Linotype"/>
          <w:sz w:val="24"/>
          <w:szCs w:val="24"/>
        </w:rPr>
      </w:pPr>
    </w:p>
    <w:p w:rsidR="00192A25" w:rsidRDefault="00192A25">
      <w:pPr>
        <w:spacing w:after="0" w:line="360" w:lineRule="auto"/>
        <w:rPr>
          <w:rFonts w:ascii="Palatino Linotype" w:eastAsia="Palatino Linotype" w:hAnsi="Palatino Linotype" w:cs="Palatino Linotype"/>
          <w:sz w:val="24"/>
          <w:szCs w:val="24"/>
        </w:rPr>
      </w:pPr>
    </w:p>
    <w:p w:rsidR="00192A25" w:rsidRDefault="00192A25">
      <w:pPr>
        <w:spacing w:after="0" w:line="360" w:lineRule="auto"/>
        <w:rPr>
          <w:rFonts w:ascii="Palatino Linotype" w:eastAsia="Palatino Linotype" w:hAnsi="Palatino Linotype" w:cs="Palatino Linotype"/>
          <w:sz w:val="24"/>
          <w:szCs w:val="24"/>
        </w:rPr>
      </w:pPr>
    </w:p>
    <w:p w:rsidR="00192A25" w:rsidRDefault="00192A25">
      <w:pPr>
        <w:spacing w:after="0" w:line="360" w:lineRule="auto"/>
        <w:rPr>
          <w:rFonts w:ascii="Palatino Linotype" w:eastAsia="Palatino Linotype" w:hAnsi="Palatino Linotype" w:cs="Palatino Linotype"/>
          <w:sz w:val="24"/>
          <w:szCs w:val="24"/>
        </w:rPr>
      </w:pPr>
    </w:p>
    <w:p w:rsidR="00192A25" w:rsidRDefault="00192A25">
      <w:pPr>
        <w:spacing w:after="0" w:line="360" w:lineRule="auto"/>
        <w:rPr>
          <w:rFonts w:ascii="Palatino Linotype" w:eastAsia="Palatino Linotype" w:hAnsi="Palatino Linotype" w:cs="Palatino Linotype"/>
          <w:sz w:val="24"/>
          <w:szCs w:val="24"/>
        </w:rPr>
      </w:pPr>
    </w:p>
    <w:p w:rsidR="00192A25" w:rsidRDefault="00192A25"/>
    <w:p w:rsidR="00192A25" w:rsidRDefault="00192A25"/>
    <w:sectPr w:rsidR="00192A25">
      <w:headerReference w:type="even" r:id="rId11"/>
      <w:headerReference w:type="default" r:id="rId12"/>
      <w:footerReference w:type="default" r:id="rId13"/>
      <w:headerReference w:type="first" r:id="rId14"/>
      <w:pgSz w:w="12240" w:h="15840"/>
      <w:pgMar w:top="1417" w:right="1701" w:bottom="1417" w:left="1701" w:header="0"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6A4" w:rsidRDefault="00A176A4">
      <w:pPr>
        <w:spacing w:after="0" w:line="240" w:lineRule="auto"/>
      </w:pPr>
      <w:r>
        <w:separator/>
      </w:r>
    </w:p>
  </w:endnote>
  <w:endnote w:type="continuationSeparator" w:id="0">
    <w:p w:rsidR="00A176A4" w:rsidRDefault="00A17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A25" w:rsidRDefault="003E7535">
    <w:pPr>
      <w:pBdr>
        <w:top w:val="nil"/>
        <w:left w:val="nil"/>
        <w:bottom w:val="nil"/>
        <w:right w:val="nil"/>
        <w:between w:val="nil"/>
      </w:pBdr>
      <w:tabs>
        <w:tab w:val="center" w:pos="4252"/>
        <w:tab w:val="right" w:pos="8504"/>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D6585">
      <w:rPr>
        <w:b/>
        <w:noProof/>
        <w:color w:val="000000"/>
        <w:sz w:val="24"/>
        <w:szCs w:val="24"/>
      </w:rPr>
      <w:t>11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D6585">
      <w:rPr>
        <w:b/>
        <w:noProof/>
        <w:color w:val="000000"/>
        <w:sz w:val="24"/>
        <w:szCs w:val="24"/>
      </w:rPr>
      <w:t>11</w:t>
    </w:r>
    <w:r>
      <w:rPr>
        <w:b/>
        <w:color w:val="000000"/>
        <w:sz w:val="24"/>
        <w:szCs w:val="24"/>
      </w:rPr>
      <w:fldChar w:fldCharType="end"/>
    </w:r>
  </w:p>
  <w:p w:rsidR="00192A25" w:rsidRDefault="00192A25">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6A4" w:rsidRDefault="00A176A4">
      <w:pPr>
        <w:spacing w:after="0" w:line="240" w:lineRule="auto"/>
      </w:pPr>
      <w:r>
        <w:separator/>
      </w:r>
    </w:p>
  </w:footnote>
  <w:footnote w:type="continuationSeparator" w:id="0">
    <w:p w:rsidR="00A176A4" w:rsidRDefault="00A176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A25" w:rsidRDefault="004D6585">
    <w:pPr>
      <w:pBdr>
        <w:top w:val="nil"/>
        <w:left w:val="nil"/>
        <w:bottom w:val="nil"/>
        <w:right w:val="nil"/>
        <w:between w:val="nil"/>
      </w:pBdr>
      <w:tabs>
        <w:tab w:val="center" w:pos="4252"/>
        <w:tab w:val="right" w:pos="8504"/>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41.8pt;height:81.25pt;rotation:315;z-index:-251656192;mso-position-horizontal:center;mso-position-horizontal-relative:margin;mso-position-vertical:center;mso-position-vertical-relative:margin" fillcolor="silver" stroked="f">
          <v:fill opacity=".5"/>
          <v:textpath style="font-family:&quot;&amp;quot&quot;;font-size:1pt" string="VOTO PARTICULAR"/>
          <w10:wrap anchorx="margin" anchory="margin"/>
        </v:shape>
      </w:pict>
    </w:r>
    <w:r w:rsidR="003E7535">
      <w:rPr>
        <w:noProof/>
        <w:lang w:val="es-MX"/>
      </w:rPr>
      <mc:AlternateContent>
        <mc:Choice Requires="wpg">
          <w:drawing>
            <wp:anchor distT="0" distB="0" distL="114300" distR="114300" simplePos="0" relativeHeight="251657216" behindDoc="0" locked="0" layoutInCell="1" hidden="0" allowOverlap="1">
              <wp:simplePos x="0" y="0"/>
              <wp:positionH relativeFrom="column">
                <wp:posOffset>1</wp:posOffset>
              </wp:positionH>
              <wp:positionV relativeFrom="paragraph">
                <wp:posOffset>0</wp:posOffset>
              </wp:positionV>
              <wp:extent cx="673100" cy="673100"/>
              <wp:effectExtent l="0" t="0" r="0" b="0"/>
              <wp:wrapNone/>
              <wp:docPr id="55" name="Rectángulo 55"/>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192A25" w:rsidRDefault="00192A2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73100" cy="673100"/>
              <wp:effectExtent b="0" l="0" r="0" t="0"/>
              <wp:wrapNone/>
              <wp:docPr id="55"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73100" cy="673100"/>
                      </a:xfrm>
                      <a:prstGeom prst="rect"/>
                      <a:ln/>
                    </pic:spPr>
                  </pic:pic>
                </a:graphicData>
              </a:graphic>
            </wp:anchor>
          </w:drawing>
        </mc:Fallback>
      </mc:AlternateContent>
    </w:r>
    <w:r w:rsidR="003E7535">
      <w:rPr>
        <w:noProof/>
        <w:lang w:val="es-MX"/>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644525" cy="644525"/>
              <wp:effectExtent l="0" t="0" r="0" b="0"/>
              <wp:wrapNone/>
              <wp:docPr id="57" name="Rectángulo 57"/>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192A25" w:rsidRDefault="00192A2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44525" cy="644525"/>
              <wp:effectExtent b="0" l="0" r="0" t="0"/>
              <wp:wrapNone/>
              <wp:docPr id="57"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644525" cy="644525"/>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A25" w:rsidRDefault="00192A25">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p>
  <w:tbl>
    <w:tblPr>
      <w:tblStyle w:val="a"/>
      <w:tblW w:w="11397" w:type="dxa"/>
      <w:tblInd w:w="-1191" w:type="dxa"/>
      <w:tblBorders>
        <w:top w:val="nil"/>
        <w:left w:val="nil"/>
        <w:bottom w:val="nil"/>
        <w:right w:val="nil"/>
        <w:insideH w:val="nil"/>
        <w:insideV w:val="nil"/>
      </w:tblBorders>
      <w:tblLayout w:type="fixed"/>
      <w:tblLook w:val="0400" w:firstRow="0" w:lastRow="0" w:firstColumn="0" w:lastColumn="0" w:noHBand="0" w:noVBand="1"/>
    </w:tblPr>
    <w:tblGrid>
      <w:gridCol w:w="3686"/>
      <w:gridCol w:w="7711"/>
    </w:tblGrid>
    <w:tr w:rsidR="00192A25">
      <w:trPr>
        <w:trHeight w:val="1843"/>
      </w:trPr>
      <w:tc>
        <w:tcPr>
          <w:tcW w:w="3686" w:type="dxa"/>
          <w:vAlign w:val="bottom"/>
        </w:tcPr>
        <w:p w:rsidR="00192A25" w:rsidRDefault="003E7535">
          <w:pPr>
            <w:pBdr>
              <w:top w:val="nil"/>
              <w:left w:val="nil"/>
              <w:bottom w:val="nil"/>
              <w:right w:val="nil"/>
              <w:between w:val="nil"/>
            </w:pBdr>
            <w:tabs>
              <w:tab w:val="center" w:pos="4252"/>
              <w:tab w:val="right" w:pos="8504"/>
              <w:tab w:val="center" w:pos="2614"/>
            </w:tabs>
            <w:ind w:left="-255"/>
            <w:rPr>
              <w:color w:val="000000"/>
            </w:rPr>
          </w:pPr>
          <w:r>
            <w:rPr>
              <w:noProof/>
              <w:color w:val="000000"/>
              <w:sz w:val="10"/>
              <w:szCs w:val="10"/>
              <w:lang w:val="es-MX"/>
            </w:rPr>
            <w:drawing>
              <wp:inline distT="0" distB="0" distL="0" distR="0">
                <wp:extent cx="1873633" cy="1126540"/>
                <wp:effectExtent l="0" t="0" r="0" b="0"/>
                <wp:docPr id="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73633" cy="1126540"/>
                        </a:xfrm>
                        <a:prstGeom prst="rect">
                          <a:avLst/>
                        </a:prstGeom>
                        <a:ln/>
                      </pic:spPr>
                    </pic:pic>
                  </a:graphicData>
                </a:graphic>
              </wp:inline>
            </w:drawing>
          </w:r>
        </w:p>
      </w:tc>
      <w:tc>
        <w:tcPr>
          <w:tcW w:w="7711" w:type="dxa"/>
          <w:vAlign w:val="center"/>
        </w:tcPr>
        <w:p w:rsidR="00192A25" w:rsidRDefault="00192A25">
          <w:pPr>
            <w:pBdr>
              <w:top w:val="nil"/>
              <w:left w:val="nil"/>
              <w:bottom w:val="nil"/>
              <w:right w:val="nil"/>
              <w:between w:val="nil"/>
            </w:pBdr>
            <w:tabs>
              <w:tab w:val="center" w:pos="4252"/>
              <w:tab w:val="right" w:pos="8504"/>
            </w:tabs>
            <w:ind w:right="-250"/>
            <w:jc w:val="both"/>
            <w:rPr>
              <w:rFonts w:ascii="Palatino Linotype" w:eastAsia="Palatino Linotype" w:hAnsi="Palatino Linotype" w:cs="Palatino Linotype"/>
              <w:color w:val="000000"/>
            </w:rPr>
          </w:pPr>
        </w:p>
        <w:p w:rsidR="00192A25" w:rsidRDefault="003E7535">
          <w:pPr>
            <w:pBdr>
              <w:top w:val="nil"/>
              <w:left w:val="nil"/>
              <w:bottom w:val="nil"/>
              <w:right w:val="nil"/>
              <w:between w:val="nil"/>
            </w:pBdr>
            <w:tabs>
              <w:tab w:val="center" w:pos="4252"/>
              <w:tab w:val="right" w:pos="8504"/>
            </w:tabs>
            <w:ind w:left="2217" w:right="-25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Voto Particular Concurrente.</w:t>
          </w:r>
        </w:p>
        <w:p w:rsidR="00192A25" w:rsidRDefault="003E7535">
          <w:pPr>
            <w:pBdr>
              <w:top w:val="nil"/>
              <w:left w:val="nil"/>
              <w:bottom w:val="nil"/>
              <w:right w:val="nil"/>
              <w:between w:val="nil"/>
            </w:pBdr>
            <w:tabs>
              <w:tab w:val="center" w:pos="4252"/>
              <w:tab w:val="right" w:pos="8504"/>
            </w:tabs>
            <w:ind w:left="2217" w:right="-25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Recurso de Revisión: </w:t>
          </w:r>
          <w:r>
            <w:rPr>
              <w:rFonts w:ascii="Palatino Linotype" w:eastAsia="Palatino Linotype" w:hAnsi="Palatino Linotype" w:cs="Palatino Linotype"/>
              <w:color w:val="000000"/>
            </w:rPr>
            <w:t>17390/INFOEM/IP/RR/2022</w:t>
          </w:r>
        </w:p>
      </w:tc>
    </w:tr>
  </w:tbl>
  <w:p w:rsidR="00192A25" w:rsidRDefault="00192A25">
    <w:pPr>
      <w:pBdr>
        <w:top w:val="nil"/>
        <w:left w:val="nil"/>
        <w:bottom w:val="nil"/>
        <w:right w:val="nil"/>
        <w:between w:val="nil"/>
      </w:pBdr>
      <w:tabs>
        <w:tab w:val="center" w:pos="4252"/>
        <w:tab w:val="right" w:pos="8504"/>
      </w:tabs>
      <w:spacing w:after="0" w:line="240" w:lineRule="auto"/>
      <w:rPr>
        <w:color w:val="000000"/>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A25" w:rsidRDefault="004D6585">
    <w:pPr>
      <w:pBdr>
        <w:top w:val="nil"/>
        <w:left w:val="nil"/>
        <w:bottom w:val="nil"/>
        <w:right w:val="nil"/>
        <w:between w:val="nil"/>
      </w:pBdr>
      <w:tabs>
        <w:tab w:val="center" w:pos="4252"/>
        <w:tab w:val="right" w:pos="8504"/>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541.8pt;height:81.25pt;rotation:315;z-index:-251657216;mso-position-horizontal:center;mso-position-horizontal-relative:margin;mso-position-vertical:center;mso-position-vertical-relative:margin" fillcolor="silver" stroked="f">
          <v:fill opacity=".5"/>
          <v:textpath style="font-family:&quot;&amp;quot&quot;;font-size:1pt" string="VOTO PARTICULAR"/>
          <w10:wrap anchorx="margin" anchory="margin"/>
        </v:shape>
      </w:pict>
    </w:r>
    <w:r w:rsidR="003E7535">
      <w:rPr>
        <w:noProof/>
        <w:lang w:val="es-MX"/>
      </w:rPr>
      <mc:AlternateContent>
        <mc:Choice Requires="wpg">
          <w:drawing>
            <wp:anchor distT="0" distB="0" distL="114300" distR="114300" simplePos="0" relativeHeight="251655168" behindDoc="0" locked="0" layoutInCell="1" hidden="0" allowOverlap="1">
              <wp:simplePos x="0" y="0"/>
              <wp:positionH relativeFrom="column">
                <wp:posOffset>1</wp:posOffset>
              </wp:positionH>
              <wp:positionV relativeFrom="paragraph">
                <wp:posOffset>0</wp:posOffset>
              </wp:positionV>
              <wp:extent cx="673100" cy="673100"/>
              <wp:effectExtent l="0" t="0" r="0" b="0"/>
              <wp:wrapNone/>
              <wp:docPr id="54" name="Rectángulo 54"/>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192A25" w:rsidRDefault="00192A2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73100" cy="673100"/>
              <wp:effectExtent b="0" l="0" r="0" t="0"/>
              <wp:wrapNone/>
              <wp:docPr id="54"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73100" cy="673100"/>
                      </a:xfrm>
                      <a:prstGeom prst="rect"/>
                      <a:ln/>
                    </pic:spPr>
                  </pic:pic>
                </a:graphicData>
              </a:graphic>
            </wp:anchor>
          </w:drawing>
        </mc:Fallback>
      </mc:AlternateContent>
    </w:r>
    <w:r w:rsidR="003E7535">
      <w:rPr>
        <w:noProof/>
        <w:lang w:val="es-MX"/>
      </w:rPr>
      <mc:AlternateContent>
        <mc:Choice Requires="wpg">
          <w:drawing>
            <wp:anchor distT="0" distB="0" distL="114300" distR="114300" simplePos="0" relativeHeight="251656192" behindDoc="0" locked="0" layoutInCell="1" hidden="0" allowOverlap="1">
              <wp:simplePos x="0" y="0"/>
              <wp:positionH relativeFrom="column">
                <wp:posOffset>1</wp:posOffset>
              </wp:positionH>
              <wp:positionV relativeFrom="paragraph">
                <wp:posOffset>0</wp:posOffset>
              </wp:positionV>
              <wp:extent cx="644525" cy="644525"/>
              <wp:effectExtent l="0" t="0" r="0" b="0"/>
              <wp:wrapNone/>
              <wp:docPr id="56" name="Rectángulo 56"/>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192A25" w:rsidRDefault="00192A2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44525" cy="644525"/>
              <wp:effectExtent b="0" l="0" r="0" t="0"/>
              <wp:wrapNone/>
              <wp:docPr id="56"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644525" cy="644525"/>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07227B"/>
    <w:multiLevelType w:val="multilevel"/>
    <w:tmpl w:val="EF5ADDC6"/>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A25"/>
    <w:rsid w:val="0015233E"/>
    <w:rsid w:val="00192A25"/>
    <w:rsid w:val="003E7535"/>
    <w:rsid w:val="004D6585"/>
    <w:rsid w:val="006810DF"/>
    <w:rsid w:val="00912A2F"/>
    <w:rsid w:val="00A176A4"/>
    <w:rsid w:val="00A5102C"/>
    <w:rsid w:val="00D26C1F"/>
    <w:rsid w:val="00DE74B8"/>
    <w:rsid w:val="00E946D1"/>
    <w:rsid w:val="00ED0943"/>
    <w:rsid w:val="00FC07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56335C9F-03AF-4BED-8DE9-E814F7CDC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485"/>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Piedepgina">
    <w:name w:val="footer"/>
    <w:basedOn w:val="Normal"/>
    <w:link w:val="PiedepginaCar"/>
    <w:uiPriority w:val="99"/>
    <w:unhideWhenUsed/>
    <w:rsid w:val="003504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0485"/>
    <w:rPr>
      <w:rFonts w:ascii="Calibri" w:eastAsia="Calibri" w:hAnsi="Calibri" w:cs="Calibri"/>
      <w:lang w:val="es-ES" w:eastAsia="es-MX"/>
    </w:rPr>
  </w:style>
  <w:style w:type="paragraph" w:styleId="Prrafodelista">
    <w:name w:val="List Paragraph"/>
    <w:basedOn w:val="Normal"/>
    <w:uiPriority w:val="34"/>
    <w:qFormat/>
    <w:rsid w:val="00CB5942"/>
    <w:pPr>
      <w:ind w:left="720"/>
      <w:contextualSpacing/>
    </w:pPr>
  </w:style>
  <w:style w:type="character" w:customStyle="1" w:styleId="SinespaciadoCar">
    <w:name w:val="Sin espaciado Car"/>
    <w:aliases w:val="Francesa Car,INAI Car"/>
    <w:link w:val="Sinespaciado"/>
    <w:uiPriority w:val="1"/>
    <w:locked/>
    <w:rsid w:val="0054547E"/>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54547E"/>
    <w:pPr>
      <w:spacing w:after="0" w:line="240" w:lineRule="auto"/>
    </w:pPr>
    <w:rPr>
      <w:rFonts w:ascii="Times New Roman" w:eastAsia="Times New Roman" w:hAnsi="Times New Roman" w:cs="Times New Roman"/>
      <w:sz w:val="24"/>
      <w:szCs w:val="24"/>
      <w:lang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7.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96O/cDvGv52fXv3/lZaxJ/N50A==">CgMxLjAyCWguMmV0OTJwMDIIaC5namRneHMyCGgudHlqY3d0MgloLjNkeTZ2a204AHIhMWU1dWxEUGpoX2JVUGRoSWVJbnBwU3pubzZDbzBXNjli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2457</Words>
  <Characters>13514</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2023-09-25T22:47:00Z</cp:lastPrinted>
  <dcterms:created xsi:type="dcterms:W3CDTF">2023-09-25T22:47:00Z</dcterms:created>
  <dcterms:modified xsi:type="dcterms:W3CDTF">2023-09-25T22:48:00Z</dcterms:modified>
</cp:coreProperties>
</file>