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AFC39" w14:textId="54E55C04" w:rsidR="00F47FB5" w:rsidRPr="003B138A" w:rsidRDefault="00F47FB5" w:rsidP="00F47FB5">
      <w:pPr>
        <w:spacing w:line="360" w:lineRule="auto"/>
        <w:jc w:val="both"/>
        <w:rPr>
          <w:rFonts w:ascii="Palatino Linotype" w:eastAsia="Palatino Linotype" w:hAnsi="Palatino Linotype" w:cs="Palatino Linotype"/>
          <w:b/>
        </w:rPr>
      </w:pPr>
      <w:r w:rsidRPr="00EE3BE9">
        <w:rPr>
          <w:rFonts w:ascii="Palatino Linotype" w:hAnsi="Palatino Linotype" w:cs="Tahoma"/>
          <w:b/>
        </w:rPr>
        <w:t xml:space="preserve">VOTO PARTICULAR QUE FORMULA DE LA COMISIONADA MARÍA DEL ROSARIO MEJÍA AYALA, CON RELACIÓN A LA RESOLUCIÓN EMITIDA POR EL PLENO DEL </w:t>
      </w:r>
      <w:r w:rsidR="006E016F" w:rsidRPr="00EE3BE9">
        <w:rPr>
          <w:rFonts w:ascii="Palatino Linotype" w:hAnsi="Palatino Linotype" w:cs="Tahoma"/>
          <w:b/>
        </w:rPr>
        <w:t xml:space="preserve">INSTITUTO DE TRANSPARENCIA, ACCESO A LA INFORMACIÓN PÚBLICA Y PROTECCIÓN DE DATOS PERSONALES DEL ESTADO DE MÉXICO Y MUNICIPIOS AL RECURSO DE REVISIÓN </w:t>
      </w:r>
      <w:r w:rsidR="003B138A">
        <w:rPr>
          <w:rFonts w:ascii="Palatino Linotype" w:eastAsia="Palatino Linotype" w:hAnsi="Palatino Linotype" w:cs="Palatino Linotype"/>
          <w:b/>
        </w:rPr>
        <w:t>01414</w:t>
      </w:r>
      <w:r w:rsidR="006E016F">
        <w:rPr>
          <w:rFonts w:ascii="Palatino Linotype" w:eastAsia="Palatino Linotype" w:hAnsi="Palatino Linotype" w:cs="Palatino Linotype"/>
          <w:b/>
        </w:rPr>
        <w:t>/INFOEM/IP/RR/</w:t>
      </w:r>
      <w:r w:rsidR="003B138A">
        <w:rPr>
          <w:rFonts w:ascii="Palatino Linotype" w:eastAsia="Palatino Linotype" w:hAnsi="Palatino Linotype" w:cs="Palatino Linotype"/>
          <w:b/>
        </w:rPr>
        <w:t>2023</w:t>
      </w:r>
      <w:r w:rsidR="006E016F" w:rsidRPr="00EE3BE9">
        <w:rPr>
          <w:rFonts w:ascii="Palatino Linotype" w:hAnsi="Palatino Linotype" w:cs="Arial"/>
          <w:b/>
          <w:bCs/>
          <w:color w:val="000000" w:themeColor="text1"/>
        </w:rPr>
        <w:t>,</w:t>
      </w:r>
      <w:r w:rsidR="006E016F" w:rsidRPr="00EE3BE9">
        <w:rPr>
          <w:rFonts w:ascii="Palatino Linotype" w:hAnsi="Palatino Linotype" w:cs="Tahoma"/>
          <w:b/>
        </w:rPr>
        <w:t xml:space="preserve"> PROMOVIDO EN CONTRA D</w:t>
      </w:r>
      <w:r w:rsidR="003B138A">
        <w:rPr>
          <w:rFonts w:ascii="Palatino Linotype" w:hAnsi="Palatino Linotype" w:cs="Tahoma"/>
          <w:b/>
        </w:rPr>
        <w:t>EL AYUNTAMIENTO DE TEZOYUCA</w:t>
      </w:r>
      <w:r w:rsidR="00756B24">
        <w:rPr>
          <w:rFonts w:ascii="Palatino Linotype" w:hAnsi="Palatino Linotype" w:cs="Tahoma"/>
          <w:b/>
        </w:rPr>
        <w:t>.</w:t>
      </w:r>
    </w:p>
    <w:p w14:paraId="4B300B03" w14:textId="77777777" w:rsidR="00326EEA" w:rsidRPr="00EE3BE9" w:rsidRDefault="00326EEA" w:rsidP="00CF3F65">
      <w:pPr>
        <w:spacing w:line="360" w:lineRule="auto"/>
        <w:jc w:val="both"/>
        <w:rPr>
          <w:rFonts w:ascii="Palatino Linotype" w:hAnsi="Palatino Linotype" w:cs="Arial"/>
          <w:b/>
        </w:rPr>
      </w:pPr>
    </w:p>
    <w:p w14:paraId="51A10ACA" w14:textId="77777777" w:rsidR="007B1CFA" w:rsidRPr="00EE3BE9" w:rsidRDefault="007B1CFA" w:rsidP="00CF3F65">
      <w:pPr>
        <w:pStyle w:val="Ttulo1"/>
        <w:numPr>
          <w:ilvl w:val="0"/>
          <w:numId w:val="2"/>
        </w:numPr>
        <w:spacing w:before="0" w:line="360" w:lineRule="auto"/>
        <w:ind w:left="993" w:hanging="567"/>
        <w:rPr>
          <w:rFonts w:ascii="Palatino Linotype" w:hAnsi="Palatino Linotype"/>
          <w:color w:val="000000" w:themeColor="text1"/>
          <w:sz w:val="24"/>
          <w:szCs w:val="24"/>
        </w:rPr>
      </w:pPr>
      <w:bookmarkStart w:id="0" w:name="_Toc70345222"/>
      <w:r w:rsidRPr="00EE3BE9">
        <w:rPr>
          <w:rFonts w:ascii="Palatino Linotype" w:hAnsi="Palatino Linotype"/>
          <w:color w:val="000000" w:themeColor="text1"/>
          <w:sz w:val="24"/>
          <w:szCs w:val="24"/>
        </w:rPr>
        <w:t>Consideraciones Generales.</w:t>
      </w:r>
      <w:bookmarkEnd w:id="0"/>
    </w:p>
    <w:p w14:paraId="2A27C14C" w14:textId="77777777" w:rsidR="007B1CFA" w:rsidRPr="00EE3BE9" w:rsidRDefault="007B1CFA" w:rsidP="00CF3F65">
      <w:pPr>
        <w:spacing w:line="360" w:lineRule="auto"/>
        <w:rPr>
          <w:rFonts w:ascii="Palatino Linotype" w:hAnsi="Palatino Linotype"/>
        </w:rPr>
      </w:pPr>
    </w:p>
    <w:p w14:paraId="60F0E591" w14:textId="5F79A9E7" w:rsidR="00530898" w:rsidRPr="00EE3BE9" w:rsidRDefault="00CF3F65" w:rsidP="008F67BC">
      <w:pPr>
        <w:spacing w:line="360" w:lineRule="auto"/>
        <w:jc w:val="both"/>
        <w:rPr>
          <w:rFonts w:ascii="Palatino Linotype" w:eastAsia="Palatino Linotype" w:hAnsi="Palatino Linotype" w:cs="Palatino Linotype"/>
          <w:b/>
        </w:rPr>
      </w:pPr>
      <w:r w:rsidRPr="00EE3BE9">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 por no compartir en su totalidad las consideraciones</w:t>
      </w:r>
      <w:r w:rsidR="00EF3513" w:rsidRPr="00EE3BE9">
        <w:rPr>
          <w:rFonts w:ascii="Palatino Linotype" w:hAnsi="Palatino Linotype" w:cs="Arial"/>
        </w:rPr>
        <w:t xml:space="preserve"> que sustentan la Resolución de</w:t>
      </w:r>
      <w:r w:rsidR="003B138A">
        <w:rPr>
          <w:rFonts w:ascii="Palatino Linotype" w:hAnsi="Palatino Linotype" w:cs="Arial"/>
        </w:rPr>
        <w:t xml:space="preserve">l recurso de revisión </w:t>
      </w:r>
      <w:r w:rsidR="003B138A">
        <w:rPr>
          <w:rFonts w:ascii="Palatino Linotype" w:hAnsi="Palatino Linotype" w:cs="Arial"/>
          <w:b/>
        </w:rPr>
        <w:t>01414/INFOEM/IP/RR/2023</w:t>
      </w:r>
      <w:r w:rsidR="007B578D" w:rsidRPr="00EE3BE9">
        <w:rPr>
          <w:rFonts w:ascii="Palatino Linotype" w:hAnsi="Palatino Linotype" w:cs="Arial"/>
          <w:bCs/>
          <w:lang w:eastAsia="es-MX"/>
        </w:rPr>
        <w:t xml:space="preserve">, </w:t>
      </w:r>
      <w:r w:rsidR="008B0A68" w:rsidRPr="00EE3BE9">
        <w:rPr>
          <w:rFonts w:ascii="Palatino Linotype" w:hAnsi="Palatino Linotype" w:cs="Arial"/>
        </w:rPr>
        <w:t xml:space="preserve">presentado conforme al criterio mayoritario del Pleno, </w:t>
      </w:r>
      <w:r w:rsidRPr="00EE3BE9">
        <w:rPr>
          <w:rFonts w:ascii="Palatino Linotype" w:hAnsi="Palatino Linotype" w:cs="Arial"/>
        </w:rPr>
        <w:t>promovido en contra de</w:t>
      </w:r>
      <w:r w:rsidR="0068101D" w:rsidRPr="00EE3BE9">
        <w:rPr>
          <w:rFonts w:ascii="Palatino Linotype" w:hAnsi="Palatino Linotype" w:cs="Arial"/>
        </w:rPr>
        <w:t xml:space="preserve">l </w:t>
      </w:r>
      <w:r w:rsidR="00BC1756" w:rsidRPr="00EE3BE9">
        <w:rPr>
          <w:rFonts w:ascii="Palatino Linotype" w:hAnsi="Palatino Linotype" w:cs="Arial"/>
        </w:rPr>
        <w:t xml:space="preserve"> </w:t>
      </w:r>
      <w:r w:rsidR="003B138A">
        <w:rPr>
          <w:rFonts w:ascii="Palatino Linotype" w:hAnsi="Palatino Linotype" w:cs="Tahoma"/>
          <w:b/>
        </w:rPr>
        <w:t>Ayuntamiento de Tezoyuca</w:t>
      </w:r>
      <w:r w:rsidR="006A7AB7" w:rsidRPr="00EE3BE9">
        <w:rPr>
          <w:rFonts w:ascii="Palatino Linotype" w:eastAsia="Palatino Linotype" w:hAnsi="Palatino Linotype" w:cs="Palatino Linotype"/>
          <w:b/>
        </w:rPr>
        <w:t>.</w:t>
      </w:r>
    </w:p>
    <w:p w14:paraId="66D32CD4" w14:textId="77777777" w:rsidR="00EF3513" w:rsidRPr="00EE3BE9" w:rsidRDefault="00EF3513" w:rsidP="008F67BC">
      <w:pPr>
        <w:spacing w:line="360" w:lineRule="auto"/>
        <w:jc w:val="both"/>
        <w:rPr>
          <w:rFonts w:ascii="Palatino Linotype" w:eastAsia="Palatino Linotype" w:hAnsi="Palatino Linotype" w:cs="Palatino Linotype"/>
          <w:b/>
        </w:rPr>
      </w:pPr>
    </w:p>
    <w:p w14:paraId="2CD2271C" w14:textId="50CBDE09" w:rsidR="00BF358F" w:rsidRDefault="00EF3513" w:rsidP="00BF358F">
      <w:pPr>
        <w:spacing w:line="360" w:lineRule="auto"/>
        <w:jc w:val="both"/>
        <w:rPr>
          <w:rFonts w:ascii="Palatino Linotype" w:hAnsi="Palatino Linotype" w:cs="Arial"/>
        </w:rPr>
      </w:pPr>
      <w:r w:rsidRPr="00EE3BE9">
        <w:rPr>
          <w:rFonts w:ascii="Palatino Linotype" w:eastAsia="Calibri" w:hAnsi="Palatino Linotype"/>
          <w:bCs/>
        </w:rPr>
        <w:t>El</w:t>
      </w:r>
      <w:r w:rsidRPr="00EE3BE9">
        <w:rPr>
          <w:rFonts w:ascii="Palatino Linotype" w:eastAsia="Calibri" w:hAnsi="Palatino Linotype"/>
          <w:b/>
        </w:rPr>
        <w:t xml:space="preserve"> RECURRENTE </w:t>
      </w:r>
      <w:r w:rsidRPr="00EE3BE9">
        <w:rPr>
          <w:rFonts w:ascii="Palatino Linotype" w:eastAsia="Calibri" w:hAnsi="Palatino Linotype"/>
          <w:bCs/>
        </w:rPr>
        <w:t>presentó</w:t>
      </w:r>
      <w:r w:rsidRPr="00EE3BE9">
        <w:rPr>
          <w:rFonts w:ascii="Palatino Linotype" w:eastAsia="Calibri" w:hAnsi="Palatino Linotype" w:cs="Arial"/>
        </w:rPr>
        <w:t xml:space="preserve"> vía Sistema de Acceso a la Información Mexiquense (</w:t>
      </w:r>
      <w:r w:rsidRPr="00EE3BE9">
        <w:rPr>
          <w:rFonts w:ascii="Palatino Linotype" w:eastAsia="Calibri" w:hAnsi="Palatino Linotype" w:cs="Arial"/>
          <w:b/>
        </w:rPr>
        <w:t>SAIMEX)</w:t>
      </w:r>
      <w:r w:rsidRPr="00EE3BE9">
        <w:rPr>
          <w:rFonts w:ascii="Palatino Linotype" w:eastAsia="Calibri" w:hAnsi="Palatino Linotype" w:cs="Arial"/>
        </w:rPr>
        <w:t xml:space="preserve">, </w:t>
      </w:r>
      <w:r w:rsidR="00BF358F" w:rsidRPr="00EE3BE9">
        <w:rPr>
          <w:rFonts w:ascii="Palatino Linotype" w:eastAsia="Calibri" w:hAnsi="Palatino Linotype" w:cs="Arial"/>
        </w:rPr>
        <w:t>la</w:t>
      </w:r>
      <w:r w:rsidR="008C19BE" w:rsidRPr="00EE3BE9">
        <w:rPr>
          <w:rFonts w:ascii="Palatino Linotype" w:eastAsia="Calibri" w:hAnsi="Palatino Linotype" w:cs="Arial"/>
        </w:rPr>
        <w:t xml:space="preserve"> solicitud</w:t>
      </w:r>
      <w:r w:rsidR="00BF358F" w:rsidRPr="00EE3BE9">
        <w:rPr>
          <w:rFonts w:ascii="Palatino Linotype" w:eastAsia="Calibri" w:hAnsi="Palatino Linotype" w:cs="Arial"/>
        </w:rPr>
        <w:t xml:space="preserve"> de información pública registrada con</w:t>
      </w:r>
      <w:r w:rsidR="003B138A">
        <w:rPr>
          <w:rFonts w:ascii="Palatino Linotype" w:eastAsia="Calibri" w:hAnsi="Palatino Linotype" w:cs="Arial"/>
        </w:rPr>
        <w:t xml:space="preserve"> el número </w:t>
      </w:r>
      <w:r w:rsidR="00BF358F" w:rsidRPr="00EE3BE9">
        <w:rPr>
          <w:rFonts w:ascii="Palatino Linotype" w:eastAsia="Calibri" w:hAnsi="Palatino Linotype" w:cs="Arial"/>
        </w:rPr>
        <w:t xml:space="preserve"> </w:t>
      </w:r>
      <w:r w:rsidR="003B138A">
        <w:rPr>
          <w:rFonts w:ascii="Palatino Linotype" w:eastAsia="Calibri" w:hAnsi="Palatino Linotype" w:cs="Arial"/>
          <w:b/>
          <w:bCs/>
          <w:color w:val="000000" w:themeColor="text1"/>
        </w:rPr>
        <w:t>00015</w:t>
      </w:r>
      <w:r w:rsidR="008D566B" w:rsidRPr="008D566B">
        <w:rPr>
          <w:rFonts w:ascii="Palatino Linotype" w:eastAsia="Calibri" w:hAnsi="Palatino Linotype" w:cs="Arial"/>
          <w:b/>
          <w:bCs/>
          <w:color w:val="000000" w:themeColor="text1"/>
        </w:rPr>
        <w:t>/</w:t>
      </w:r>
      <w:r w:rsidR="003B138A">
        <w:rPr>
          <w:rFonts w:ascii="Palatino Linotype" w:eastAsia="Calibri" w:hAnsi="Palatino Linotype" w:cs="Arial"/>
          <w:b/>
          <w:bCs/>
          <w:color w:val="000000" w:themeColor="text1"/>
        </w:rPr>
        <w:t>TEZOYUCA</w:t>
      </w:r>
      <w:r w:rsidR="008D566B" w:rsidRPr="008D566B">
        <w:rPr>
          <w:rFonts w:ascii="Palatino Linotype" w:eastAsia="Calibri" w:hAnsi="Palatino Linotype" w:cs="Arial"/>
          <w:b/>
          <w:bCs/>
          <w:color w:val="000000" w:themeColor="text1"/>
        </w:rPr>
        <w:t>/IP/</w:t>
      </w:r>
      <w:r w:rsidR="003B138A">
        <w:rPr>
          <w:rFonts w:ascii="Palatino Linotype" w:eastAsia="Calibri" w:hAnsi="Palatino Linotype" w:cs="Arial"/>
          <w:b/>
          <w:bCs/>
          <w:color w:val="000000" w:themeColor="text1"/>
        </w:rPr>
        <w:t>2023</w:t>
      </w:r>
      <w:r w:rsidR="00B64C7A" w:rsidRPr="00EE3BE9">
        <w:rPr>
          <w:rFonts w:ascii="Palatino Linotype" w:hAnsi="Palatino Linotype"/>
          <w:b/>
          <w:bCs/>
        </w:rPr>
        <w:t>,</w:t>
      </w:r>
      <w:r w:rsidR="00BF358F" w:rsidRPr="00EE3BE9">
        <w:rPr>
          <w:rFonts w:ascii="Palatino Linotype" w:hAnsi="Palatino Linotype" w:cs="Arial"/>
          <w:b/>
          <w:lang w:eastAsia="es-MX"/>
        </w:rPr>
        <w:t xml:space="preserve"> </w:t>
      </w:r>
      <w:r w:rsidR="00187962" w:rsidRPr="00EE3BE9">
        <w:rPr>
          <w:rFonts w:ascii="Palatino Linotype" w:hAnsi="Palatino Linotype" w:cs="Arial"/>
        </w:rPr>
        <w:t>mediante la</w:t>
      </w:r>
      <w:r w:rsidR="00BF358F" w:rsidRPr="00EE3BE9">
        <w:rPr>
          <w:rFonts w:ascii="Palatino Linotype" w:hAnsi="Palatino Linotype" w:cs="Arial"/>
        </w:rPr>
        <w:t xml:space="preserve"> cual</w:t>
      </w:r>
      <w:r w:rsidR="00187962" w:rsidRPr="00EE3BE9">
        <w:rPr>
          <w:rFonts w:ascii="Palatino Linotype" w:hAnsi="Palatino Linotype" w:cs="Arial"/>
        </w:rPr>
        <w:t xml:space="preserve"> se</w:t>
      </w:r>
      <w:r w:rsidR="00BF358F" w:rsidRPr="00EE3BE9">
        <w:rPr>
          <w:rFonts w:ascii="Palatino Linotype" w:hAnsi="Palatino Linotype" w:cs="Arial"/>
        </w:rPr>
        <w:t xml:space="preserve"> solicitó la siguiente información:</w:t>
      </w:r>
    </w:p>
    <w:p w14:paraId="2B211D26" w14:textId="77777777" w:rsidR="008D566B" w:rsidRPr="00EE3BE9" w:rsidRDefault="008D566B" w:rsidP="00BF358F">
      <w:pPr>
        <w:spacing w:line="360" w:lineRule="auto"/>
        <w:jc w:val="both"/>
        <w:rPr>
          <w:rFonts w:ascii="Palatino Linotype" w:hAnsi="Palatino Linotype" w:cs="Arial"/>
        </w:rPr>
      </w:pPr>
    </w:p>
    <w:p w14:paraId="0014F927" w14:textId="6B100E0A" w:rsidR="008D566B" w:rsidRPr="004A75F8" w:rsidRDefault="008D566B" w:rsidP="008D566B">
      <w:pPr>
        <w:pStyle w:val="Prrafodelista"/>
        <w:spacing w:line="360" w:lineRule="auto"/>
        <w:ind w:left="851" w:right="34"/>
        <w:jc w:val="both"/>
        <w:rPr>
          <w:rFonts w:ascii="Palatino Linotype" w:hAnsi="Palatino Linotype"/>
          <w:i/>
        </w:rPr>
      </w:pPr>
      <w:r>
        <w:rPr>
          <w:rFonts w:ascii="Palatino Linotype" w:hAnsi="Palatino Linotype"/>
          <w:i/>
        </w:rPr>
        <w:lastRenderedPageBreak/>
        <w:t>“</w:t>
      </w:r>
      <w:r w:rsidR="003B138A" w:rsidRPr="00794A9E">
        <w:rPr>
          <w:rFonts w:ascii="Palatino Linotype" w:eastAsia="Palatino Linotype" w:hAnsi="Palatino Linotype" w:cs="Palatino Linotype"/>
          <w:i/>
          <w:color w:val="000000"/>
          <w:sz w:val="22"/>
          <w:szCs w:val="22"/>
        </w:rPr>
        <w:t>Informe si durante o posterior al periodo de la administración 2019-2021, el municipio de Tezoyuca o en su caso el Sistema Municipal DIF de Tezoyuca llevaron a cabo acción de demanda, denuncia, queja, remisión de expediente por incompetencia, o querella en contra del ciudadano de nombre Jaime Esteva Orozco con CURP EEOJ770826HOCSRM08, ante Ministerio Público, Fiscalía General de Justicia del Estado de México, OSFEM, Secretaria de la Función Pública, Secretaria de la Contraloría Estado de México o Entidades fiscalizadoras, originadas por el mal desempeño de funciones como Tesorero del Sistema Municipal DIF de Tezoyuca dentro de la Administración 2019-2021. De ser afirmativo solicito Número de expediente o nombre que lo identifique, informe del estado de avance del mismo, el concepto que lo origino, y las sanciones aplicadas.</w:t>
      </w:r>
      <w:r>
        <w:rPr>
          <w:rFonts w:ascii="Palatino Linotype" w:hAnsi="Palatino Linotype"/>
          <w:i/>
        </w:rPr>
        <w:t>”</w:t>
      </w:r>
    </w:p>
    <w:p w14:paraId="1B7894DE" w14:textId="77777777" w:rsidR="0067381F" w:rsidRPr="00EE3BE9" w:rsidRDefault="0067381F" w:rsidP="00B64C7A">
      <w:pPr>
        <w:pStyle w:val="Prrafodelista"/>
        <w:tabs>
          <w:tab w:val="left" w:pos="567"/>
        </w:tabs>
        <w:spacing w:line="360" w:lineRule="auto"/>
        <w:ind w:left="0"/>
        <w:jc w:val="both"/>
        <w:rPr>
          <w:rFonts w:ascii="Palatino Linotype" w:eastAsia="Calibri" w:hAnsi="Palatino Linotype" w:cs="Arial"/>
          <w:color w:val="000000" w:themeColor="text1"/>
        </w:rPr>
      </w:pPr>
    </w:p>
    <w:p w14:paraId="35304E6C" w14:textId="77777777" w:rsidR="003B138A" w:rsidRDefault="003B138A" w:rsidP="003B138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otorgó, a través del SAIMEX, respuesta a la solicitud de acceso a la información y adjunta a su respuesta el siguiente archivo electrónico:</w:t>
      </w:r>
    </w:p>
    <w:p w14:paraId="193D6811" w14:textId="77777777" w:rsidR="003B138A" w:rsidRDefault="003B138A" w:rsidP="003B138A">
      <w:pPr>
        <w:spacing w:line="360" w:lineRule="auto"/>
        <w:jc w:val="both"/>
        <w:rPr>
          <w:rFonts w:ascii="Calibri" w:eastAsia="Calibri" w:hAnsi="Calibri" w:cs="Calibri"/>
          <w:sz w:val="22"/>
          <w:szCs w:val="22"/>
        </w:rPr>
      </w:pPr>
    </w:p>
    <w:p w14:paraId="63CE1E0E" w14:textId="77777777" w:rsidR="003B138A" w:rsidRDefault="003B138A" w:rsidP="003B138A">
      <w:pPr>
        <w:numPr>
          <w:ilvl w:val="1"/>
          <w:numId w:val="46"/>
        </w:numPr>
        <w:pBdr>
          <w:top w:val="nil"/>
          <w:left w:val="nil"/>
          <w:bottom w:val="nil"/>
          <w:right w:val="nil"/>
          <w:between w:val="nil"/>
        </w:pBdr>
        <w:tabs>
          <w:tab w:val="left" w:pos="284"/>
          <w:tab w:val="left" w:pos="426"/>
        </w:tabs>
        <w:spacing w:line="360" w:lineRule="auto"/>
        <w:ind w:left="1134"/>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rPr>
        <w:t>“solicitud 14.pdf”</w:t>
      </w:r>
      <w:r>
        <w:rPr>
          <w:rFonts w:ascii="Palatino Linotype" w:eastAsia="Palatino Linotype" w:hAnsi="Palatino Linotype" w:cs="Palatino Linotype"/>
          <w:color w:val="000000"/>
        </w:rPr>
        <w:t>: Documento de una foja consistente en la copia digitalizada del oficio número TEZ/RH/02/049/2023, emitido por el Director de Recursos Humanos, dirigido a la Directora de la Unidad de Transparencia, por el que informa no contar con la información, ya que no cuentan con un Representante Indígena en el municipio.</w:t>
      </w:r>
    </w:p>
    <w:p w14:paraId="7563DCAB" w14:textId="77777777" w:rsidR="003B138A" w:rsidRDefault="003B138A" w:rsidP="003B138A">
      <w:pPr>
        <w:spacing w:line="360" w:lineRule="auto"/>
        <w:ind w:right="-234"/>
        <w:jc w:val="both"/>
        <w:rPr>
          <w:rFonts w:ascii="Palatino Linotype" w:eastAsia="Palatino Linotype" w:hAnsi="Palatino Linotype" w:cs="Palatino Linotype"/>
        </w:rPr>
      </w:pPr>
    </w:p>
    <w:p w14:paraId="1315874E" w14:textId="77777777" w:rsidR="003B138A" w:rsidRDefault="003B138A" w:rsidP="003B138A">
      <w:pPr>
        <w:spacing w:line="360" w:lineRule="auto"/>
        <w:ind w:right="-234"/>
        <w:jc w:val="both"/>
        <w:rPr>
          <w:rFonts w:ascii="Palatino Linotype" w:eastAsia="Palatino Linotype" w:hAnsi="Palatino Linotype" w:cs="Palatino Linotype"/>
        </w:rPr>
      </w:pPr>
      <w:r>
        <w:rPr>
          <w:rFonts w:ascii="Palatino Linotype" w:eastAsia="Palatino Linotype" w:hAnsi="Palatino Linotype" w:cs="Palatino Linotype"/>
        </w:rPr>
        <w:t xml:space="preserve">Inconforme con la respuesta,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interpuso el recurso de revisión,  en el cual manifestó, lo siguiente:</w:t>
      </w:r>
    </w:p>
    <w:p w14:paraId="3BF4867D" w14:textId="77777777" w:rsidR="003B138A" w:rsidRDefault="003B138A" w:rsidP="003B138A">
      <w:pPr>
        <w:spacing w:line="360" w:lineRule="auto"/>
        <w:ind w:right="-234"/>
        <w:jc w:val="both"/>
        <w:rPr>
          <w:rFonts w:ascii="Palatino Linotype" w:eastAsia="Palatino Linotype" w:hAnsi="Palatino Linotype" w:cs="Palatino Linotype"/>
        </w:rPr>
      </w:pPr>
    </w:p>
    <w:p w14:paraId="2ED84A5E" w14:textId="77777777" w:rsidR="003B138A" w:rsidRDefault="003B138A" w:rsidP="003B138A">
      <w:pPr>
        <w:numPr>
          <w:ilvl w:val="0"/>
          <w:numId w:val="47"/>
        </w:numPr>
        <w:pBdr>
          <w:top w:val="nil"/>
          <w:left w:val="nil"/>
          <w:bottom w:val="nil"/>
          <w:right w:val="nil"/>
          <w:between w:val="nil"/>
        </w:pBdr>
        <w:tabs>
          <w:tab w:val="left" w:pos="993"/>
        </w:tabs>
        <w:spacing w:line="276" w:lineRule="auto"/>
        <w:ind w:left="1134"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lastRenderedPageBreak/>
        <w:t>Acto impugnado:</w:t>
      </w:r>
      <w:r>
        <w:rPr>
          <w:rFonts w:ascii="Palatino Linotype" w:eastAsia="Palatino Linotype" w:hAnsi="Palatino Linotype" w:cs="Palatino Linotype"/>
          <w:color w:val="000000"/>
          <w:sz w:val="22"/>
          <w:szCs w:val="22"/>
        </w:rPr>
        <w:t xml:space="preserve"> “</w:t>
      </w:r>
      <w:r w:rsidRPr="00794A9E">
        <w:rPr>
          <w:rFonts w:ascii="Palatino Linotype" w:eastAsia="Palatino Linotype" w:hAnsi="Palatino Linotype" w:cs="Palatino Linotype"/>
          <w:i/>
          <w:color w:val="000000"/>
          <w:sz w:val="22"/>
          <w:szCs w:val="22"/>
        </w:rPr>
        <w:t>La solicitud de información con numero 00015/TEZOYUCA/IP/2023, recibida por el municipio de Tezoyuca en fecha 13 de febrero de 2023.</w:t>
      </w: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color w:val="000000"/>
          <w:sz w:val="22"/>
          <w:szCs w:val="22"/>
        </w:rPr>
        <w:t xml:space="preserve"> (Sic).</w:t>
      </w:r>
    </w:p>
    <w:p w14:paraId="3AA9D3A3" w14:textId="77777777" w:rsidR="003B138A" w:rsidRDefault="003B138A" w:rsidP="003B138A">
      <w:pPr>
        <w:pBdr>
          <w:top w:val="nil"/>
          <w:left w:val="nil"/>
          <w:bottom w:val="nil"/>
          <w:right w:val="nil"/>
          <w:between w:val="nil"/>
        </w:pBdr>
        <w:tabs>
          <w:tab w:val="left" w:pos="993"/>
        </w:tabs>
        <w:spacing w:line="276" w:lineRule="auto"/>
        <w:ind w:left="1134" w:right="567"/>
        <w:jc w:val="both"/>
        <w:rPr>
          <w:rFonts w:ascii="Palatino Linotype" w:eastAsia="Palatino Linotype" w:hAnsi="Palatino Linotype" w:cs="Palatino Linotype"/>
          <w:color w:val="000000"/>
          <w:sz w:val="22"/>
          <w:szCs w:val="22"/>
        </w:rPr>
      </w:pPr>
    </w:p>
    <w:p w14:paraId="2028E5BD" w14:textId="77777777" w:rsidR="003B138A" w:rsidRDefault="003B138A" w:rsidP="003B138A">
      <w:pPr>
        <w:numPr>
          <w:ilvl w:val="0"/>
          <w:numId w:val="47"/>
        </w:numPr>
        <w:pBdr>
          <w:top w:val="nil"/>
          <w:left w:val="nil"/>
          <w:bottom w:val="nil"/>
          <w:right w:val="nil"/>
          <w:between w:val="nil"/>
        </w:pBdr>
        <w:tabs>
          <w:tab w:val="left" w:pos="993"/>
        </w:tabs>
        <w:spacing w:line="276" w:lineRule="auto"/>
        <w:ind w:left="1134"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Razones o motivos de inconformidad:</w:t>
      </w:r>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i/>
          <w:color w:val="000000"/>
          <w:sz w:val="22"/>
          <w:szCs w:val="22"/>
        </w:rPr>
        <w:t>“</w:t>
      </w:r>
      <w:r w:rsidRPr="00794A9E">
        <w:rPr>
          <w:rFonts w:ascii="Palatino Linotype" w:eastAsia="Palatino Linotype" w:hAnsi="Palatino Linotype" w:cs="Palatino Linotype"/>
          <w:i/>
          <w:color w:val="000000"/>
          <w:sz w:val="22"/>
          <w:szCs w:val="22"/>
        </w:rPr>
        <w:t>El municipio de Tezoyuca entrego información que no corresponde a lo solicitado, siendo que entrego la referida por una solicitud con numero 00014/TEZOYUCA/IP/2023, la cual no corresponde a mi gestión de solicitud de información, tanto en contenido como en forma.</w:t>
      </w:r>
      <w:r>
        <w:rPr>
          <w:rFonts w:ascii="Palatino Linotype" w:eastAsia="Palatino Linotype" w:hAnsi="Palatino Linotype" w:cs="Palatino Linotype"/>
          <w:i/>
          <w:color w:val="000000"/>
          <w:sz w:val="22"/>
          <w:szCs w:val="22"/>
        </w:rPr>
        <w:t>”</w:t>
      </w:r>
    </w:p>
    <w:p w14:paraId="57F60C17" w14:textId="77777777" w:rsidR="003B138A" w:rsidRDefault="003B138A" w:rsidP="003B138A">
      <w:pPr>
        <w:spacing w:before="240" w:after="240" w:line="360" w:lineRule="auto"/>
        <w:jc w:val="both"/>
        <w:rPr>
          <w:rFonts w:ascii="Palatino Linotype" w:eastAsia="Palatino Linotype" w:hAnsi="Palatino Linotype" w:cs="Palatino Linotype"/>
        </w:rPr>
      </w:pPr>
    </w:p>
    <w:p w14:paraId="5C024F1D" w14:textId="77777777" w:rsidR="003B138A" w:rsidRDefault="003B138A" w:rsidP="003B13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Previo estudio,</w:t>
      </w:r>
      <w:r>
        <w:rPr>
          <w:rFonts w:ascii="Palatino Linotype" w:eastAsia="Palatino Linotype" w:hAnsi="Palatino Linotype" w:cs="Palatino Linotype"/>
          <w:b/>
        </w:rPr>
        <w:t xml:space="preserve"> </w:t>
      </w:r>
      <w:r>
        <w:rPr>
          <w:rFonts w:ascii="Palatino Linotype" w:eastAsia="Palatino Linotype" w:hAnsi="Palatino Linotype" w:cs="Palatino Linotype"/>
        </w:rPr>
        <w:t>la resolución determina</w:t>
      </w:r>
      <w:r>
        <w:rPr>
          <w:rFonts w:ascii="Palatino Linotype" w:eastAsia="Palatino Linotype" w:hAnsi="Palatino Linotype" w:cs="Palatino Linotype"/>
          <w:b/>
        </w:rPr>
        <w:t xml:space="preserve"> REVOCAR</w:t>
      </w:r>
      <w:r>
        <w:rPr>
          <w:rFonts w:ascii="Palatino Linotype" w:eastAsia="Palatino Linotype" w:hAnsi="Palatino Linotype" w:cs="Palatino Linotype"/>
        </w:rPr>
        <w:t xml:space="preserve"> la respuesta emitida por el </w:t>
      </w:r>
      <w:r>
        <w:rPr>
          <w:rFonts w:ascii="Palatino Linotype" w:eastAsia="Palatino Linotype" w:hAnsi="Palatino Linotype" w:cs="Palatino Linotype"/>
          <w:b/>
        </w:rPr>
        <w:t>Ayuntamiento de Tezoyuca</w:t>
      </w:r>
      <w:r>
        <w:rPr>
          <w:rFonts w:ascii="Palatino Linotype" w:eastAsia="Palatino Linotype" w:hAnsi="Palatino Linotype" w:cs="Palatino Linotype"/>
        </w:rPr>
        <w:t xml:space="preserve"> y se </w:t>
      </w:r>
      <w:r>
        <w:rPr>
          <w:rFonts w:ascii="Palatino Linotype" w:eastAsia="Palatino Linotype" w:hAnsi="Palatino Linotype" w:cs="Palatino Linotype"/>
          <w:b/>
        </w:rPr>
        <w:t xml:space="preserve">ORDENA </w:t>
      </w:r>
      <w:r>
        <w:rPr>
          <w:rFonts w:ascii="Palatino Linotype" w:eastAsia="Palatino Linotype" w:hAnsi="Palatino Linotype" w:cs="Palatino Linotype"/>
        </w:rPr>
        <w:t>entregar, vía Sistema de Acceso a la Información Pública Mexiquense (SAIMEX), la siguiente información:</w:t>
      </w:r>
    </w:p>
    <w:p w14:paraId="5FA1E200" w14:textId="77777777" w:rsidR="003B138A" w:rsidRPr="00794A9E" w:rsidRDefault="003B138A" w:rsidP="003B138A">
      <w:pPr>
        <w:spacing w:before="240" w:after="240" w:line="276" w:lineRule="auto"/>
        <w:ind w:left="567" w:right="567"/>
        <w:jc w:val="both"/>
        <w:rPr>
          <w:rFonts w:ascii="Palatino Linotype" w:eastAsia="Palatino Linotype" w:hAnsi="Palatino Linotype" w:cs="Palatino Linotype"/>
          <w:i/>
          <w:iCs/>
          <w:sz w:val="22"/>
          <w:szCs w:val="22"/>
        </w:rPr>
      </w:pPr>
      <w:r>
        <w:rPr>
          <w:rFonts w:ascii="Palatino Linotype" w:eastAsia="Palatino Linotype" w:hAnsi="Palatino Linotype" w:cs="Palatino Linotype"/>
          <w:i/>
          <w:iCs/>
          <w:sz w:val="22"/>
          <w:szCs w:val="22"/>
        </w:rPr>
        <w:t>“</w:t>
      </w:r>
      <w:r w:rsidRPr="00794A9E">
        <w:rPr>
          <w:rFonts w:ascii="Palatino Linotype" w:eastAsia="Palatino Linotype" w:hAnsi="Palatino Linotype" w:cs="Palatino Linotype"/>
          <w:i/>
          <w:iCs/>
          <w:sz w:val="22"/>
          <w:szCs w:val="22"/>
        </w:rPr>
        <w:t>Del servidor público que se ostentaba como Tesorero del Sistema Municipal DIF de Tezoyuca, en la administración pública municipal 2019-2021:</w:t>
      </w:r>
    </w:p>
    <w:p w14:paraId="60680B5D" w14:textId="77777777" w:rsidR="003B138A" w:rsidRPr="00794A9E" w:rsidRDefault="003B138A" w:rsidP="003B138A">
      <w:pPr>
        <w:spacing w:before="240" w:after="240" w:line="276" w:lineRule="auto"/>
        <w:ind w:left="851" w:right="567"/>
        <w:jc w:val="both"/>
        <w:rPr>
          <w:rFonts w:ascii="Palatino Linotype" w:eastAsia="Palatino Linotype" w:hAnsi="Palatino Linotype" w:cs="Palatino Linotype"/>
          <w:i/>
          <w:iCs/>
          <w:sz w:val="22"/>
          <w:szCs w:val="22"/>
        </w:rPr>
      </w:pPr>
      <w:r w:rsidRPr="00794A9E">
        <w:rPr>
          <w:rFonts w:ascii="Palatino Linotype" w:eastAsia="Palatino Linotype" w:hAnsi="Palatino Linotype" w:cs="Palatino Linotype"/>
          <w:b/>
          <w:bCs/>
          <w:i/>
          <w:iCs/>
          <w:sz w:val="22"/>
          <w:szCs w:val="22"/>
        </w:rPr>
        <w:t>1.</w:t>
      </w:r>
      <w:r w:rsidRPr="00794A9E">
        <w:rPr>
          <w:rFonts w:ascii="Palatino Linotype" w:eastAsia="Palatino Linotype" w:hAnsi="Palatino Linotype" w:cs="Palatino Linotype"/>
          <w:i/>
          <w:iCs/>
          <w:sz w:val="22"/>
          <w:szCs w:val="22"/>
        </w:rPr>
        <w:t xml:space="preserve"> El Acuerdo emitido por el Comité de Transparencia, en el que se confirme la clasificación como confidencial del pronunciamiento en sentido afirmativo o negativo, en términos de los artículos 49, fracción II, 132, fracción II, 143, fracción I y 149 de la Ley de Transparencia y Acceso a la Información Pública del Estado de México y Municipios; respecto de los procedimientos por faltas administrativas graves y/o no graves, y denuncias que se encuentren en trámite, así como de los procedimientos concluidos por faltas administrativas no graves condenatorias o absolutorias, instaurados, de ser el caso, en su contra, del uno de enero de dos mil diecinueve al once de febrero de dos mil veintitrés</w:t>
      </w:r>
    </w:p>
    <w:p w14:paraId="1288E82C" w14:textId="77777777" w:rsidR="003B138A" w:rsidRPr="00794A9E" w:rsidRDefault="003B138A" w:rsidP="003B138A">
      <w:pPr>
        <w:spacing w:before="240" w:after="240" w:line="276" w:lineRule="auto"/>
        <w:ind w:left="851" w:right="567"/>
        <w:jc w:val="both"/>
        <w:rPr>
          <w:rFonts w:ascii="Palatino Linotype" w:eastAsia="Palatino Linotype" w:hAnsi="Palatino Linotype" w:cs="Palatino Linotype"/>
          <w:i/>
          <w:iCs/>
          <w:sz w:val="22"/>
          <w:szCs w:val="22"/>
        </w:rPr>
      </w:pPr>
      <w:r w:rsidRPr="00794A9E">
        <w:rPr>
          <w:rFonts w:ascii="Palatino Linotype" w:eastAsia="Palatino Linotype" w:hAnsi="Palatino Linotype" w:cs="Palatino Linotype"/>
          <w:b/>
          <w:bCs/>
          <w:i/>
          <w:iCs/>
          <w:sz w:val="22"/>
          <w:szCs w:val="22"/>
        </w:rPr>
        <w:t>2.</w:t>
      </w:r>
      <w:r w:rsidRPr="00794A9E">
        <w:rPr>
          <w:rFonts w:ascii="Palatino Linotype" w:eastAsia="Palatino Linotype" w:hAnsi="Palatino Linotype" w:cs="Palatino Linotype"/>
          <w:i/>
          <w:iCs/>
          <w:sz w:val="22"/>
          <w:szCs w:val="22"/>
        </w:rPr>
        <w:t xml:space="preserve"> Versión pública del documento que dé cuenta de cuenta de presuntas faltas administrativas y denuncias, que incluya el número de expediente, el estado que estos guardan y el concepto que los originó, para el caso de que los procedimientos se relacionen con actos de corrupción, de conformidad con el artículo 142 de la Ley de </w:t>
      </w:r>
      <w:r w:rsidRPr="00794A9E">
        <w:rPr>
          <w:rFonts w:ascii="Palatino Linotype" w:eastAsia="Palatino Linotype" w:hAnsi="Palatino Linotype" w:cs="Palatino Linotype"/>
          <w:i/>
          <w:iCs/>
          <w:sz w:val="22"/>
          <w:szCs w:val="22"/>
        </w:rPr>
        <w:lastRenderedPageBreak/>
        <w:t>la materia, instaurados, de ser el caso, en su contra, del uno de enero de dos mil diecinueve al once de febrero de dos mil veintitrés.</w:t>
      </w:r>
    </w:p>
    <w:p w14:paraId="293F9D5A" w14:textId="77777777" w:rsidR="003B138A" w:rsidRPr="00794A9E" w:rsidRDefault="003B138A" w:rsidP="003B138A">
      <w:pPr>
        <w:spacing w:before="240" w:after="240" w:line="276" w:lineRule="auto"/>
        <w:ind w:left="851" w:right="567"/>
        <w:jc w:val="both"/>
        <w:rPr>
          <w:rFonts w:ascii="Palatino Linotype" w:eastAsia="Palatino Linotype" w:hAnsi="Palatino Linotype" w:cs="Palatino Linotype"/>
          <w:i/>
          <w:iCs/>
          <w:sz w:val="22"/>
          <w:szCs w:val="22"/>
        </w:rPr>
      </w:pPr>
      <w:r w:rsidRPr="00794A9E">
        <w:rPr>
          <w:rFonts w:ascii="Palatino Linotype" w:eastAsia="Palatino Linotype" w:hAnsi="Palatino Linotype" w:cs="Palatino Linotype"/>
          <w:b/>
          <w:bCs/>
          <w:i/>
          <w:iCs/>
          <w:sz w:val="22"/>
          <w:szCs w:val="22"/>
        </w:rPr>
        <w:t>3.</w:t>
      </w:r>
      <w:r w:rsidRPr="00794A9E">
        <w:rPr>
          <w:rFonts w:ascii="Palatino Linotype" w:eastAsia="Palatino Linotype" w:hAnsi="Palatino Linotype" w:cs="Palatino Linotype"/>
          <w:i/>
          <w:iCs/>
          <w:sz w:val="22"/>
          <w:szCs w:val="22"/>
        </w:rPr>
        <w:t xml:space="preserve"> Versión pública del documento que dé cuenta de los procedimientos concluidos, por faltas administrativas graves condenatorias, y denuncias condenatorias, señalando el número de expediente, el concepto que los originó y la sanción impuesta, instaurados, de ser el caso, en su contra, del uno de enero de dos mil diecinueve al once de febrero de dos mil veintitrés.</w:t>
      </w:r>
    </w:p>
    <w:p w14:paraId="08845679" w14:textId="77777777" w:rsidR="003B138A" w:rsidRPr="00794A9E" w:rsidRDefault="003B138A" w:rsidP="003B138A">
      <w:pPr>
        <w:spacing w:before="240" w:after="240" w:line="276" w:lineRule="auto"/>
        <w:ind w:left="567" w:right="567"/>
        <w:jc w:val="both"/>
        <w:rPr>
          <w:rFonts w:ascii="Palatino Linotype" w:eastAsia="Palatino Linotype" w:hAnsi="Palatino Linotype" w:cs="Palatino Linotype"/>
          <w:sz w:val="22"/>
          <w:szCs w:val="22"/>
        </w:rPr>
      </w:pPr>
      <w:r w:rsidRPr="00794A9E">
        <w:rPr>
          <w:rFonts w:ascii="Palatino Linotype" w:eastAsia="Palatino Linotype" w:hAnsi="Palatino Linotype" w:cs="Palatino Linotype"/>
          <w:i/>
          <w:iCs/>
          <w:sz w:val="22"/>
          <w:szCs w:val="22"/>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r>
        <w:rPr>
          <w:rFonts w:ascii="Palatino Linotype" w:eastAsia="Palatino Linotype" w:hAnsi="Palatino Linotype" w:cs="Palatino Linotype"/>
          <w:i/>
          <w:iCs/>
          <w:sz w:val="22"/>
          <w:szCs w:val="22"/>
        </w:rPr>
        <w:t>”</w:t>
      </w:r>
      <w:r>
        <w:rPr>
          <w:rFonts w:ascii="Palatino Linotype" w:eastAsia="Palatino Linotype" w:hAnsi="Palatino Linotype" w:cs="Palatino Linotype"/>
          <w:sz w:val="22"/>
          <w:szCs w:val="22"/>
        </w:rPr>
        <w:t xml:space="preserve"> (Sic)</w:t>
      </w:r>
    </w:p>
    <w:p w14:paraId="5A0CB95F" w14:textId="77777777" w:rsidR="003B138A" w:rsidRPr="00EE3BE9" w:rsidRDefault="003B138A" w:rsidP="003B138A">
      <w:pPr>
        <w:jc w:val="both"/>
        <w:rPr>
          <w:rFonts w:ascii="Palatino Linotype" w:hAnsi="Palatino Linotype" w:cs="Arial"/>
          <w:lang w:val="es-419"/>
        </w:rPr>
      </w:pPr>
    </w:p>
    <w:p w14:paraId="2D01B157" w14:textId="0DA88C5B" w:rsidR="00FA79C9" w:rsidRPr="00FA79C9" w:rsidRDefault="00187962" w:rsidP="00FA79C9">
      <w:pPr>
        <w:tabs>
          <w:tab w:val="left" w:pos="709"/>
        </w:tabs>
        <w:spacing w:line="360" w:lineRule="auto"/>
        <w:jc w:val="both"/>
        <w:rPr>
          <w:rFonts w:ascii="Palatino Linotype" w:hAnsi="Palatino Linotype"/>
        </w:rPr>
      </w:pPr>
      <w:r w:rsidRPr="00EE3BE9">
        <w:rPr>
          <w:rFonts w:ascii="Palatino Linotype" w:eastAsia="Palatino Linotype" w:hAnsi="Palatino Linotype" w:cs="Palatino Linotype"/>
        </w:rPr>
        <w:t>En ese sentido, dentro del estudio se i</w:t>
      </w:r>
      <w:r w:rsidR="00FA79C9">
        <w:rPr>
          <w:rFonts w:ascii="Palatino Linotype" w:eastAsia="Palatino Linotype" w:hAnsi="Palatino Linotype" w:cs="Palatino Linotype"/>
        </w:rPr>
        <w:t>ndica  que</w:t>
      </w:r>
      <w:r w:rsidR="00FA79C9" w:rsidRPr="00FA79C9">
        <w:rPr>
          <w:rFonts w:ascii="Palatino Linotype" w:hAnsi="Palatino Linotype"/>
        </w:rPr>
        <w:t xml:space="preserve">, para el caso de los procedimientos de sanciones graves absolutorias, concluidos, se procederá a su acceso en versión pública, </w:t>
      </w:r>
      <w:r w:rsidR="00FA79C9" w:rsidRPr="00FA79C9">
        <w:rPr>
          <w:rFonts w:ascii="Palatino Linotype" w:hAnsi="Palatino Linotype"/>
          <w:b/>
        </w:rPr>
        <w:t>protegiendo el nombre, cargo y área de adscripción del Servidor Público absuelto y aquellos datos personales que hagan identificable a una persona</w:t>
      </w:r>
      <w:r w:rsidR="00FA79C9" w:rsidRPr="00FA79C9">
        <w:rPr>
          <w:rFonts w:ascii="Palatino Linotype" w:hAnsi="Palatino Linotype"/>
        </w:rPr>
        <w:t>, toda vez que</w:t>
      </w:r>
      <w:r w:rsidR="00FE71A1">
        <w:rPr>
          <w:rFonts w:ascii="Palatino Linotype" w:hAnsi="Palatino Linotype"/>
        </w:rPr>
        <w:t xml:space="preserve"> se estima que</w:t>
      </w:r>
      <w:r w:rsidR="00FA79C9" w:rsidRPr="00FA79C9">
        <w:rPr>
          <w:rFonts w:ascii="Palatino Linotype" w:hAnsi="Palatino Linotype"/>
        </w:rPr>
        <w:t xml:space="preserv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w:t>
      </w:r>
    </w:p>
    <w:p w14:paraId="34FD1865" w14:textId="77777777" w:rsidR="00FA79C9" w:rsidRPr="00FA79C9" w:rsidRDefault="00FA79C9" w:rsidP="00FA79C9">
      <w:pPr>
        <w:tabs>
          <w:tab w:val="left" w:pos="709"/>
        </w:tabs>
        <w:spacing w:line="360" w:lineRule="auto"/>
        <w:jc w:val="both"/>
        <w:rPr>
          <w:rFonts w:ascii="Palatino Linotype" w:hAnsi="Palatino Linotype"/>
          <w:b/>
        </w:rPr>
      </w:pPr>
    </w:p>
    <w:p w14:paraId="6C9DA099" w14:textId="708A8106" w:rsidR="00FA79C9" w:rsidRPr="00FA79C9" w:rsidRDefault="00FE71A1" w:rsidP="00FA79C9">
      <w:pPr>
        <w:tabs>
          <w:tab w:val="left" w:pos="709"/>
        </w:tabs>
        <w:spacing w:line="360" w:lineRule="auto"/>
        <w:jc w:val="both"/>
        <w:rPr>
          <w:rFonts w:ascii="Palatino Linotype" w:hAnsi="Palatino Linotype"/>
        </w:rPr>
      </w:pPr>
      <w:r>
        <w:rPr>
          <w:rFonts w:ascii="Palatino Linotype" w:hAnsi="Palatino Linotype"/>
        </w:rPr>
        <w:t>Bajo este contexto, se consideró</w:t>
      </w:r>
      <w:r w:rsidR="00FA79C9" w:rsidRPr="00FA79C9">
        <w:rPr>
          <w:rFonts w:ascii="Palatino Linotype" w:hAnsi="Palatino Linotype"/>
        </w:rPr>
        <w:t xml:space="preserve"> que en el supuesto de que la información se encuentre en alguno de los supuestos antes establecidos, el Sujeto Obligado deberá </w:t>
      </w:r>
      <w:r w:rsidR="00FA79C9" w:rsidRPr="00FA79C9">
        <w:rPr>
          <w:rFonts w:ascii="Palatino Linotype" w:hAnsi="Palatino Linotype"/>
        </w:rPr>
        <w:lastRenderedPageBreak/>
        <w:t>clasificar la información, emitiendo en su caso el acuerdo correspondiente</w:t>
      </w:r>
      <w:r w:rsidR="00FA79C9" w:rsidRPr="00FA79C9">
        <w:rPr>
          <w:rFonts w:ascii="Palatino Linotype" w:hAnsi="Palatino Linotype"/>
          <w:b/>
        </w:rPr>
        <w:t xml:space="preserve">, </w:t>
      </w:r>
      <w:r w:rsidR="00FA79C9" w:rsidRPr="00FA79C9">
        <w:rPr>
          <w:rFonts w:ascii="Palatino Linotype" w:hAnsi="Palatino Linotype"/>
        </w:rPr>
        <w:t>tomando en consideración que, de proporcionar el nombre de los servidores públicos relacionados al procedimiento de responsabilidades administrativas por faltas no graves, podría afectar su</w:t>
      </w:r>
      <w:r w:rsidR="008D566B">
        <w:rPr>
          <w:rFonts w:ascii="Palatino Linotype" w:hAnsi="Palatino Linotype"/>
        </w:rPr>
        <w:t xml:space="preserve"> honor, buen nombre y su imagen, </w:t>
      </w:r>
      <w:r w:rsidR="00181AA2">
        <w:rPr>
          <w:rFonts w:ascii="Palatino Linotype" w:hAnsi="Palatino Linotype"/>
        </w:rPr>
        <w:t>así</w:t>
      </w:r>
      <w:r w:rsidR="008D566B">
        <w:rPr>
          <w:rFonts w:ascii="Palatino Linotype" w:hAnsi="Palatino Linotype"/>
        </w:rPr>
        <w:t xml:space="preserve"> como </w:t>
      </w:r>
      <w:r w:rsidR="008D566B" w:rsidRPr="00B94898">
        <w:rPr>
          <w:rFonts w:ascii="Palatino Linotype" w:eastAsia="Palatino Linotype" w:hAnsi="Palatino Linotype" w:cs="Palatino Linotype"/>
          <w:color w:val="000000"/>
          <w:sz w:val="23"/>
          <w:szCs w:val="23"/>
        </w:rPr>
        <w:t>la clasificación  del nombre, cargo, presunta falta cometida, y área de adscripción del Servidor Público absuelto de una falta grave</w:t>
      </w:r>
      <w:r w:rsidR="00181AA2">
        <w:rPr>
          <w:rFonts w:ascii="Palatino Linotype" w:eastAsia="Palatino Linotype" w:hAnsi="Palatino Linotype" w:cs="Palatino Linotype"/>
          <w:color w:val="000000"/>
          <w:sz w:val="23"/>
          <w:szCs w:val="23"/>
        </w:rPr>
        <w:t>.</w:t>
      </w:r>
    </w:p>
    <w:p w14:paraId="7626F97A" w14:textId="77777777" w:rsidR="00FA79C9" w:rsidRPr="00FA79C9" w:rsidRDefault="00FA79C9" w:rsidP="00FA79C9">
      <w:pPr>
        <w:tabs>
          <w:tab w:val="left" w:pos="709"/>
        </w:tabs>
        <w:spacing w:line="360" w:lineRule="auto"/>
        <w:jc w:val="both"/>
        <w:rPr>
          <w:rFonts w:ascii="Palatino Linotype" w:hAnsi="Palatino Linotype"/>
        </w:rPr>
      </w:pPr>
    </w:p>
    <w:p w14:paraId="503DACBD" w14:textId="630A4F30" w:rsidR="00FA79C9" w:rsidRPr="00FA79C9" w:rsidRDefault="00FA79C9" w:rsidP="00FA79C9">
      <w:pPr>
        <w:tabs>
          <w:tab w:val="left" w:pos="709"/>
        </w:tabs>
        <w:spacing w:line="360" w:lineRule="auto"/>
        <w:jc w:val="both"/>
        <w:rPr>
          <w:rFonts w:ascii="Palatino Linotype" w:hAnsi="Palatino Linotype"/>
        </w:rPr>
      </w:pPr>
      <w:r w:rsidRPr="00FA79C9">
        <w:rPr>
          <w:rFonts w:ascii="Palatino Linotype" w:hAnsi="Palatino Linotype"/>
        </w:rPr>
        <w:t xml:space="preserve">Al respecto, </w:t>
      </w:r>
      <w:r w:rsidR="00FE71A1">
        <w:rPr>
          <w:rFonts w:ascii="Palatino Linotype" w:hAnsi="Palatino Linotype"/>
        </w:rPr>
        <w:t xml:space="preserve"> se citó el siguiente Criterio de </w:t>
      </w:r>
      <w:r w:rsidRPr="00FA79C9">
        <w:rPr>
          <w:rFonts w:ascii="Palatino Linotype" w:hAnsi="Palatino Linotype"/>
        </w:rPr>
        <w:t xml:space="preserve">la Suprema Corte de Justicia de la Nación </w:t>
      </w:r>
      <w:r w:rsidR="00FE71A1">
        <w:rPr>
          <w:rFonts w:ascii="Palatino Linotype" w:hAnsi="Palatino Linotype"/>
        </w:rPr>
        <w:t xml:space="preserve">que </w:t>
      </w:r>
      <w:r w:rsidRPr="00FA79C9">
        <w:rPr>
          <w:rFonts w:ascii="Palatino Linotype" w:hAnsi="Palatino Linotype"/>
        </w:rPr>
        <w:t>reconoc</w:t>
      </w:r>
      <w:r w:rsidR="00FE71A1">
        <w:rPr>
          <w:rFonts w:ascii="Palatino Linotype" w:hAnsi="Palatino Linotype"/>
        </w:rPr>
        <w:t>e</w:t>
      </w:r>
      <w:r w:rsidRPr="00FA79C9">
        <w:rPr>
          <w:rFonts w:ascii="Palatino Linotype" w:hAnsi="Palatino Linotype"/>
        </w:rPr>
        <w:t xml:space="preserve"> como derechos fundamentales de las personas, el derecho a la intimidad y a la propia imagen, </w:t>
      </w:r>
      <w:r w:rsidR="00FE71A1">
        <w:rPr>
          <w:rFonts w:ascii="Palatino Linotype" w:hAnsi="Palatino Linotype"/>
        </w:rPr>
        <w:t>como se observa</w:t>
      </w:r>
      <w:r w:rsidRPr="00FA79C9">
        <w:rPr>
          <w:rFonts w:ascii="Palatino Linotype" w:hAnsi="Palatino Linotype"/>
        </w:rPr>
        <w:t>:</w:t>
      </w:r>
    </w:p>
    <w:p w14:paraId="6918AC65" w14:textId="77777777" w:rsidR="00FA79C9" w:rsidRPr="00FA79C9" w:rsidRDefault="00FA79C9" w:rsidP="00FA79C9">
      <w:pPr>
        <w:tabs>
          <w:tab w:val="left" w:pos="709"/>
        </w:tabs>
        <w:spacing w:line="360" w:lineRule="auto"/>
        <w:jc w:val="both"/>
        <w:rPr>
          <w:rFonts w:ascii="Palatino Linotype" w:hAnsi="Palatino Linotype"/>
        </w:rPr>
      </w:pPr>
    </w:p>
    <w:p w14:paraId="729A8172" w14:textId="77777777" w:rsidR="00FA79C9" w:rsidRPr="00FA79C9" w:rsidRDefault="00FA79C9" w:rsidP="00FA79C9">
      <w:pPr>
        <w:tabs>
          <w:tab w:val="left" w:pos="709"/>
        </w:tabs>
        <w:ind w:left="851" w:right="851"/>
        <w:jc w:val="both"/>
        <w:rPr>
          <w:rFonts w:ascii="Palatino Linotype" w:hAnsi="Palatino Linotype"/>
          <w:i/>
        </w:rPr>
      </w:pPr>
      <w:r w:rsidRPr="00FA79C9">
        <w:rPr>
          <w:rFonts w:ascii="Palatino Linotype" w:hAnsi="Palatino Linotype"/>
          <w:i/>
        </w:rPr>
        <w:t>“</w:t>
      </w:r>
      <w:r w:rsidRPr="00FA79C9">
        <w:rPr>
          <w:rFonts w:ascii="Palatino Linotype" w:hAnsi="Palatino Linotype"/>
          <w:b/>
          <w:bCs/>
          <w:i/>
        </w:rPr>
        <w:t>DERECHOS A LA INTIMIDAD, PROPIA IMAGEN, IDENTIDAD PERSONAL Y SEXUAL. CONSTITUYEN DERECHOS DE DEFENSA Y GARANTÍA ESENCIAL PARA LA CONDICIÓN HUMANA</w:t>
      </w:r>
      <w:r w:rsidRPr="00FA79C9">
        <w:rPr>
          <w:rFonts w:ascii="Palatino Linotype" w:hAnsi="Palatino Linotype"/>
          <w:i/>
        </w:rPr>
        <w:t xml:space="preserve">.  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w:t>
      </w:r>
      <w:r w:rsidRPr="00FA79C9">
        <w:rPr>
          <w:rFonts w:ascii="Palatino Linotype" w:hAnsi="Palatino Linotype"/>
          <w:i/>
        </w:rPr>
        <w:lastRenderedPageBreak/>
        <w:t>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p>
    <w:p w14:paraId="2C64DBB1" w14:textId="77777777" w:rsidR="00FA79C9" w:rsidRPr="00FA79C9" w:rsidRDefault="00FA79C9" w:rsidP="00FA79C9">
      <w:pPr>
        <w:tabs>
          <w:tab w:val="left" w:pos="709"/>
        </w:tabs>
        <w:spacing w:line="360" w:lineRule="auto"/>
        <w:jc w:val="both"/>
        <w:rPr>
          <w:rFonts w:ascii="Palatino Linotype" w:hAnsi="Palatino Linotype"/>
        </w:rPr>
      </w:pPr>
      <w:r w:rsidRPr="00FA79C9">
        <w:rPr>
          <w:rFonts w:ascii="Palatino Linotype" w:hAnsi="Palatino Linotype"/>
        </w:rPr>
        <w:t xml:space="preserve"> </w:t>
      </w:r>
    </w:p>
    <w:p w14:paraId="344CD0B8" w14:textId="2205F3AD" w:rsidR="00FA79C9" w:rsidRDefault="00FA79C9" w:rsidP="00FA79C9">
      <w:pPr>
        <w:tabs>
          <w:tab w:val="left" w:pos="709"/>
        </w:tabs>
        <w:spacing w:line="360" w:lineRule="auto"/>
        <w:jc w:val="both"/>
        <w:rPr>
          <w:rFonts w:ascii="Palatino Linotype" w:hAnsi="Palatino Linotype"/>
        </w:rPr>
      </w:pPr>
      <w:r w:rsidRPr="00FA79C9">
        <w:rPr>
          <w:rFonts w:ascii="Palatino Linotype" w:hAnsi="Palatino Linotype"/>
        </w:rPr>
        <w:t xml:space="preserve">En ese sentido, se </w:t>
      </w:r>
      <w:r w:rsidR="00FE71A1">
        <w:rPr>
          <w:rFonts w:ascii="Palatino Linotype" w:hAnsi="Palatino Linotype"/>
        </w:rPr>
        <w:t>hizo</w:t>
      </w:r>
      <w:r w:rsidRPr="00FA79C9">
        <w:rPr>
          <w:rFonts w:ascii="Palatino Linotype" w:hAnsi="Palatino Linotype"/>
        </w:rPr>
        <w:t xml:space="preserve"> notar </w:t>
      </w:r>
      <w:r w:rsidR="00FE71A1">
        <w:rPr>
          <w:rFonts w:ascii="Palatino Linotype" w:hAnsi="Palatino Linotype"/>
        </w:rPr>
        <w:t xml:space="preserve">que </w:t>
      </w:r>
      <w:r w:rsidRPr="00FA79C9">
        <w:rPr>
          <w:rFonts w:ascii="Palatino Linotype" w:hAnsi="Palatino Linotype"/>
        </w:rPr>
        <w:t>el derecho de todo individuo a no ser conocido por otros en ciertos aspectos de su vida y, por ende, el poder de decisión sobre la publicidad o información de datos relativos a su persona (derecho a la intimidad), aunado al derecho a la propia imagen es el derecho de decidir, de forma libre, sobre la manera en que elige mostrarse frente a los demás.</w:t>
      </w:r>
    </w:p>
    <w:p w14:paraId="153AA7AC" w14:textId="77777777" w:rsidR="003B138A" w:rsidRPr="00FA79C9" w:rsidRDefault="003B138A" w:rsidP="00FA79C9">
      <w:pPr>
        <w:tabs>
          <w:tab w:val="left" w:pos="709"/>
        </w:tabs>
        <w:spacing w:line="360" w:lineRule="auto"/>
        <w:jc w:val="both"/>
        <w:rPr>
          <w:rFonts w:ascii="Palatino Linotype" w:hAnsi="Palatino Linotype"/>
        </w:rPr>
      </w:pPr>
    </w:p>
    <w:p w14:paraId="6EF9F487" w14:textId="22CEAF02" w:rsidR="00FA79C9" w:rsidRPr="00825EBC" w:rsidRDefault="00FE71A1" w:rsidP="00FA79C9">
      <w:pPr>
        <w:tabs>
          <w:tab w:val="left" w:pos="709"/>
        </w:tabs>
        <w:spacing w:line="360" w:lineRule="auto"/>
        <w:jc w:val="both"/>
        <w:rPr>
          <w:rFonts w:ascii="Palatino Linotype" w:hAnsi="Palatino Linotype"/>
        </w:rPr>
      </w:pPr>
      <w:r>
        <w:rPr>
          <w:rFonts w:ascii="Palatino Linotype" w:hAnsi="Palatino Linotype"/>
        </w:rPr>
        <w:t>Luego entonces se consideró,</w:t>
      </w:r>
      <w:r w:rsidR="00FA79C9" w:rsidRPr="00FA79C9">
        <w:rPr>
          <w:rFonts w:ascii="Palatino Linotype" w:hAnsi="Palatino Linotype"/>
        </w:rPr>
        <w:t xml:space="preserve"> que dar a conocer el nombre del servidor público de un procedimiento de responsabilidad administrativa no grave, constituye información confidencial que afecta su esfera privada, puesto que podría generar una percepción negativa de este, ocasionando un perjuicio en su honor, intimidad y </w:t>
      </w:r>
      <w:r w:rsidR="00FA79C9" w:rsidRPr="00FA79C9">
        <w:rPr>
          <w:rFonts w:ascii="Palatino Linotype" w:hAnsi="Palatino Linotype"/>
        </w:rPr>
        <w:lastRenderedPageBreak/>
        <w:t>buena imagen, pues como se precisó la afectación es para el propio servidor público, situación que no afecta a terceros.</w:t>
      </w:r>
    </w:p>
    <w:p w14:paraId="0A927C6B" w14:textId="77777777" w:rsidR="003F0929" w:rsidRPr="00EE3BE9" w:rsidRDefault="003F0929" w:rsidP="003F0929">
      <w:pPr>
        <w:spacing w:line="360" w:lineRule="auto"/>
        <w:jc w:val="both"/>
        <w:rPr>
          <w:rFonts w:ascii="Palatino Linotype" w:eastAsia="Palatino Linotype" w:hAnsi="Palatino Linotype" w:cs="Palatino Linotype"/>
        </w:rPr>
      </w:pPr>
    </w:p>
    <w:p w14:paraId="5050A793" w14:textId="3BCDCA3C" w:rsidR="005C4513" w:rsidRPr="00EE3BE9" w:rsidRDefault="00EE3BE9" w:rsidP="005C4513">
      <w:pPr>
        <w:pStyle w:val="Prrafodelista"/>
        <w:tabs>
          <w:tab w:val="left" w:pos="851"/>
        </w:tabs>
        <w:spacing w:line="360" w:lineRule="auto"/>
        <w:ind w:left="0" w:right="49"/>
        <w:jc w:val="both"/>
        <w:rPr>
          <w:rFonts w:ascii="Palatino Linotype" w:hAnsi="Palatino Linotype"/>
        </w:rPr>
      </w:pPr>
      <w:r w:rsidRPr="00EE3BE9">
        <w:rPr>
          <w:rFonts w:ascii="Palatino Linotype" w:hAnsi="Palatino Linotype"/>
        </w:rPr>
        <w:t>Contexto</w:t>
      </w:r>
      <w:r w:rsidR="00187962" w:rsidRPr="00EE3BE9">
        <w:rPr>
          <w:rFonts w:ascii="Palatino Linotype" w:hAnsi="Palatino Linotype"/>
        </w:rPr>
        <w:t xml:space="preserve">, </w:t>
      </w:r>
      <w:r w:rsidRPr="00EE3BE9">
        <w:rPr>
          <w:rFonts w:ascii="Palatino Linotype" w:hAnsi="Palatino Linotype"/>
        </w:rPr>
        <w:t xml:space="preserve">que </w:t>
      </w:r>
      <w:r w:rsidR="00181AA2">
        <w:rPr>
          <w:rFonts w:ascii="Palatino Linotype" w:hAnsi="Palatino Linotype"/>
        </w:rPr>
        <w:t xml:space="preserve">corresponde a un criterio mayoritario del Pleno; sin embargo para esta Ponencia Resolutora, </w:t>
      </w:r>
      <w:r w:rsidR="00187962" w:rsidRPr="00EE3BE9">
        <w:rPr>
          <w:rFonts w:ascii="Palatino Linotype" w:hAnsi="Palatino Linotype"/>
        </w:rPr>
        <w:t>n</w:t>
      </w:r>
      <w:r w:rsidR="005C4513" w:rsidRPr="00EE3BE9">
        <w:rPr>
          <w:rFonts w:ascii="Palatino Linotype" w:hAnsi="Palatino Linotype"/>
        </w:rPr>
        <w:t xml:space="preserve">o se comparte que se clasifique como reservado el  nombre del Servidor Público, en el caso de procedimientos iniciados </w:t>
      </w:r>
      <w:r w:rsidR="00187962" w:rsidRPr="00EE3BE9">
        <w:rPr>
          <w:rFonts w:ascii="Palatino Linotype" w:hAnsi="Palatino Linotype"/>
        </w:rPr>
        <w:t>con una</w:t>
      </w:r>
      <w:r w:rsidR="005C4513" w:rsidRPr="00EE3BE9">
        <w:rPr>
          <w:rFonts w:ascii="Palatino Linotype" w:hAnsi="Palatino Linotype"/>
        </w:rPr>
        <w:t xml:space="preserve"> resolución ab</w:t>
      </w:r>
      <w:r w:rsidR="00DD7ECC">
        <w:rPr>
          <w:rFonts w:ascii="Palatino Linotype" w:hAnsi="Palatino Linotype"/>
        </w:rPr>
        <w:t xml:space="preserve">solutoria, dado que  los misma no </w:t>
      </w:r>
      <w:r w:rsidR="005C4513" w:rsidRPr="00EE3BE9">
        <w:rPr>
          <w:rFonts w:ascii="Palatino Linotype" w:hAnsi="Palatino Linotype"/>
        </w:rPr>
        <w:t>supone el incu</w:t>
      </w:r>
      <w:r w:rsidR="00776D84">
        <w:rPr>
          <w:rFonts w:ascii="Palatino Linotype" w:hAnsi="Palatino Linotype"/>
        </w:rPr>
        <w:t xml:space="preserve">mplimiento a las obligaciones o </w:t>
      </w:r>
      <w:r w:rsidR="005C4513" w:rsidRPr="00EE3BE9">
        <w:rPr>
          <w:rFonts w:ascii="Palatino Linotype" w:hAnsi="Palatino Linotype"/>
        </w:rPr>
        <w:t>al régimen disciplinario de los elementos integrantes de una institución que de conformidad con nuestra Constitución deben regirse por los principios de honestidad, lealtad, probidad, legalidad y eficacia en el desempeño de sus funciones, lo anterior con base en las siguientes consideraciones:</w:t>
      </w:r>
    </w:p>
    <w:p w14:paraId="41398366" w14:textId="77777777" w:rsidR="005C4513" w:rsidRPr="00EE3BE9" w:rsidRDefault="005C4513" w:rsidP="005C4513">
      <w:pPr>
        <w:pStyle w:val="Prrafodelista"/>
        <w:rPr>
          <w:rFonts w:ascii="Palatino Linotype" w:hAnsi="Palatino Linotype" w:cs="Tahoma"/>
        </w:rPr>
      </w:pPr>
    </w:p>
    <w:p w14:paraId="0AF04681" w14:textId="66B58F6F" w:rsidR="005C4513" w:rsidRPr="00EE3BE9" w:rsidRDefault="005C4513" w:rsidP="005C4513">
      <w:pPr>
        <w:pStyle w:val="Prrafodelista"/>
        <w:spacing w:line="360" w:lineRule="auto"/>
        <w:ind w:left="0"/>
        <w:jc w:val="both"/>
        <w:rPr>
          <w:rFonts w:ascii="Palatino Linotype" w:hAnsi="Palatino Linotype" w:cs="Tahoma"/>
        </w:rPr>
      </w:pPr>
      <w:r w:rsidRPr="00EE3BE9">
        <w:rPr>
          <w:rFonts w:ascii="Palatino Linotype" w:hAnsi="Palatino Linotype" w:cs="Tahoma"/>
        </w:rPr>
        <w:t>Bajo ese criterio, a l</w:t>
      </w:r>
      <w:r w:rsidR="00962796" w:rsidRPr="00EE3BE9">
        <w:rPr>
          <w:rFonts w:ascii="Palatino Linotype" w:hAnsi="Palatino Linotype" w:cs="Tahoma"/>
        </w:rPr>
        <w:t xml:space="preserve">os servidores públicos </w:t>
      </w:r>
      <w:r w:rsidRPr="00EE3BE9">
        <w:rPr>
          <w:rFonts w:ascii="Palatino Linotype" w:hAnsi="Palatino Linotype" w:cs="Tahoma"/>
        </w:rPr>
        <w:t>le</w:t>
      </w:r>
      <w:r w:rsidR="00962796" w:rsidRPr="00EE3BE9">
        <w:rPr>
          <w:rFonts w:ascii="Palatino Linotype" w:hAnsi="Palatino Linotype" w:cs="Tahoma"/>
        </w:rPr>
        <w:t>s</w:t>
      </w:r>
      <w:r w:rsidRPr="00EE3BE9">
        <w:rPr>
          <w:rFonts w:ascii="Palatino Linotype" w:hAnsi="Palatino Linotype" w:cs="Tahoma"/>
        </w:rPr>
        <w:t xml:space="preserve"> corresponde actuar con eficiencia, eficacia y plena determinación para lograr una sociedad en la que se haga válido el Estado de Derecho, por lo que el respeto a la ley constituye un basamento angular para un pleno desarrollo, lo que además comprende que cuando se viole el marco normativo, exista una actuación diligente del Estado. </w:t>
      </w:r>
    </w:p>
    <w:p w14:paraId="25BD6301" w14:textId="77777777" w:rsidR="005C4513" w:rsidRDefault="005C4513" w:rsidP="005C4513">
      <w:pPr>
        <w:pStyle w:val="Prrafodelista"/>
        <w:spacing w:line="360" w:lineRule="auto"/>
        <w:ind w:left="0"/>
        <w:jc w:val="both"/>
        <w:rPr>
          <w:rFonts w:ascii="Palatino Linotype" w:hAnsi="Palatino Linotype" w:cs="Tahoma"/>
        </w:rPr>
      </w:pPr>
      <w:bookmarkStart w:id="1" w:name="_Toc88136406"/>
    </w:p>
    <w:p w14:paraId="52FF5E09" w14:textId="4A515C4E" w:rsidR="00EC694E" w:rsidRPr="00EC694E" w:rsidRDefault="00EC694E" w:rsidP="00EC694E">
      <w:pPr>
        <w:spacing w:line="360" w:lineRule="auto"/>
        <w:jc w:val="both"/>
        <w:rPr>
          <w:rFonts w:ascii="Palatino Linotype" w:hAnsi="Palatino Linotype" w:cs="Tahoma"/>
        </w:rPr>
      </w:pPr>
      <w:r w:rsidRPr="00EC694E">
        <w:rPr>
          <w:rFonts w:ascii="Palatino Linotype" w:hAnsi="Palatino Linotype" w:cs="Tahoma"/>
        </w:rPr>
        <w:t xml:space="preserve">Sin embargo contrario al criterio mayoritario, </w:t>
      </w:r>
      <w:r w:rsidR="00DD7ECC">
        <w:rPr>
          <w:rFonts w:ascii="Palatino Linotype" w:hAnsi="Palatino Linotype" w:cs="Tahoma"/>
        </w:rPr>
        <w:t>-</w:t>
      </w:r>
      <w:r>
        <w:rPr>
          <w:rFonts w:ascii="Palatino Linotype" w:hAnsi="Palatino Linotype" w:cs="Tahoma"/>
        </w:rPr>
        <w:t>se insiste</w:t>
      </w:r>
      <w:r w:rsidR="00DD7ECC">
        <w:rPr>
          <w:rFonts w:ascii="Palatino Linotype" w:hAnsi="Palatino Linotype" w:cs="Tahoma"/>
        </w:rPr>
        <w:t>-</w:t>
      </w:r>
      <w:r>
        <w:rPr>
          <w:rFonts w:ascii="Palatino Linotype" w:hAnsi="Palatino Linotype" w:cs="Tahoma"/>
        </w:rPr>
        <w:t xml:space="preserve"> en que </w:t>
      </w:r>
      <w:r w:rsidRPr="00EC694E">
        <w:rPr>
          <w:rFonts w:ascii="Palatino Linotype" w:hAnsi="Palatino Linotype" w:cs="Tahoma"/>
        </w:rPr>
        <w:t>no se comparte la clasificación como</w:t>
      </w:r>
      <w:r>
        <w:rPr>
          <w:rFonts w:ascii="Palatino Linotype" w:hAnsi="Palatino Linotype" w:cs="Tahoma"/>
        </w:rPr>
        <w:t xml:space="preserve"> </w:t>
      </w:r>
      <w:r w:rsidRPr="00EC694E">
        <w:rPr>
          <w:rFonts w:ascii="Palatino Linotype" w:hAnsi="Palatino Linotype" w:cs="Tahoma"/>
        </w:rPr>
        <w:t>confidencial del nombre y cargo del servidor público, ya que no se aprecia que la</w:t>
      </w:r>
      <w:r>
        <w:rPr>
          <w:rFonts w:ascii="Palatino Linotype" w:hAnsi="Palatino Linotype" w:cs="Tahoma"/>
        </w:rPr>
        <w:t xml:space="preserve"> </w:t>
      </w:r>
      <w:r w:rsidRPr="00EC694E">
        <w:rPr>
          <w:rFonts w:ascii="Palatino Linotype" w:hAnsi="Palatino Linotype" w:cs="Tahoma"/>
        </w:rPr>
        <w:t>información solicitada afecte la esfera privada del servidor público, genere una</w:t>
      </w:r>
      <w:r>
        <w:rPr>
          <w:rFonts w:ascii="Palatino Linotype" w:hAnsi="Palatino Linotype" w:cs="Tahoma"/>
        </w:rPr>
        <w:t xml:space="preserve"> </w:t>
      </w:r>
      <w:r w:rsidRPr="00EC694E">
        <w:rPr>
          <w:rFonts w:ascii="Palatino Linotype" w:hAnsi="Palatino Linotype" w:cs="Tahoma"/>
        </w:rPr>
        <w:t>percepción negativa de esta, ocasionando un perjuicio en su honor, intimidad y</w:t>
      </w:r>
      <w:r>
        <w:rPr>
          <w:rFonts w:ascii="Palatino Linotype" w:hAnsi="Palatino Linotype" w:cs="Tahoma"/>
        </w:rPr>
        <w:t xml:space="preserve"> </w:t>
      </w:r>
      <w:r w:rsidRPr="00EC694E">
        <w:rPr>
          <w:rFonts w:ascii="Palatino Linotype" w:hAnsi="Palatino Linotype" w:cs="Tahoma"/>
        </w:rPr>
        <w:t>buena imagen, o que dañe su vida privada y profesional.</w:t>
      </w:r>
    </w:p>
    <w:p w14:paraId="29C759EF" w14:textId="77777777" w:rsidR="00EC694E" w:rsidRPr="00EC694E" w:rsidRDefault="00EC694E" w:rsidP="00EC694E">
      <w:pPr>
        <w:pStyle w:val="Prrafodelista"/>
        <w:spacing w:line="360" w:lineRule="auto"/>
        <w:jc w:val="both"/>
        <w:rPr>
          <w:rFonts w:ascii="Palatino Linotype" w:hAnsi="Palatino Linotype" w:cs="Tahoma"/>
        </w:rPr>
      </w:pPr>
    </w:p>
    <w:p w14:paraId="0F768EDC" w14:textId="549DD729" w:rsidR="00EC694E" w:rsidRDefault="00EC694E" w:rsidP="00EC694E">
      <w:pPr>
        <w:spacing w:line="360" w:lineRule="auto"/>
        <w:jc w:val="both"/>
        <w:rPr>
          <w:rFonts w:ascii="Palatino Linotype" w:hAnsi="Palatino Linotype" w:cs="Tahoma"/>
        </w:rPr>
      </w:pPr>
      <w:r w:rsidRPr="00EC694E">
        <w:rPr>
          <w:rFonts w:ascii="Palatino Linotype" w:hAnsi="Palatino Linotype" w:cs="Tahoma"/>
        </w:rPr>
        <w:t>Se sostiene tal criterio, toda vez que las determinaciones en donde la conducta</w:t>
      </w:r>
      <w:r>
        <w:rPr>
          <w:rFonts w:ascii="Palatino Linotype" w:hAnsi="Palatino Linotype" w:cs="Tahoma"/>
        </w:rPr>
        <w:t xml:space="preserve"> </w:t>
      </w:r>
      <w:r w:rsidRPr="00EC694E">
        <w:rPr>
          <w:rFonts w:ascii="Palatino Linotype" w:hAnsi="Palatino Linotype" w:cs="Tahoma"/>
        </w:rPr>
        <w:t>investigada no fue contraria a derecho; en las que se logra apreciar los elementos y</w:t>
      </w:r>
      <w:r>
        <w:rPr>
          <w:rFonts w:ascii="Palatino Linotype" w:hAnsi="Palatino Linotype" w:cs="Tahoma"/>
        </w:rPr>
        <w:t xml:space="preserve"> </w:t>
      </w:r>
      <w:r w:rsidRPr="00EC694E">
        <w:rPr>
          <w:rFonts w:ascii="Palatino Linotype" w:hAnsi="Palatino Linotype" w:cs="Tahoma"/>
        </w:rPr>
        <w:t>las circunstancias que llevaron a concluir que a los servidores públicos, no les eran</w:t>
      </w:r>
      <w:r>
        <w:rPr>
          <w:rFonts w:ascii="Palatino Linotype" w:hAnsi="Palatino Linotype" w:cs="Tahoma"/>
        </w:rPr>
        <w:t xml:space="preserve"> </w:t>
      </w:r>
      <w:r w:rsidRPr="00EC694E">
        <w:rPr>
          <w:rFonts w:ascii="Palatino Linotype" w:hAnsi="Palatino Linotype" w:cs="Tahoma"/>
        </w:rPr>
        <w:t>imputables las conductas que se le atribuían, permite la rendición de cuentas del</w:t>
      </w:r>
      <w:r>
        <w:rPr>
          <w:rFonts w:ascii="Palatino Linotype" w:hAnsi="Palatino Linotype" w:cs="Tahoma"/>
        </w:rPr>
        <w:t xml:space="preserve"> </w:t>
      </w:r>
      <w:r w:rsidRPr="00EC694E">
        <w:rPr>
          <w:rFonts w:ascii="Palatino Linotype" w:hAnsi="Palatino Linotype" w:cs="Tahoma"/>
        </w:rPr>
        <w:t>servidor público, pues se podría observar, que dicho servidor público, ha cumplido</w:t>
      </w:r>
      <w:r>
        <w:rPr>
          <w:rFonts w:ascii="Palatino Linotype" w:hAnsi="Palatino Linotype" w:cs="Tahoma"/>
        </w:rPr>
        <w:t xml:space="preserve"> </w:t>
      </w:r>
      <w:r w:rsidRPr="00EC694E">
        <w:rPr>
          <w:rFonts w:ascii="Palatino Linotype" w:hAnsi="Palatino Linotype" w:cs="Tahoma"/>
        </w:rPr>
        <w:t>con sus obligaciones y no ha cometido actos irregulares y ha actuado conforme a las</w:t>
      </w:r>
      <w:r>
        <w:rPr>
          <w:rFonts w:ascii="Palatino Linotype" w:hAnsi="Palatino Linotype" w:cs="Tahoma"/>
        </w:rPr>
        <w:t xml:space="preserve"> </w:t>
      </w:r>
      <w:r w:rsidRPr="00EC694E">
        <w:rPr>
          <w:rFonts w:ascii="Palatino Linotype" w:hAnsi="Palatino Linotype" w:cs="Tahoma"/>
        </w:rPr>
        <w:t>normatividad aplicable.</w:t>
      </w:r>
    </w:p>
    <w:p w14:paraId="171AB7DC" w14:textId="77777777" w:rsidR="00EC694E" w:rsidRPr="00EC694E" w:rsidRDefault="00EC694E" w:rsidP="00EC694E">
      <w:pPr>
        <w:spacing w:line="360" w:lineRule="auto"/>
        <w:jc w:val="both"/>
        <w:rPr>
          <w:rFonts w:ascii="Palatino Linotype" w:hAnsi="Palatino Linotype" w:cs="Tahoma"/>
        </w:rPr>
      </w:pPr>
    </w:p>
    <w:p w14:paraId="6020B195" w14:textId="3C3AC7FA" w:rsidR="00EC694E" w:rsidRDefault="00EC694E" w:rsidP="00EC694E">
      <w:pPr>
        <w:spacing w:line="360" w:lineRule="auto"/>
        <w:jc w:val="both"/>
        <w:rPr>
          <w:rFonts w:ascii="Palatino Linotype" w:hAnsi="Palatino Linotype" w:cs="Tahoma"/>
        </w:rPr>
      </w:pPr>
      <w:r w:rsidRPr="00EC694E">
        <w:rPr>
          <w:rFonts w:ascii="Palatino Linotype" w:hAnsi="Palatino Linotype" w:cs="Tahoma"/>
        </w:rPr>
        <w:t>Lo anterior tomando en consideración la trascendencia de las conductas</w:t>
      </w:r>
      <w:r>
        <w:rPr>
          <w:rFonts w:ascii="Palatino Linotype" w:hAnsi="Palatino Linotype" w:cs="Tahoma"/>
        </w:rPr>
        <w:t xml:space="preserve"> </w:t>
      </w:r>
      <w:r w:rsidRPr="00EC694E">
        <w:rPr>
          <w:rFonts w:ascii="Palatino Linotype" w:hAnsi="Palatino Linotype" w:cs="Tahoma"/>
        </w:rPr>
        <w:t>investigadas en tales procedimientos, toda vez que resultan relevantes por su</w:t>
      </w:r>
      <w:r>
        <w:rPr>
          <w:rFonts w:ascii="Palatino Linotype" w:hAnsi="Palatino Linotype" w:cs="Tahoma"/>
        </w:rPr>
        <w:t xml:space="preserve">  </w:t>
      </w:r>
      <w:r w:rsidRPr="00EC694E">
        <w:rPr>
          <w:rFonts w:ascii="Palatino Linotype" w:hAnsi="Palatino Linotype" w:cs="Tahoma"/>
        </w:rPr>
        <w:t>impacto social o consecuencias jurídicas ya que de conformidad con lo establecido</w:t>
      </w:r>
      <w:r>
        <w:rPr>
          <w:rFonts w:ascii="Palatino Linotype" w:hAnsi="Palatino Linotype" w:cs="Tahoma"/>
        </w:rPr>
        <w:t xml:space="preserve">  </w:t>
      </w:r>
      <w:r w:rsidRPr="00EC694E">
        <w:rPr>
          <w:rFonts w:ascii="Palatino Linotype" w:hAnsi="Palatino Linotype" w:cs="Tahoma"/>
        </w:rPr>
        <w:t>por el artículo 52 de la Ley de Responsabilidades Administrativas del Estado de</w:t>
      </w:r>
      <w:r>
        <w:rPr>
          <w:rFonts w:ascii="Palatino Linotype" w:hAnsi="Palatino Linotype" w:cs="Tahoma"/>
        </w:rPr>
        <w:t xml:space="preserve">  </w:t>
      </w:r>
      <w:r w:rsidRPr="00EC694E">
        <w:rPr>
          <w:rFonts w:ascii="Palatino Linotype" w:hAnsi="Palatino Linotype" w:cs="Tahoma"/>
        </w:rPr>
        <w:t>México y Municipios se consideran faltas administrativas graves de los servidores</w:t>
      </w:r>
      <w:r>
        <w:rPr>
          <w:rFonts w:ascii="Palatino Linotype" w:hAnsi="Palatino Linotype" w:cs="Tahoma"/>
        </w:rPr>
        <w:t xml:space="preserve"> </w:t>
      </w:r>
      <w:r w:rsidRPr="00EC694E">
        <w:rPr>
          <w:rFonts w:ascii="Palatino Linotype" w:hAnsi="Palatino Linotype" w:cs="Tahoma"/>
        </w:rPr>
        <w:t>públicos, mediante cualquier acto u omisión, las siguientes: el cohecho, peculado,</w:t>
      </w:r>
      <w:r>
        <w:rPr>
          <w:rFonts w:ascii="Palatino Linotype" w:hAnsi="Palatino Linotype" w:cs="Tahoma"/>
        </w:rPr>
        <w:t xml:space="preserve"> </w:t>
      </w:r>
      <w:r w:rsidRPr="00EC694E">
        <w:rPr>
          <w:rFonts w:ascii="Palatino Linotype" w:hAnsi="Palatino Linotype" w:cs="Tahoma"/>
        </w:rPr>
        <w:t>desvío de recursos públicos, utilización indebida de información, abuso de</w:t>
      </w:r>
      <w:r>
        <w:rPr>
          <w:rFonts w:ascii="Palatino Linotype" w:hAnsi="Palatino Linotype" w:cs="Tahoma"/>
        </w:rPr>
        <w:t xml:space="preserve"> </w:t>
      </w:r>
      <w:r w:rsidRPr="00EC694E">
        <w:rPr>
          <w:rFonts w:ascii="Palatino Linotype" w:hAnsi="Palatino Linotype" w:cs="Tahoma"/>
        </w:rPr>
        <w:t>funciones, cometer o tolerar conductas de hostigamiento y acoso sexual, actuar bajo</w:t>
      </w:r>
      <w:r>
        <w:rPr>
          <w:rFonts w:ascii="Palatino Linotype" w:hAnsi="Palatino Linotype" w:cs="Tahoma"/>
        </w:rPr>
        <w:t xml:space="preserve"> </w:t>
      </w:r>
      <w:r w:rsidRPr="00EC694E">
        <w:rPr>
          <w:rFonts w:ascii="Palatino Linotype" w:hAnsi="Palatino Linotype" w:cs="Tahoma"/>
        </w:rPr>
        <w:t>conflicto de interés, contratación indebida, enriquecimiento oculto u ocultamiento</w:t>
      </w:r>
      <w:r>
        <w:rPr>
          <w:rFonts w:ascii="Palatino Linotype" w:hAnsi="Palatino Linotype" w:cs="Tahoma"/>
        </w:rPr>
        <w:t xml:space="preserve"> </w:t>
      </w:r>
      <w:r w:rsidRPr="00EC694E">
        <w:rPr>
          <w:rFonts w:ascii="Palatino Linotype" w:hAnsi="Palatino Linotype" w:cs="Tahoma"/>
        </w:rPr>
        <w:t>de conflicto de interés, tráfico de influencias, encubrimiento, desacato, obstrucción</w:t>
      </w:r>
      <w:r>
        <w:rPr>
          <w:rFonts w:ascii="Palatino Linotype" w:hAnsi="Palatino Linotype" w:cs="Tahoma"/>
        </w:rPr>
        <w:t xml:space="preserve"> </w:t>
      </w:r>
      <w:r w:rsidRPr="00EC694E">
        <w:rPr>
          <w:rFonts w:ascii="Palatino Linotype" w:hAnsi="Palatino Linotype" w:cs="Tahoma"/>
        </w:rPr>
        <w:t>de la Justicia.</w:t>
      </w:r>
    </w:p>
    <w:p w14:paraId="60D4313E" w14:textId="77777777" w:rsidR="00181AA2" w:rsidRDefault="00181AA2" w:rsidP="00EC694E">
      <w:pPr>
        <w:spacing w:line="360" w:lineRule="auto"/>
        <w:jc w:val="both"/>
        <w:rPr>
          <w:rFonts w:ascii="Palatino Linotype" w:hAnsi="Palatino Linotype" w:cs="Tahoma"/>
        </w:rPr>
      </w:pPr>
    </w:p>
    <w:p w14:paraId="098152B0" w14:textId="071C7291" w:rsidR="00EC694E" w:rsidRPr="00EC694E" w:rsidRDefault="00EC694E" w:rsidP="00EC694E">
      <w:pPr>
        <w:spacing w:line="360" w:lineRule="auto"/>
        <w:jc w:val="both"/>
        <w:rPr>
          <w:rFonts w:ascii="Palatino Linotype" w:hAnsi="Palatino Linotype" w:cs="Tahoma"/>
        </w:rPr>
      </w:pPr>
      <w:r w:rsidRPr="00EC694E">
        <w:rPr>
          <w:rFonts w:ascii="Palatino Linotype" w:hAnsi="Palatino Linotype" w:cs="Tahoma"/>
        </w:rPr>
        <w:t>Es de hacer notar que varias de las anteriores conductas se encuentran previstas en</w:t>
      </w:r>
      <w:r>
        <w:rPr>
          <w:rFonts w:ascii="Palatino Linotype" w:hAnsi="Palatino Linotype" w:cs="Tahoma"/>
        </w:rPr>
        <w:t xml:space="preserve"> </w:t>
      </w:r>
      <w:r w:rsidRPr="00EC694E">
        <w:rPr>
          <w:rFonts w:ascii="Palatino Linotype" w:hAnsi="Palatino Linotype" w:cs="Tahoma"/>
        </w:rPr>
        <w:t>la Convención de las Naciones Unidas Contra la Corrupción, y que de la misma</w:t>
      </w:r>
      <w:r>
        <w:rPr>
          <w:rFonts w:ascii="Palatino Linotype" w:hAnsi="Palatino Linotype" w:cs="Tahoma"/>
        </w:rPr>
        <w:t xml:space="preserve"> </w:t>
      </w:r>
      <w:r w:rsidRPr="00EC694E">
        <w:rPr>
          <w:rFonts w:ascii="Palatino Linotype" w:hAnsi="Palatino Linotype" w:cs="Tahoma"/>
        </w:rPr>
        <w:lastRenderedPageBreak/>
        <w:t>manera se tratan de delitos en materia de corrupción, los cuales se encuentran reglamentados por el Título Décimo del Código Penal Federal, y que van del</w:t>
      </w:r>
      <w:r>
        <w:rPr>
          <w:rFonts w:ascii="Palatino Linotype" w:hAnsi="Palatino Linotype" w:cs="Tahoma"/>
        </w:rPr>
        <w:t xml:space="preserve"> </w:t>
      </w:r>
      <w:r w:rsidRPr="00EC694E">
        <w:rPr>
          <w:rFonts w:ascii="Palatino Linotype" w:hAnsi="Palatino Linotype" w:cs="Tahoma"/>
        </w:rPr>
        <w:t>artículo 212 al artículo 224.</w:t>
      </w:r>
    </w:p>
    <w:p w14:paraId="414DDD57" w14:textId="77777777" w:rsidR="00EC694E" w:rsidRPr="00EC694E" w:rsidRDefault="00EC694E" w:rsidP="00EC694E">
      <w:pPr>
        <w:pStyle w:val="Prrafodelista"/>
        <w:spacing w:line="360" w:lineRule="auto"/>
        <w:jc w:val="both"/>
        <w:rPr>
          <w:rFonts w:ascii="Palatino Linotype" w:hAnsi="Palatino Linotype" w:cs="Tahoma"/>
        </w:rPr>
      </w:pPr>
    </w:p>
    <w:p w14:paraId="70F265A8" w14:textId="1C498A92" w:rsidR="00EC694E" w:rsidRDefault="00EC694E" w:rsidP="00EC694E">
      <w:pPr>
        <w:spacing w:line="360" w:lineRule="auto"/>
        <w:jc w:val="both"/>
        <w:rPr>
          <w:rFonts w:ascii="Palatino Linotype" w:hAnsi="Palatino Linotype" w:cs="Tahoma"/>
        </w:rPr>
      </w:pPr>
      <w:r w:rsidRPr="00EC694E">
        <w:rPr>
          <w:rFonts w:ascii="Palatino Linotype" w:hAnsi="Palatino Linotype" w:cs="Tahoma"/>
        </w:rPr>
        <w:t>La palabra “</w:t>
      </w:r>
      <w:r w:rsidRPr="003B138A">
        <w:rPr>
          <w:rFonts w:ascii="Palatino Linotype" w:hAnsi="Palatino Linotype" w:cs="Tahoma"/>
          <w:i/>
        </w:rPr>
        <w:t>corrupción</w:t>
      </w:r>
      <w:r w:rsidRPr="00EC694E">
        <w:rPr>
          <w:rFonts w:ascii="Palatino Linotype" w:hAnsi="Palatino Linotype" w:cs="Tahoma"/>
        </w:rPr>
        <w:t>” es definida por la Real Academia Española como la “acción</w:t>
      </w:r>
      <w:r>
        <w:rPr>
          <w:rFonts w:ascii="Palatino Linotype" w:hAnsi="Palatino Linotype" w:cs="Tahoma"/>
        </w:rPr>
        <w:t xml:space="preserve"> </w:t>
      </w:r>
      <w:r w:rsidRPr="00EC694E">
        <w:rPr>
          <w:rFonts w:ascii="Palatino Linotype" w:hAnsi="Palatino Linotype" w:cs="Tahoma"/>
        </w:rPr>
        <w:t>y efecto de corromper o corromperse”, o, para los efectos que nos interesan: “en las</w:t>
      </w:r>
      <w:r>
        <w:rPr>
          <w:rFonts w:ascii="Palatino Linotype" w:hAnsi="Palatino Linotype" w:cs="Tahoma"/>
        </w:rPr>
        <w:t xml:space="preserve"> </w:t>
      </w:r>
      <w:r w:rsidRPr="00EC694E">
        <w:rPr>
          <w:rFonts w:ascii="Palatino Linotype" w:hAnsi="Palatino Linotype" w:cs="Tahoma"/>
        </w:rPr>
        <w:t>organizaciones, especialmente en las públicas, práctica consistente en la utilización</w:t>
      </w:r>
      <w:r>
        <w:rPr>
          <w:rFonts w:ascii="Palatino Linotype" w:hAnsi="Palatino Linotype" w:cs="Tahoma"/>
        </w:rPr>
        <w:t xml:space="preserve"> </w:t>
      </w:r>
      <w:r w:rsidRPr="00EC694E">
        <w:rPr>
          <w:rFonts w:ascii="Palatino Linotype" w:hAnsi="Palatino Linotype" w:cs="Tahoma"/>
        </w:rPr>
        <w:t>de las funciones y medios de aquellas en provecho, económico o de otra índole, de</w:t>
      </w:r>
      <w:r>
        <w:rPr>
          <w:rFonts w:ascii="Palatino Linotype" w:hAnsi="Palatino Linotype" w:cs="Tahoma"/>
        </w:rPr>
        <w:t xml:space="preserve"> </w:t>
      </w:r>
      <w:r w:rsidRPr="00EC694E">
        <w:rPr>
          <w:rFonts w:ascii="Palatino Linotype" w:hAnsi="Palatino Linotype" w:cs="Tahoma"/>
        </w:rPr>
        <w:t>sus gestores”. Esto es, de acuerdo con la Academia Española, los actos de corrupción</w:t>
      </w:r>
      <w:r>
        <w:rPr>
          <w:rFonts w:ascii="Palatino Linotype" w:hAnsi="Palatino Linotype" w:cs="Tahoma"/>
        </w:rPr>
        <w:t xml:space="preserve"> </w:t>
      </w:r>
      <w:r w:rsidRPr="00EC694E">
        <w:rPr>
          <w:rFonts w:ascii="Palatino Linotype" w:hAnsi="Palatino Linotype" w:cs="Tahoma"/>
        </w:rPr>
        <w:t>implican un provecho de cualquier índole por parte de una persona en una</w:t>
      </w:r>
      <w:r>
        <w:rPr>
          <w:rFonts w:ascii="Palatino Linotype" w:hAnsi="Palatino Linotype" w:cs="Tahoma"/>
        </w:rPr>
        <w:t xml:space="preserve"> </w:t>
      </w:r>
      <w:r w:rsidRPr="00EC694E">
        <w:rPr>
          <w:rFonts w:ascii="Palatino Linotype" w:hAnsi="Palatino Linotype" w:cs="Tahoma"/>
        </w:rPr>
        <w:t>organización que abuse de sus funciones.</w:t>
      </w:r>
    </w:p>
    <w:p w14:paraId="21C61B57" w14:textId="77777777" w:rsidR="00EC694E" w:rsidRPr="00EC694E" w:rsidRDefault="00EC694E" w:rsidP="00EC694E">
      <w:pPr>
        <w:spacing w:line="360" w:lineRule="auto"/>
        <w:jc w:val="both"/>
        <w:rPr>
          <w:rFonts w:ascii="Palatino Linotype" w:hAnsi="Palatino Linotype" w:cs="Tahoma"/>
        </w:rPr>
      </w:pPr>
    </w:p>
    <w:p w14:paraId="4DF25273" w14:textId="274C8241" w:rsidR="00EC694E" w:rsidRPr="00EC694E" w:rsidRDefault="00EC694E" w:rsidP="00EC694E">
      <w:pPr>
        <w:spacing w:line="360" w:lineRule="auto"/>
        <w:jc w:val="both"/>
        <w:rPr>
          <w:rFonts w:ascii="Palatino Linotype" w:hAnsi="Palatino Linotype" w:cs="Tahoma"/>
        </w:rPr>
      </w:pPr>
      <w:r w:rsidRPr="00EC694E">
        <w:rPr>
          <w:rFonts w:ascii="Palatino Linotype" w:hAnsi="Palatino Linotype" w:cs="Tahoma"/>
        </w:rPr>
        <w:t>En nuestro país, la corrupción es vista por los ciudadanos como uno de los</w:t>
      </w:r>
      <w:r>
        <w:rPr>
          <w:rFonts w:ascii="Palatino Linotype" w:hAnsi="Palatino Linotype" w:cs="Tahoma"/>
        </w:rPr>
        <w:t xml:space="preserve"> </w:t>
      </w:r>
      <w:r w:rsidRPr="00EC694E">
        <w:rPr>
          <w:rFonts w:ascii="Palatino Linotype" w:hAnsi="Palatino Linotype" w:cs="Tahoma"/>
        </w:rPr>
        <w:t>problemas más grandes.</w:t>
      </w:r>
      <w:r w:rsidR="00DD7ECC">
        <w:rPr>
          <w:rFonts w:ascii="Palatino Linotype" w:hAnsi="Palatino Linotype" w:cs="Tahoma"/>
        </w:rPr>
        <w:t xml:space="preserve"> </w:t>
      </w:r>
      <w:r w:rsidRPr="00EC694E">
        <w:rPr>
          <w:rFonts w:ascii="Palatino Linotype" w:hAnsi="Palatino Linotype" w:cs="Tahoma"/>
        </w:rPr>
        <w:t>De acuerdo con el Instituto Nacional de Estadística y Geografía (INEGI), la</w:t>
      </w:r>
      <w:r>
        <w:rPr>
          <w:rFonts w:ascii="Palatino Linotype" w:hAnsi="Palatino Linotype" w:cs="Tahoma"/>
        </w:rPr>
        <w:t xml:space="preserve"> </w:t>
      </w:r>
      <w:r w:rsidRPr="00EC694E">
        <w:rPr>
          <w:rFonts w:ascii="Palatino Linotype" w:hAnsi="Palatino Linotype" w:cs="Tahoma"/>
        </w:rPr>
        <w:t>corrupción está catalogada por la población como el segundo problema que más les</w:t>
      </w:r>
      <w:r>
        <w:rPr>
          <w:rFonts w:ascii="Palatino Linotype" w:hAnsi="Palatino Linotype" w:cs="Tahoma"/>
        </w:rPr>
        <w:t xml:space="preserve"> </w:t>
      </w:r>
      <w:r w:rsidRPr="00EC694E">
        <w:rPr>
          <w:rFonts w:ascii="Palatino Linotype" w:hAnsi="Palatino Linotype" w:cs="Tahoma"/>
        </w:rPr>
        <w:t>preocupa. En el 2015, 9 de cada 10 personas mayores de 18 años consideró que la</w:t>
      </w:r>
      <w:r>
        <w:rPr>
          <w:rFonts w:ascii="Palatino Linotype" w:hAnsi="Palatino Linotype" w:cs="Tahoma"/>
        </w:rPr>
        <w:t xml:space="preserve"> </w:t>
      </w:r>
      <w:r w:rsidRPr="00EC694E">
        <w:rPr>
          <w:rFonts w:ascii="Palatino Linotype" w:hAnsi="Palatino Linotype" w:cs="Tahoma"/>
        </w:rPr>
        <w:t>corrupción se puede observar frecuentemente en los partidos políticos y en la</w:t>
      </w:r>
      <w:r>
        <w:rPr>
          <w:rFonts w:ascii="Palatino Linotype" w:hAnsi="Palatino Linotype" w:cs="Tahoma"/>
        </w:rPr>
        <w:t xml:space="preserve"> </w:t>
      </w:r>
      <w:r w:rsidRPr="00EC694E">
        <w:rPr>
          <w:rFonts w:ascii="Palatino Linotype" w:hAnsi="Palatino Linotype" w:cs="Tahoma"/>
        </w:rPr>
        <w:t>policía, y el 12.6% de las personas que tuvieron que realizar algún trámite del</w:t>
      </w:r>
      <w:r>
        <w:rPr>
          <w:rFonts w:ascii="Palatino Linotype" w:hAnsi="Palatino Linotype" w:cs="Tahoma"/>
        </w:rPr>
        <w:t xml:space="preserve"> </w:t>
      </w:r>
      <w:r w:rsidRPr="00EC694E">
        <w:rPr>
          <w:rFonts w:ascii="Palatino Linotype" w:hAnsi="Palatino Linotype" w:cs="Tahoma"/>
        </w:rPr>
        <w:t>gobierno, consideran que fueron víctimas de algún acto de corrupción.</w:t>
      </w:r>
    </w:p>
    <w:p w14:paraId="7E8B8634" w14:textId="77777777" w:rsidR="00EC694E" w:rsidRDefault="00EC694E" w:rsidP="00EC694E">
      <w:pPr>
        <w:spacing w:line="360" w:lineRule="auto"/>
        <w:jc w:val="both"/>
        <w:rPr>
          <w:rFonts w:ascii="Palatino Linotype" w:hAnsi="Palatino Linotype" w:cs="Tahoma"/>
        </w:rPr>
      </w:pPr>
    </w:p>
    <w:p w14:paraId="2E77A01D" w14:textId="609054A2" w:rsidR="00EC694E" w:rsidRDefault="00EC694E" w:rsidP="00EC694E">
      <w:pPr>
        <w:spacing w:line="360" w:lineRule="auto"/>
        <w:jc w:val="both"/>
        <w:rPr>
          <w:rFonts w:ascii="Palatino Linotype" w:hAnsi="Palatino Linotype" w:cs="Tahoma"/>
        </w:rPr>
      </w:pPr>
      <w:r w:rsidRPr="00EC694E">
        <w:rPr>
          <w:rFonts w:ascii="Palatino Linotype" w:hAnsi="Palatino Linotype" w:cs="Tahoma"/>
        </w:rPr>
        <w:t>Esto es, la población considera que la corrupción se da en todos los niveles de</w:t>
      </w:r>
      <w:r>
        <w:rPr>
          <w:rFonts w:ascii="Palatino Linotype" w:hAnsi="Palatino Linotype" w:cs="Tahoma"/>
        </w:rPr>
        <w:t xml:space="preserve"> </w:t>
      </w:r>
      <w:r w:rsidRPr="00EC694E">
        <w:rPr>
          <w:rFonts w:ascii="Palatino Linotype" w:hAnsi="Palatino Linotype" w:cs="Tahoma"/>
        </w:rPr>
        <w:t>gobierno, y que es un problema que México tiene en gran medida, a tal grado, que</w:t>
      </w:r>
      <w:r>
        <w:rPr>
          <w:rFonts w:ascii="Palatino Linotype" w:hAnsi="Palatino Linotype" w:cs="Tahoma"/>
        </w:rPr>
        <w:t xml:space="preserve"> </w:t>
      </w:r>
      <w:r w:rsidRPr="00EC694E">
        <w:rPr>
          <w:rFonts w:ascii="Palatino Linotype" w:hAnsi="Palatino Linotype" w:cs="Tahoma"/>
        </w:rPr>
        <w:t>la gente, después de la delincuencia organizada, lo identifica como el problema más</w:t>
      </w:r>
      <w:r>
        <w:rPr>
          <w:rFonts w:ascii="Palatino Linotype" w:hAnsi="Palatino Linotype" w:cs="Tahoma"/>
        </w:rPr>
        <w:t xml:space="preserve"> </w:t>
      </w:r>
      <w:r w:rsidRPr="00EC694E">
        <w:rPr>
          <w:rFonts w:ascii="Palatino Linotype" w:hAnsi="Palatino Linotype" w:cs="Tahoma"/>
        </w:rPr>
        <w:lastRenderedPageBreak/>
        <w:t>grande que tenemos, con el 50.9% de la población señalándolo como tal. Es</w:t>
      </w:r>
      <w:r>
        <w:rPr>
          <w:rFonts w:ascii="Palatino Linotype" w:hAnsi="Palatino Linotype" w:cs="Tahoma"/>
        </w:rPr>
        <w:t xml:space="preserve"> </w:t>
      </w:r>
      <w:r w:rsidRPr="00EC694E">
        <w:rPr>
          <w:rFonts w:ascii="Palatino Linotype" w:hAnsi="Palatino Linotype" w:cs="Tahoma"/>
        </w:rPr>
        <w:t>importante también tomar en cuenta que, desde el 2011, la percepción del mal</w:t>
      </w:r>
      <w:r>
        <w:rPr>
          <w:rFonts w:ascii="Palatino Linotype" w:hAnsi="Palatino Linotype" w:cs="Tahoma"/>
        </w:rPr>
        <w:t xml:space="preserve"> </w:t>
      </w:r>
      <w:r w:rsidRPr="00EC694E">
        <w:rPr>
          <w:rFonts w:ascii="Palatino Linotype" w:hAnsi="Palatino Linotype" w:cs="Tahoma"/>
        </w:rPr>
        <w:t>desempeño del gobierno ha crecido lo cual se puede decir viene de la mano con la</w:t>
      </w:r>
      <w:r>
        <w:rPr>
          <w:rFonts w:ascii="Palatino Linotype" w:hAnsi="Palatino Linotype" w:cs="Tahoma"/>
        </w:rPr>
        <w:t xml:space="preserve"> corrupción.</w:t>
      </w:r>
    </w:p>
    <w:p w14:paraId="55627309" w14:textId="77777777" w:rsidR="002E09FD" w:rsidRPr="00EC694E" w:rsidRDefault="002E09FD" w:rsidP="00EC694E">
      <w:pPr>
        <w:spacing w:line="360" w:lineRule="auto"/>
        <w:jc w:val="both"/>
        <w:rPr>
          <w:rFonts w:ascii="Palatino Linotype" w:hAnsi="Palatino Linotype" w:cs="Tahoma"/>
        </w:rPr>
      </w:pPr>
    </w:p>
    <w:p w14:paraId="40574663" w14:textId="760EDEB4" w:rsidR="00EC694E" w:rsidRPr="00EC694E" w:rsidRDefault="00EC694E" w:rsidP="00EC694E">
      <w:pPr>
        <w:spacing w:line="360" w:lineRule="auto"/>
        <w:jc w:val="both"/>
        <w:rPr>
          <w:rFonts w:ascii="Palatino Linotype" w:hAnsi="Palatino Linotype" w:cs="Tahoma"/>
        </w:rPr>
      </w:pPr>
      <w:r w:rsidRPr="00EC694E">
        <w:rPr>
          <w:rFonts w:ascii="Palatino Linotype" w:hAnsi="Palatino Linotype" w:cs="Tahoma"/>
        </w:rPr>
        <w:t>Y no solo eso, sino que la corrupción afecta también el sector económico del país. De</w:t>
      </w:r>
      <w:r>
        <w:rPr>
          <w:rFonts w:ascii="Palatino Linotype" w:hAnsi="Palatino Linotype" w:cs="Tahoma"/>
        </w:rPr>
        <w:t xml:space="preserve"> </w:t>
      </w:r>
      <w:r w:rsidRPr="00EC694E">
        <w:rPr>
          <w:rFonts w:ascii="Palatino Linotype" w:hAnsi="Palatino Linotype" w:cs="Tahoma"/>
        </w:rPr>
        <w:t>acuerdo con el Estudio de la OCDE sobre Integridad en México, el Instituto</w:t>
      </w:r>
      <w:r>
        <w:rPr>
          <w:rFonts w:ascii="Palatino Linotype" w:hAnsi="Palatino Linotype" w:cs="Tahoma"/>
        </w:rPr>
        <w:t xml:space="preserve"> </w:t>
      </w:r>
      <w:r w:rsidRPr="00EC694E">
        <w:rPr>
          <w:rFonts w:ascii="Palatino Linotype" w:hAnsi="Palatino Linotype" w:cs="Tahoma"/>
        </w:rPr>
        <w:t>Mexicano para la Competitividad (IMCO), estima que el 5% del Producto Interno</w:t>
      </w:r>
      <w:r>
        <w:rPr>
          <w:rFonts w:ascii="Palatino Linotype" w:hAnsi="Palatino Linotype" w:cs="Tahoma"/>
        </w:rPr>
        <w:t xml:space="preserve"> </w:t>
      </w:r>
      <w:r w:rsidRPr="00EC694E">
        <w:rPr>
          <w:rFonts w:ascii="Palatino Linotype" w:hAnsi="Palatino Linotype" w:cs="Tahoma"/>
        </w:rPr>
        <w:t>Bruto de</w:t>
      </w:r>
      <w:r>
        <w:rPr>
          <w:rFonts w:ascii="Palatino Linotype" w:hAnsi="Palatino Linotype" w:cs="Tahoma"/>
        </w:rPr>
        <w:t>l país se pierde por corrupción</w:t>
      </w:r>
      <w:r w:rsidRPr="00EC694E">
        <w:rPr>
          <w:rFonts w:ascii="Palatino Linotype" w:hAnsi="Palatino Linotype" w:cs="Tahoma"/>
        </w:rPr>
        <w:t>.</w:t>
      </w:r>
    </w:p>
    <w:p w14:paraId="2FDC4E8F" w14:textId="77777777" w:rsidR="00EC694E" w:rsidRDefault="00EC694E" w:rsidP="00EC694E">
      <w:pPr>
        <w:spacing w:line="360" w:lineRule="auto"/>
        <w:jc w:val="both"/>
        <w:rPr>
          <w:rFonts w:ascii="Palatino Linotype" w:hAnsi="Palatino Linotype" w:cs="Tahoma"/>
        </w:rPr>
      </w:pPr>
    </w:p>
    <w:p w14:paraId="0FEA709D" w14:textId="269D72AF" w:rsidR="00EC694E" w:rsidRPr="00EC694E" w:rsidRDefault="00EC694E" w:rsidP="00EC694E">
      <w:pPr>
        <w:spacing w:line="360" w:lineRule="auto"/>
        <w:jc w:val="both"/>
        <w:rPr>
          <w:rFonts w:ascii="Palatino Linotype" w:hAnsi="Palatino Linotype" w:cs="Tahoma"/>
        </w:rPr>
      </w:pPr>
      <w:r w:rsidRPr="00EC694E">
        <w:rPr>
          <w:rFonts w:ascii="Palatino Linotype" w:hAnsi="Palatino Linotype" w:cs="Tahoma"/>
        </w:rPr>
        <w:t>En los últimos años, el índice de percepción de la corrupción en nuestro país ha ido</w:t>
      </w:r>
      <w:r>
        <w:rPr>
          <w:rFonts w:ascii="Palatino Linotype" w:hAnsi="Palatino Linotype" w:cs="Tahoma"/>
        </w:rPr>
        <w:t xml:space="preserve"> </w:t>
      </w:r>
      <w:r w:rsidRPr="00EC694E">
        <w:rPr>
          <w:rFonts w:ascii="Palatino Linotype" w:hAnsi="Palatino Linotype" w:cs="Tahoma"/>
        </w:rPr>
        <w:t>empeorando, yendo desde 34 en el 2012, a 31 en el 2015, y 29 en el 20175.</w:t>
      </w:r>
      <w:r>
        <w:rPr>
          <w:rFonts w:ascii="Palatino Linotype" w:hAnsi="Palatino Linotype" w:cs="Tahoma"/>
        </w:rPr>
        <w:t xml:space="preserve"> </w:t>
      </w:r>
      <w:r w:rsidRPr="00EC694E">
        <w:rPr>
          <w:rFonts w:ascii="Palatino Linotype" w:hAnsi="Palatino Linotype" w:cs="Tahoma"/>
        </w:rPr>
        <w:t>Como consecuencia de todo lo anterior, el 27 de mayo del 2015 se publicó en el Diario</w:t>
      </w:r>
      <w:r>
        <w:rPr>
          <w:rFonts w:ascii="Palatino Linotype" w:hAnsi="Palatino Linotype" w:cs="Tahoma"/>
        </w:rPr>
        <w:t xml:space="preserve"> </w:t>
      </w:r>
      <w:r w:rsidRPr="00EC694E">
        <w:rPr>
          <w:rFonts w:ascii="Palatino Linotype" w:hAnsi="Palatino Linotype" w:cs="Tahoma"/>
        </w:rPr>
        <w:t>Oficial de la Federación una reforma constitucional en la que se buscó hacer modificaciones en diversos ámbitos del país, con la finalidad de combatir la</w:t>
      </w:r>
      <w:r>
        <w:rPr>
          <w:rFonts w:ascii="Palatino Linotype" w:hAnsi="Palatino Linotype" w:cs="Tahoma"/>
        </w:rPr>
        <w:t xml:space="preserve"> </w:t>
      </w:r>
      <w:r w:rsidRPr="00EC694E">
        <w:rPr>
          <w:rFonts w:ascii="Palatino Linotype" w:hAnsi="Palatino Linotype" w:cs="Tahoma"/>
        </w:rPr>
        <w:t>corrupción. Ahora, en México, existe un Sistema Nacional Anticorrupción que busca</w:t>
      </w:r>
      <w:r>
        <w:rPr>
          <w:rFonts w:ascii="Palatino Linotype" w:hAnsi="Palatino Linotype" w:cs="Tahoma"/>
        </w:rPr>
        <w:t xml:space="preserve"> </w:t>
      </w:r>
      <w:r w:rsidRPr="00EC694E">
        <w:rPr>
          <w:rFonts w:ascii="Palatino Linotype" w:hAnsi="Palatino Linotype" w:cs="Tahoma"/>
        </w:rPr>
        <w:t>erradicar y prevenir estos actos que, como todos sabemos, se dan en una gran</w:t>
      </w:r>
      <w:r>
        <w:rPr>
          <w:rFonts w:ascii="Palatino Linotype" w:hAnsi="Palatino Linotype" w:cs="Tahoma"/>
        </w:rPr>
        <w:t xml:space="preserve"> </w:t>
      </w:r>
      <w:r w:rsidRPr="00EC694E">
        <w:rPr>
          <w:rFonts w:ascii="Palatino Linotype" w:hAnsi="Palatino Linotype" w:cs="Tahoma"/>
        </w:rPr>
        <w:t>medida en todos los niveles de gobierno.</w:t>
      </w:r>
    </w:p>
    <w:p w14:paraId="4EF422B9" w14:textId="77777777" w:rsidR="00EC694E" w:rsidRDefault="00EC694E" w:rsidP="00EC694E">
      <w:pPr>
        <w:spacing w:line="360" w:lineRule="auto"/>
        <w:jc w:val="both"/>
        <w:rPr>
          <w:rFonts w:ascii="Palatino Linotype" w:hAnsi="Palatino Linotype" w:cs="Tahoma"/>
        </w:rPr>
      </w:pPr>
    </w:p>
    <w:p w14:paraId="1F9E0B86" w14:textId="08F01063" w:rsidR="00EC694E" w:rsidRPr="00EC694E" w:rsidRDefault="00EC694E" w:rsidP="00EC694E">
      <w:pPr>
        <w:spacing w:line="360" w:lineRule="auto"/>
        <w:jc w:val="both"/>
        <w:rPr>
          <w:rFonts w:ascii="Palatino Linotype" w:hAnsi="Palatino Linotype" w:cs="Tahoma"/>
        </w:rPr>
      </w:pPr>
      <w:r w:rsidRPr="00EC694E">
        <w:rPr>
          <w:rFonts w:ascii="Palatino Linotype" w:hAnsi="Palatino Linotype" w:cs="Tahoma"/>
        </w:rPr>
        <w:t>Además, proporcionar dicha información, no genera una afectación a su honor,</w:t>
      </w:r>
      <w:r>
        <w:rPr>
          <w:rFonts w:ascii="Palatino Linotype" w:hAnsi="Palatino Linotype" w:cs="Tahoma"/>
        </w:rPr>
        <w:t xml:space="preserve"> </w:t>
      </w:r>
      <w:r w:rsidRPr="00EC694E">
        <w:rPr>
          <w:rFonts w:ascii="Palatino Linotype" w:hAnsi="Palatino Linotype" w:cs="Tahoma"/>
        </w:rPr>
        <w:t>intimidad o buena imagen, pues contrario a esto, a través de la resolución, es posible</w:t>
      </w:r>
      <w:r>
        <w:rPr>
          <w:rFonts w:ascii="Palatino Linotype" w:hAnsi="Palatino Linotype" w:cs="Tahoma"/>
        </w:rPr>
        <w:t xml:space="preserve"> </w:t>
      </w:r>
      <w:r w:rsidRPr="00EC694E">
        <w:rPr>
          <w:rFonts w:ascii="Palatino Linotype" w:hAnsi="Palatino Linotype" w:cs="Tahoma"/>
        </w:rPr>
        <w:t>conocer que la actuación del servidor público, fue apegada a la normatividad</w:t>
      </w:r>
      <w:r>
        <w:rPr>
          <w:rFonts w:ascii="Palatino Linotype" w:hAnsi="Palatino Linotype" w:cs="Tahoma"/>
        </w:rPr>
        <w:t xml:space="preserve"> </w:t>
      </w:r>
      <w:r w:rsidRPr="00EC694E">
        <w:rPr>
          <w:rFonts w:ascii="Palatino Linotype" w:hAnsi="Palatino Linotype" w:cs="Tahoma"/>
        </w:rPr>
        <w:lastRenderedPageBreak/>
        <w:t>aplicable, esto es, que ha ejercido su cargo, de manera honesta, responsable y</w:t>
      </w:r>
      <w:r>
        <w:rPr>
          <w:rFonts w:ascii="Palatino Linotype" w:hAnsi="Palatino Linotype" w:cs="Tahoma"/>
        </w:rPr>
        <w:t xml:space="preserve"> </w:t>
      </w:r>
      <w:r w:rsidRPr="00EC694E">
        <w:rPr>
          <w:rFonts w:ascii="Palatino Linotype" w:hAnsi="Palatino Linotype" w:cs="Tahoma"/>
        </w:rPr>
        <w:t>conforme a lo establecido en las diversas disposiciones.</w:t>
      </w:r>
    </w:p>
    <w:p w14:paraId="31833A26" w14:textId="41735B56" w:rsidR="00EC694E" w:rsidRPr="00EC694E" w:rsidRDefault="00EC694E" w:rsidP="00EC694E">
      <w:pPr>
        <w:spacing w:line="360" w:lineRule="auto"/>
        <w:jc w:val="both"/>
        <w:rPr>
          <w:rFonts w:ascii="Palatino Linotype" w:hAnsi="Palatino Linotype" w:cs="Tahoma"/>
        </w:rPr>
      </w:pPr>
      <w:r w:rsidRPr="00EC694E">
        <w:rPr>
          <w:rFonts w:ascii="Palatino Linotype" w:hAnsi="Palatino Linotype" w:cs="Tahoma"/>
        </w:rPr>
        <w:t>En ese orden de ideas, dar a conocer la información relativa a las resoluciones</w:t>
      </w:r>
      <w:r>
        <w:rPr>
          <w:rFonts w:ascii="Palatino Linotype" w:hAnsi="Palatino Linotype" w:cs="Tahoma"/>
        </w:rPr>
        <w:t xml:space="preserve"> </w:t>
      </w:r>
      <w:r w:rsidRPr="00EC694E">
        <w:rPr>
          <w:rFonts w:ascii="Palatino Linotype" w:hAnsi="Palatino Linotype" w:cs="Tahoma"/>
        </w:rPr>
        <w:t>absolutorias por faltas administrativas graves, esto es, donde no se hubiera</w:t>
      </w:r>
      <w:r>
        <w:rPr>
          <w:rFonts w:ascii="Palatino Linotype" w:hAnsi="Palatino Linotype" w:cs="Tahoma"/>
        </w:rPr>
        <w:t xml:space="preserve"> </w:t>
      </w:r>
      <w:r w:rsidRPr="00EC694E">
        <w:rPr>
          <w:rFonts w:ascii="Palatino Linotype" w:hAnsi="Palatino Linotype" w:cs="Tahoma"/>
        </w:rPr>
        <w:t>determinado la responsabilidad administrativa de los servidores públicos, en caso</w:t>
      </w:r>
      <w:r>
        <w:rPr>
          <w:rFonts w:ascii="Palatino Linotype" w:hAnsi="Palatino Linotype" w:cs="Tahoma"/>
        </w:rPr>
        <w:t xml:space="preserve"> </w:t>
      </w:r>
      <w:r w:rsidRPr="00EC694E">
        <w:rPr>
          <w:rFonts w:ascii="Palatino Linotype" w:hAnsi="Palatino Linotype" w:cs="Tahoma"/>
        </w:rPr>
        <w:t>de su existencia, en relación con un servidor público no implica una vulneración a</w:t>
      </w:r>
      <w:r>
        <w:rPr>
          <w:rFonts w:ascii="Palatino Linotype" w:hAnsi="Palatino Linotype" w:cs="Tahoma"/>
        </w:rPr>
        <w:t xml:space="preserve"> </w:t>
      </w:r>
      <w:r w:rsidRPr="00EC694E">
        <w:rPr>
          <w:rFonts w:ascii="Palatino Linotype" w:hAnsi="Palatino Linotype" w:cs="Tahoma"/>
        </w:rPr>
        <w:t>su honor o intimidad, ya que dichos procedimientos determinan la falta de</w:t>
      </w:r>
      <w:r>
        <w:rPr>
          <w:rFonts w:ascii="Palatino Linotype" w:hAnsi="Palatino Linotype" w:cs="Tahoma"/>
        </w:rPr>
        <w:t xml:space="preserve"> </w:t>
      </w:r>
      <w:r w:rsidRPr="00EC694E">
        <w:rPr>
          <w:rFonts w:ascii="Palatino Linotype" w:hAnsi="Palatino Linotype" w:cs="Tahoma"/>
        </w:rPr>
        <w:t>elementos para sancionarlo.</w:t>
      </w:r>
    </w:p>
    <w:p w14:paraId="125AA43E" w14:textId="77777777" w:rsidR="00EC694E" w:rsidRPr="00EC694E" w:rsidRDefault="00EC694E" w:rsidP="00EC694E">
      <w:pPr>
        <w:pStyle w:val="Prrafodelista"/>
        <w:spacing w:line="360" w:lineRule="auto"/>
        <w:jc w:val="both"/>
        <w:rPr>
          <w:rFonts w:ascii="Palatino Linotype" w:hAnsi="Palatino Linotype" w:cs="Tahoma"/>
        </w:rPr>
      </w:pPr>
    </w:p>
    <w:p w14:paraId="44844366" w14:textId="0E80F5C1" w:rsidR="00EC694E" w:rsidRDefault="00EC694E" w:rsidP="00EC694E">
      <w:pPr>
        <w:spacing w:line="360" w:lineRule="auto"/>
        <w:jc w:val="both"/>
        <w:rPr>
          <w:rFonts w:ascii="Palatino Linotype" w:hAnsi="Palatino Linotype" w:cs="Tahoma"/>
        </w:rPr>
      </w:pPr>
      <w:r w:rsidRPr="00EC694E">
        <w:rPr>
          <w:rFonts w:ascii="Palatino Linotype" w:hAnsi="Palatino Linotype" w:cs="Tahoma"/>
        </w:rPr>
        <w:t xml:space="preserve">Por otro lado, en la tesis aislada con el rubro </w:t>
      </w:r>
      <w:r w:rsidRPr="00DD7ECC">
        <w:rPr>
          <w:rFonts w:ascii="Palatino Linotype" w:hAnsi="Palatino Linotype" w:cs="Tahoma"/>
          <w:b/>
        </w:rPr>
        <w:t>DERECHO A SER INFORMADO Y DERECHO AL HONOR. ESTÁNDAR PARA DETERMINAR SU PREVALENCIA</w:t>
      </w:r>
      <w:r w:rsidRPr="00EC694E">
        <w:rPr>
          <w:rFonts w:ascii="Palatino Linotype" w:hAnsi="Palatino Linotype" w:cs="Tahoma"/>
        </w:rPr>
        <w:t>, la Suprema Corte de Justicia de la Nación ha señalado que el</w:t>
      </w:r>
      <w:r>
        <w:rPr>
          <w:rFonts w:ascii="Palatino Linotype" w:hAnsi="Palatino Linotype" w:cs="Tahoma"/>
        </w:rPr>
        <w:t xml:space="preserve"> </w:t>
      </w:r>
      <w:r w:rsidRPr="00EC694E">
        <w:rPr>
          <w:rFonts w:ascii="Palatino Linotype" w:hAnsi="Palatino Linotype" w:cs="Tahoma"/>
        </w:rPr>
        <w:t>derecho a la información no es absoluto, pues si bien el Estado tiene la obligación de</w:t>
      </w:r>
      <w:r>
        <w:rPr>
          <w:rFonts w:ascii="Palatino Linotype" w:hAnsi="Palatino Linotype" w:cs="Tahoma"/>
        </w:rPr>
        <w:t xml:space="preserve"> </w:t>
      </w:r>
      <w:r w:rsidRPr="00EC694E">
        <w:rPr>
          <w:rFonts w:ascii="Palatino Linotype" w:hAnsi="Palatino Linotype" w:cs="Tahoma"/>
        </w:rPr>
        <w:t>informar a la población sobre temas de relevancia pública, también debe proteger y garantizar el derecho al honor a la reputación de las personas; por lo que, para que</w:t>
      </w:r>
      <w:r>
        <w:rPr>
          <w:rFonts w:ascii="Palatino Linotype" w:hAnsi="Palatino Linotype" w:cs="Tahoma"/>
        </w:rPr>
        <w:t xml:space="preserve"> </w:t>
      </w:r>
      <w:r w:rsidRPr="00EC694E">
        <w:rPr>
          <w:rFonts w:ascii="Palatino Linotype" w:hAnsi="Palatino Linotype" w:cs="Tahoma"/>
        </w:rPr>
        <w:t>la autoridad pueda difundir ciertos datos, debe cerciorarse que los mismos sean de</w:t>
      </w:r>
      <w:r>
        <w:rPr>
          <w:rFonts w:ascii="Palatino Linotype" w:hAnsi="Palatino Linotype" w:cs="Tahoma"/>
        </w:rPr>
        <w:t xml:space="preserve"> </w:t>
      </w:r>
      <w:r w:rsidRPr="00EC694E">
        <w:rPr>
          <w:rFonts w:ascii="Palatino Linotype" w:hAnsi="Palatino Linotype" w:cs="Tahoma"/>
        </w:rPr>
        <w:t>relevancia pública o interés general, o bien, versen sobre personas con un impacto</w:t>
      </w:r>
      <w:r>
        <w:rPr>
          <w:rFonts w:ascii="Palatino Linotype" w:hAnsi="Palatino Linotype" w:cs="Tahoma"/>
        </w:rPr>
        <w:t xml:space="preserve"> </w:t>
      </w:r>
      <w:r w:rsidRPr="00EC694E">
        <w:rPr>
          <w:rFonts w:ascii="Palatino Linotype" w:hAnsi="Palatino Linotype" w:cs="Tahoma"/>
        </w:rPr>
        <w:t>público o social. Además, la información debe constituir una certera aproximación</w:t>
      </w:r>
      <w:r>
        <w:rPr>
          <w:rFonts w:ascii="Palatino Linotype" w:hAnsi="Palatino Linotype" w:cs="Tahoma"/>
        </w:rPr>
        <w:t xml:space="preserve"> </w:t>
      </w:r>
      <w:r w:rsidRPr="00EC694E">
        <w:rPr>
          <w:rFonts w:ascii="Palatino Linotype" w:hAnsi="Palatino Linotype" w:cs="Tahoma"/>
        </w:rPr>
        <w:t>a la realidad, lo cual puede derivar de que la autoridad emisora de la información la</w:t>
      </w:r>
      <w:r>
        <w:rPr>
          <w:rFonts w:ascii="Palatino Linotype" w:hAnsi="Palatino Linotype" w:cs="Tahoma"/>
        </w:rPr>
        <w:t xml:space="preserve"> </w:t>
      </w:r>
      <w:r w:rsidRPr="00EC694E">
        <w:rPr>
          <w:rFonts w:ascii="Palatino Linotype" w:hAnsi="Palatino Linotype" w:cs="Tahoma"/>
        </w:rPr>
        <w:t>obtenga de investigaciones, informes o estadísticas propios o de otras autoridades,</w:t>
      </w:r>
      <w:r>
        <w:rPr>
          <w:rFonts w:ascii="Palatino Linotype" w:hAnsi="Palatino Linotype" w:cs="Tahoma"/>
        </w:rPr>
        <w:t xml:space="preserve"> </w:t>
      </w:r>
      <w:r w:rsidRPr="00EC694E">
        <w:rPr>
          <w:rFonts w:ascii="Palatino Linotype" w:hAnsi="Palatino Linotype" w:cs="Tahoma"/>
        </w:rPr>
        <w:t>así como, de hechos notorios para la sociedad. Finalmente, debe carecer de toda</w:t>
      </w:r>
      <w:r>
        <w:rPr>
          <w:rFonts w:ascii="Palatino Linotype" w:hAnsi="Palatino Linotype" w:cs="Tahoma"/>
        </w:rPr>
        <w:t xml:space="preserve"> </w:t>
      </w:r>
      <w:r w:rsidRPr="00EC694E">
        <w:rPr>
          <w:rFonts w:ascii="Palatino Linotype" w:hAnsi="Palatino Linotype" w:cs="Tahoma"/>
        </w:rPr>
        <w:t>intervención de juicios o valoraciones subjetivas que no tengan como fin informar a</w:t>
      </w:r>
      <w:r>
        <w:rPr>
          <w:rFonts w:ascii="Palatino Linotype" w:hAnsi="Palatino Linotype" w:cs="Tahoma"/>
        </w:rPr>
        <w:t xml:space="preserve"> </w:t>
      </w:r>
      <w:r w:rsidRPr="00EC694E">
        <w:rPr>
          <w:rFonts w:ascii="Palatino Linotype" w:hAnsi="Palatino Linotype" w:cs="Tahoma"/>
        </w:rPr>
        <w:lastRenderedPageBreak/>
        <w:t>la sociedad, sino que pretendan establecer una postura, opinión o crítica hacia la</w:t>
      </w:r>
      <w:r>
        <w:rPr>
          <w:rFonts w:ascii="Palatino Linotype" w:hAnsi="Palatino Linotype" w:cs="Tahoma"/>
        </w:rPr>
        <w:t xml:space="preserve"> </w:t>
      </w:r>
      <w:r w:rsidRPr="00EC694E">
        <w:rPr>
          <w:rFonts w:ascii="Palatino Linotype" w:hAnsi="Palatino Linotype" w:cs="Tahoma"/>
        </w:rPr>
        <w:t>persona.</w:t>
      </w:r>
    </w:p>
    <w:p w14:paraId="205FEEAE" w14:textId="77777777" w:rsidR="00181AA2" w:rsidRDefault="00181AA2" w:rsidP="00EC694E">
      <w:pPr>
        <w:spacing w:line="360" w:lineRule="auto"/>
        <w:jc w:val="both"/>
        <w:rPr>
          <w:rFonts w:ascii="Palatino Linotype" w:hAnsi="Palatino Linotype" w:cs="Tahoma"/>
        </w:rPr>
      </w:pPr>
    </w:p>
    <w:bookmarkEnd w:id="1"/>
    <w:p w14:paraId="531965BF" w14:textId="12C83D60" w:rsidR="005C4513" w:rsidRPr="00EE3BE9" w:rsidRDefault="002E09FD" w:rsidP="005C4513">
      <w:pPr>
        <w:pStyle w:val="Prrafodelista"/>
        <w:spacing w:line="360" w:lineRule="auto"/>
        <w:ind w:left="0"/>
        <w:jc w:val="both"/>
        <w:rPr>
          <w:rFonts w:ascii="Palatino Linotype" w:hAnsi="Palatino Linotype" w:cs="Tahoma"/>
        </w:rPr>
      </w:pPr>
      <w:r>
        <w:rPr>
          <w:rFonts w:ascii="Palatino Linotype" w:hAnsi="Palatino Linotype" w:cs="Tahoma"/>
        </w:rPr>
        <w:t>Sino más bien a que</w:t>
      </w:r>
      <w:r w:rsidR="006D5287" w:rsidRPr="00EE3BE9">
        <w:rPr>
          <w:rFonts w:ascii="Palatino Linotype" w:hAnsi="Palatino Linotype" w:cs="Tahoma"/>
        </w:rPr>
        <w:t xml:space="preserve"> el servicio público </w:t>
      </w:r>
      <w:r>
        <w:rPr>
          <w:rFonts w:ascii="Palatino Linotype" w:hAnsi="Palatino Linotype" w:cs="Tahoma"/>
        </w:rPr>
        <w:t>es</w:t>
      </w:r>
      <w:r w:rsidR="006D5287" w:rsidRPr="00EE3BE9">
        <w:rPr>
          <w:rFonts w:ascii="Palatino Linotype" w:hAnsi="Palatino Linotype" w:cs="Tahoma"/>
        </w:rPr>
        <w:t>, transparente y efectivo en el cumplimiento de su misió</w:t>
      </w:r>
      <w:r w:rsidR="00EC694E">
        <w:rPr>
          <w:rFonts w:ascii="Palatino Linotype" w:hAnsi="Palatino Linotype" w:cs="Tahoma"/>
        </w:rPr>
        <w:t>n de servir a la comunidad, p</w:t>
      </w:r>
      <w:r w:rsidR="005C4513" w:rsidRPr="00EE3BE9">
        <w:rPr>
          <w:rFonts w:ascii="Palatino Linotype" w:hAnsi="Palatino Linotype" w:cs="Tahoma"/>
        </w:rPr>
        <w:t xml:space="preserve">or tanto, </w:t>
      </w:r>
      <w:r w:rsidR="006D5287" w:rsidRPr="00EE3BE9">
        <w:rPr>
          <w:rFonts w:ascii="Palatino Linotype" w:hAnsi="Palatino Linotype" w:cs="Tahoma"/>
        </w:rPr>
        <w:t>los servidores públicos</w:t>
      </w:r>
      <w:r w:rsidR="005C4513" w:rsidRPr="00EE3BE9">
        <w:rPr>
          <w:rFonts w:ascii="Palatino Linotype" w:hAnsi="Palatino Linotype" w:cs="Tahoma"/>
        </w:rPr>
        <w:t xml:space="preserve"> deben regirse por lo establecido en </w:t>
      </w:r>
      <w:r w:rsidR="00707DB0" w:rsidRPr="00EE3BE9">
        <w:rPr>
          <w:rFonts w:ascii="Palatino Linotype" w:hAnsi="Palatino Linotype" w:cs="Tahoma"/>
        </w:rPr>
        <w:t xml:space="preserve">el marco legal </w:t>
      </w:r>
      <w:r w:rsidR="005C4513" w:rsidRPr="00EE3BE9">
        <w:rPr>
          <w:rFonts w:ascii="Palatino Linotype" w:hAnsi="Palatino Linotype" w:cs="Tahoma"/>
        </w:rPr>
        <w:t xml:space="preserve"> a fin de acreditar el cumplimiento de los principios constitucionales de legalidad, objetividad, eficiencia, profesionalismo, honradez y respeto a los derechos humanos. </w:t>
      </w:r>
    </w:p>
    <w:p w14:paraId="1DCDA665" w14:textId="77777777" w:rsidR="00EE3BE9" w:rsidRPr="00EE3BE9" w:rsidRDefault="00EE3BE9" w:rsidP="005C4513">
      <w:pPr>
        <w:pStyle w:val="Prrafodelista"/>
        <w:spacing w:line="360" w:lineRule="auto"/>
        <w:ind w:left="0"/>
        <w:jc w:val="both"/>
        <w:rPr>
          <w:rFonts w:ascii="Palatino Linotype" w:hAnsi="Palatino Linotype" w:cs="Tahoma"/>
        </w:rPr>
      </w:pPr>
    </w:p>
    <w:p w14:paraId="10613E89" w14:textId="2DAE966D" w:rsidR="005C4513" w:rsidRPr="00EE3BE9" w:rsidRDefault="00EE3BE9" w:rsidP="005C4513">
      <w:pPr>
        <w:pStyle w:val="Prrafodelista"/>
        <w:spacing w:line="360" w:lineRule="auto"/>
        <w:ind w:left="0"/>
        <w:jc w:val="both"/>
        <w:rPr>
          <w:rFonts w:ascii="Palatino Linotype" w:hAnsi="Palatino Linotype"/>
          <w:b/>
        </w:rPr>
      </w:pPr>
      <w:r w:rsidRPr="00EE3BE9">
        <w:rPr>
          <w:rFonts w:ascii="Palatino Linotype" w:hAnsi="Palatino Linotype"/>
          <w:b/>
        </w:rPr>
        <w:t>B. Conclusión</w:t>
      </w:r>
    </w:p>
    <w:p w14:paraId="439ED40C" w14:textId="77777777" w:rsidR="003B138A" w:rsidRDefault="002E09FD" w:rsidP="003B138A">
      <w:pPr>
        <w:pStyle w:val="Textoindependiente"/>
        <w:spacing w:line="360" w:lineRule="auto"/>
        <w:ind w:right="247"/>
        <w:jc w:val="both"/>
      </w:pPr>
      <w:r>
        <w:t>No se comparte la clasificación como confidencial del nombre y cargo, área de adscripción y aquellos datos personales que hagan identificable a una persona de los Servidores Públicos absueltos en el caso de procedimientos administrativos iniciados por faltas graves, al considerar la trascendencia de las conductas investigadas, que resultan relevantes por su impacto social o consecuencias jurídicas, por ende, entregar la información transparenta la gestión pública y la rendición de cuentas, pues se observa que han cumplido con los principios que rigen el servicio público.</w:t>
      </w:r>
    </w:p>
    <w:p w14:paraId="66438DC3" w14:textId="77777777" w:rsidR="003B138A" w:rsidRDefault="003B138A" w:rsidP="003B138A">
      <w:pPr>
        <w:pStyle w:val="Textoindependiente"/>
        <w:spacing w:line="360" w:lineRule="auto"/>
        <w:ind w:right="247"/>
        <w:jc w:val="both"/>
        <w:rPr>
          <w:rFonts w:eastAsia="Calibri" w:cs="Tahoma"/>
          <w:bCs/>
          <w:lang w:val="es-MX"/>
        </w:rPr>
      </w:pPr>
    </w:p>
    <w:p w14:paraId="5EC6A20F" w14:textId="48A24E4D" w:rsidR="003B138A" w:rsidRDefault="008936B4" w:rsidP="003B138A">
      <w:pPr>
        <w:pStyle w:val="Textoindependiente"/>
        <w:spacing w:line="360" w:lineRule="auto"/>
        <w:ind w:right="247"/>
        <w:jc w:val="both"/>
        <w:rPr>
          <w:rFonts w:eastAsia="Calibri" w:cs="Tahoma"/>
          <w:bCs/>
          <w:lang w:val="es-MX"/>
        </w:rPr>
      </w:pPr>
      <w:r w:rsidRPr="00EE3BE9">
        <w:rPr>
          <w:rFonts w:eastAsia="Calibri" w:cs="Tahoma"/>
          <w:bCs/>
          <w:lang w:val="es-MX"/>
        </w:rPr>
        <w:t>Lo anterior expone razones suficientes para la emisión y presentación del presente Voto Particular.---------------------------------------------------------------------------------------------------------------------------------------------------------------</w:t>
      </w:r>
      <w:r w:rsidR="003B138A">
        <w:rPr>
          <w:rFonts w:eastAsia="Calibri" w:cs="Tahoma"/>
          <w:bCs/>
          <w:lang w:val="es-MX"/>
        </w:rPr>
        <w:t xml:space="preserve">--------------------------------------------------------------------------------------------------------------------------------------------- </w:t>
      </w:r>
      <w:r w:rsidR="003B138A">
        <w:rPr>
          <w:rFonts w:eastAsia="Calibri" w:cs="Tahoma"/>
          <w:bCs/>
          <w:lang w:val="es-MX"/>
        </w:rPr>
        <w:br w:type="page"/>
      </w:r>
    </w:p>
    <w:p w14:paraId="75D96328" w14:textId="77777777" w:rsidR="008936B4" w:rsidRPr="00EE3BE9" w:rsidRDefault="008936B4" w:rsidP="008936B4">
      <w:pPr>
        <w:spacing w:line="360" w:lineRule="auto"/>
        <w:jc w:val="both"/>
        <w:rPr>
          <w:rFonts w:ascii="Palatino Linotype" w:eastAsia="Calibri" w:hAnsi="Palatino Linotype" w:cs="Tahoma"/>
          <w:bCs/>
          <w:lang w:val="es-MX"/>
        </w:rPr>
      </w:pPr>
    </w:p>
    <w:sectPr w:rsidR="008936B4" w:rsidRPr="00EE3BE9"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09F34" w14:textId="77777777" w:rsidR="00934013" w:rsidRDefault="00934013" w:rsidP="00C80F8C">
      <w:r>
        <w:separator/>
      </w:r>
    </w:p>
  </w:endnote>
  <w:endnote w:type="continuationSeparator" w:id="0">
    <w:p w14:paraId="24315C79" w14:textId="77777777" w:rsidR="00934013" w:rsidRDefault="0093401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5751" w14:textId="77777777" w:rsidR="006F30F8" w:rsidRDefault="006F30F8"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FA0D0" w14:textId="77777777" w:rsidR="00934013" w:rsidRDefault="00934013" w:rsidP="00C80F8C">
      <w:r>
        <w:separator/>
      </w:r>
    </w:p>
  </w:footnote>
  <w:footnote w:type="continuationSeparator" w:id="0">
    <w:p w14:paraId="17523BEC" w14:textId="77777777" w:rsidR="00934013" w:rsidRDefault="00934013"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EB71" w14:textId="4D1910B5" w:rsidR="001112E6" w:rsidRDefault="00000000">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1026"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9FC2" w14:textId="08E782C2" w:rsidR="00F47FB5" w:rsidRPr="00F47FB5" w:rsidRDefault="00000000" w:rsidP="00F47FB5">
    <w:pPr>
      <w:pStyle w:val="Encabezado"/>
      <w:tabs>
        <w:tab w:val="clear" w:pos="4252"/>
        <w:tab w:val="clear" w:pos="8504"/>
        <w:tab w:val="left" w:pos="2326"/>
      </w:tabs>
      <w:ind w:left="2835"/>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1027"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F47FB5">
      <w:rPr>
        <w:rFonts w:ascii="Palatino Linotype" w:hAnsi="Palatino Linotype" w:cs="Tahoma"/>
        <w:b/>
      </w:rPr>
      <w:t>Voto Particular</w:t>
    </w:r>
  </w:p>
  <w:p w14:paraId="164BA4A9" w14:textId="0EFF5D73" w:rsidR="0067381F" w:rsidRDefault="00F47FB5" w:rsidP="00F47FB5">
    <w:pPr>
      <w:pStyle w:val="Encabezado"/>
      <w:ind w:left="2835" w:right="-250"/>
      <w:rPr>
        <w:rFonts w:ascii="Palatino Linotype" w:hAnsi="Palatino Linotype" w:cs="Arial"/>
        <w:b/>
        <w:bCs/>
        <w:lang w:eastAsia="es-MX"/>
      </w:rPr>
    </w:pPr>
    <w:r>
      <w:rPr>
        <w:rFonts w:ascii="Palatino Linotype" w:hAnsi="Palatino Linotype" w:cs="Tahoma"/>
        <w:b/>
      </w:rPr>
      <w:t xml:space="preserve">Recurso de Revisión: </w:t>
    </w:r>
    <w:r w:rsidR="003B138A">
      <w:rPr>
        <w:rFonts w:ascii="Palatino Linotype" w:eastAsia="Palatino Linotype" w:hAnsi="Palatino Linotype" w:cs="Palatino Linotype"/>
        <w:b/>
      </w:rPr>
      <w:t>01414</w:t>
    </w:r>
    <w:r w:rsidR="006E016F" w:rsidRPr="006E016F">
      <w:rPr>
        <w:rFonts w:ascii="Palatino Linotype" w:eastAsia="Palatino Linotype" w:hAnsi="Palatino Linotype" w:cs="Palatino Linotype"/>
        <w:b/>
      </w:rPr>
      <w:t>/INFOEM/IP/RR/</w:t>
    </w:r>
    <w:r w:rsidR="003B138A">
      <w:rPr>
        <w:rFonts w:ascii="Palatino Linotype" w:eastAsia="Palatino Linotype" w:hAnsi="Palatino Linotype" w:cs="Palatino Linotype"/>
        <w:b/>
      </w:rPr>
      <w:t>2023</w:t>
    </w:r>
  </w:p>
  <w:p w14:paraId="18A27B0D" w14:textId="4BE976B8" w:rsidR="00F662BC" w:rsidRDefault="00F47FB5" w:rsidP="00F47FB5">
    <w:pPr>
      <w:pStyle w:val="Encabezado"/>
      <w:ind w:left="2835" w:right="-250"/>
      <w:rPr>
        <w:rFonts w:ascii="Palatino Linotype" w:hAnsi="Palatino Linotype" w:cs="Arial"/>
        <w:b/>
        <w:bCs/>
      </w:rPr>
    </w:pPr>
    <w:r>
      <w:rPr>
        <w:rFonts w:ascii="Palatino Linotype" w:hAnsi="Palatino Linotype" w:cs="Tahoma"/>
        <w:b/>
      </w:rPr>
      <w:t>Sujeto Obligado:</w:t>
    </w:r>
    <w:r>
      <w:rPr>
        <w:rFonts w:ascii="Palatino Linotype" w:eastAsia="Palatino Linotype" w:hAnsi="Palatino Linotype" w:cs="Palatino Linotype"/>
        <w:b/>
      </w:rPr>
      <w:t xml:space="preserve"> </w:t>
    </w:r>
    <w:r w:rsidR="003B138A">
      <w:rPr>
        <w:rFonts w:ascii="Palatino Linotype" w:eastAsia="Palatino Linotype" w:hAnsi="Palatino Linotype" w:cs="Palatino Linotype"/>
        <w:b/>
      </w:rPr>
      <w:t>Ayuntamiento de Tezoyuca</w:t>
    </w:r>
  </w:p>
  <w:p w14:paraId="71104997" w14:textId="3C80F015" w:rsidR="00634485" w:rsidRDefault="006822ED" w:rsidP="006822ED">
    <w:pPr>
      <w:pStyle w:val="Encabezado"/>
      <w:tabs>
        <w:tab w:val="clear" w:pos="4252"/>
        <w:tab w:val="clear" w:pos="8504"/>
        <w:tab w:val="left" w:pos="226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106B" w14:textId="6EC0913B" w:rsidR="001112E6" w:rsidRDefault="00000000">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1025"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68E"/>
    <w:multiLevelType w:val="hybridMultilevel"/>
    <w:tmpl w:val="590A6FC8"/>
    <w:lvl w:ilvl="0" w:tplc="E2BE5898">
      <w:start w:val="1"/>
      <w:numFmt w:val="low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1F42B43"/>
    <w:multiLevelType w:val="hybridMultilevel"/>
    <w:tmpl w:val="C314800C"/>
    <w:lvl w:ilvl="0" w:tplc="C0C243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881E86"/>
    <w:multiLevelType w:val="multilevel"/>
    <w:tmpl w:val="43E899B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BB319F"/>
    <w:multiLevelType w:val="multilevel"/>
    <w:tmpl w:val="A7F85A5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u w:val="non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A102BB"/>
    <w:multiLevelType w:val="multilevel"/>
    <w:tmpl w:val="ED0680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1BD3217A"/>
    <w:multiLevelType w:val="hybridMultilevel"/>
    <w:tmpl w:val="1D3862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247B92"/>
    <w:multiLevelType w:val="hybridMultilevel"/>
    <w:tmpl w:val="CAC0A186"/>
    <w:lvl w:ilvl="0" w:tplc="080A0017">
      <w:start w:val="1"/>
      <w:numFmt w:val="lowerLetter"/>
      <w:lvlText w:val="%1)"/>
      <w:lvlJc w:val="left"/>
      <w:pPr>
        <w:ind w:left="1004" w:hanging="360"/>
      </w:pPr>
      <w:rPr>
        <w:b/>
        <w:bCs/>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15"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443A29D3"/>
    <w:multiLevelType w:val="hybridMultilevel"/>
    <w:tmpl w:val="CB9A6F26"/>
    <w:lvl w:ilvl="0" w:tplc="6B529348">
      <w:start w:val="1"/>
      <w:numFmt w:val="upp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19" w15:restartNumberingAfterBreak="0">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61C67A4"/>
    <w:multiLevelType w:val="hybridMultilevel"/>
    <w:tmpl w:val="A1C48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6A977EA"/>
    <w:multiLevelType w:val="hybridMultilevel"/>
    <w:tmpl w:val="0248BCE4"/>
    <w:lvl w:ilvl="0" w:tplc="DB2A98CA">
      <w:start w:val="1"/>
      <w:numFmt w:val="bullet"/>
      <w:lvlText w:val=""/>
      <w:lvlJc w:val="left"/>
      <w:pPr>
        <w:ind w:left="720" w:hanging="360"/>
      </w:pPr>
      <w:rPr>
        <w:rFonts w:ascii="Symbol" w:eastAsiaTheme="minorHAnsi" w:hAnsi="Symbol" w:cs="Aria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D31149D"/>
    <w:multiLevelType w:val="multilevel"/>
    <w:tmpl w:val="A67ED35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5" w15:restartNumberingAfterBreak="0">
    <w:nsid w:val="55C475C6"/>
    <w:multiLevelType w:val="multilevel"/>
    <w:tmpl w:val="08308928"/>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26"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DD0D92"/>
    <w:multiLevelType w:val="hybridMultilevel"/>
    <w:tmpl w:val="3140C5E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ED3927"/>
    <w:multiLevelType w:val="multilevel"/>
    <w:tmpl w:val="A3E406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1710C1"/>
    <w:multiLevelType w:val="multilevel"/>
    <w:tmpl w:val="F8907250"/>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0" w15:restartNumberingAfterBreak="0">
    <w:nsid w:val="5DE724A9"/>
    <w:multiLevelType w:val="hybridMultilevel"/>
    <w:tmpl w:val="A238AE0C"/>
    <w:lvl w:ilvl="0" w:tplc="580A000F">
      <w:start w:val="1"/>
      <w:numFmt w:val="decimal"/>
      <w:lvlText w:val="%1."/>
      <w:lvlJc w:val="left"/>
      <w:pPr>
        <w:ind w:left="720" w:hanging="360"/>
      </w:pPr>
      <w:rPr>
        <w:b/>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31" w15:restartNumberingAfterBreak="0">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15:restartNumberingAfterBreak="0">
    <w:nsid w:val="651647D1"/>
    <w:multiLevelType w:val="hybridMultilevel"/>
    <w:tmpl w:val="EBCCAD4A"/>
    <w:lvl w:ilvl="0" w:tplc="5E323F4C">
      <w:start w:val="1"/>
      <w:numFmt w:val="decimal"/>
      <w:lvlText w:val="%1."/>
      <w:lvlJc w:val="left"/>
      <w:pPr>
        <w:ind w:left="720" w:hanging="360"/>
      </w:pPr>
      <w:rPr>
        <w:rFonts w:ascii="Palatino Linotype" w:eastAsia="Palatino Linotype" w:hAnsi="Palatino Linotype" w:cs="Palatino Linotype"/>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5" w15:restartNumberingAfterBreak="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7" w15:restartNumberingAfterBreak="0">
    <w:nsid w:val="70CF73F2"/>
    <w:multiLevelType w:val="hybridMultilevel"/>
    <w:tmpl w:val="D72A271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9" w15:restartNumberingAfterBreak="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0136A0"/>
    <w:multiLevelType w:val="hybridMultilevel"/>
    <w:tmpl w:val="DE585F00"/>
    <w:lvl w:ilvl="0" w:tplc="9216D5FA">
      <w:start w:val="1"/>
      <w:numFmt w:val="decimal"/>
      <w:lvlText w:val="%1."/>
      <w:lvlJc w:val="left"/>
      <w:pPr>
        <w:ind w:left="360" w:hanging="360"/>
      </w:pPr>
      <w:rPr>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15:restartNumberingAfterBreak="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63246717">
    <w:abstractNumId w:val="5"/>
  </w:num>
  <w:num w:numId="2" w16cid:durableId="1623031794">
    <w:abstractNumId w:val="44"/>
  </w:num>
  <w:num w:numId="3" w16cid:durableId="1143275757">
    <w:abstractNumId w:val="12"/>
  </w:num>
  <w:num w:numId="4" w16cid:durableId="1172531883">
    <w:abstractNumId w:val="16"/>
  </w:num>
  <w:num w:numId="5" w16cid:durableId="155533093">
    <w:abstractNumId w:val="35"/>
  </w:num>
  <w:num w:numId="6" w16cid:durableId="364990947">
    <w:abstractNumId w:val="33"/>
  </w:num>
  <w:num w:numId="7" w16cid:durableId="1248227689">
    <w:abstractNumId w:val="26"/>
  </w:num>
  <w:num w:numId="8" w16cid:durableId="1743138049">
    <w:abstractNumId w:val="39"/>
  </w:num>
  <w:num w:numId="9" w16cid:durableId="9801876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16445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2560563">
    <w:abstractNumId w:val="13"/>
  </w:num>
  <w:num w:numId="12" w16cid:durableId="1543906552">
    <w:abstractNumId w:val="41"/>
  </w:num>
  <w:num w:numId="13" w16cid:durableId="13389680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7922890">
    <w:abstractNumId w:val="31"/>
  </w:num>
  <w:num w:numId="15" w16cid:durableId="1600679129">
    <w:abstractNumId w:val="19"/>
  </w:num>
  <w:num w:numId="16" w16cid:durableId="14735985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7848729">
    <w:abstractNumId w:val="34"/>
  </w:num>
  <w:num w:numId="18" w16cid:durableId="889682353">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29817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25939028">
    <w:abstractNumId w:val="23"/>
  </w:num>
  <w:num w:numId="21" w16cid:durableId="174343636">
    <w:abstractNumId w:val="22"/>
  </w:num>
  <w:num w:numId="22" w16cid:durableId="16967285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2353677">
    <w:abstractNumId w:val="11"/>
  </w:num>
  <w:num w:numId="24" w16cid:durableId="20736547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50307737">
    <w:abstractNumId w:val="8"/>
  </w:num>
  <w:num w:numId="26" w16cid:durableId="1808163996">
    <w:abstractNumId w:val="42"/>
  </w:num>
  <w:num w:numId="27" w16cid:durableId="1086226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3688414">
    <w:abstractNumId w:val="27"/>
  </w:num>
  <w:num w:numId="29" w16cid:durableId="1069614591">
    <w:abstractNumId w:val="34"/>
  </w:num>
  <w:num w:numId="30" w16cid:durableId="13214267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72552791">
    <w:abstractNumId w:val="17"/>
  </w:num>
  <w:num w:numId="32" w16cid:durableId="15655325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78009623">
    <w:abstractNumId w:val="2"/>
  </w:num>
  <w:num w:numId="34" w16cid:durableId="15928183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87910111">
    <w:abstractNumId w:val="6"/>
  </w:num>
  <w:num w:numId="36" w16cid:durableId="11105460">
    <w:abstractNumId w:val="25"/>
  </w:num>
  <w:num w:numId="37" w16cid:durableId="8324554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3351971">
    <w:abstractNumId w:val="14"/>
    <w:lvlOverride w:ilvl="0">
      <w:startOverride w:val="1"/>
    </w:lvlOverride>
    <w:lvlOverride w:ilvl="1"/>
    <w:lvlOverride w:ilvl="2"/>
    <w:lvlOverride w:ilvl="3"/>
    <w:lvlOverride w:ilvl="4"/>
    <w:lvlOverride w:ilvl="5"/>
    <w:lvlOverride w:ilvl="6"/>
    <w:lvlOverride w:ilvl="7"/>
    <w:lvlOverride w:ilvl="8"/>
  </w:num>
  <w:num w:numId="39" w16cid:durableId="452480374">
    <w:abstractNumId w:val="21"/>
  </w:num>
  <w:num w:numId="40" w16cid:durableId="491914038">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09077043">
    <w:abstractNumId w:val="32"/>
  </w:num>
  <w:num w:numId="42" w16cid:durableId="1370253962">
    <w:abstractNumId w:val="20"/>
  </w:num>
  <w:num w:numId="43" w16cid:durableId="132253721">
    <w:abstractNumId w:val="1"/>
  </w:num>
  <w:num w:numId="44" w16cid:durableId="1508321757">
    <w:abstractNumId w:val="15"/>
  </w:num>
  <w:num w:numId="45" w16cid:durableId="1440222329">
    <w:abstractNumId w:val="0"/>
  </w:num>
  <w:num w:numId="46" w16cid:durableId="791704125">
    <w:abstractNumId w:val="4"/>
  </w:num>
  <w:num w:numId="47" w16cid:durableId="257138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3360D"/>
    <w:rsid w:val="00040D34"/>
    <w:rsid w:val="00043D11"/>
    <w:rsid w:val="00055D60"/>
    <w:rsid w:val="00061126"/>
    <w:rsid w:val="0008542A"/>
    <w:rsid w:val="000B37D9"/>
    <w:rsid w:val="000B3FFD"/>
    <w:rsid w:val="000C43E5"/>
    <w:rsid w:val="000C4453"/>
    <w:rsid w:val="000D656A"/>
    <w:rsid w:val="000E27BB"/>
    <w:rsid w:val="00105578"/>
    <w:rsid w:val="001112E6"/>
    <w:rsid w:val="00115E7A"/>
    <w:rsid w:val="00135555"/>
    <w:rsid w:val="00181AA2"/>
    <w:rsid w:val="0018216B"/>
    <w:rsid w:val="00187962"/>
    <w:rsid w:val="001960A5"/>
    <w:rsid w:val="001B3D11"/>
    <w:rsid w:val="001C7B07"/>
    <w:rsid w:val="0020666A"/>
    <w:rsid w:val="00216C06"/>
    <w:rsid w:val="002378AC"/>
    <w:rsid w:val="00266831"/>
    <w:rsid w:val="00284217"/>
    <w:rsid w:val="00294490"/>
    <w:rsid w:val="002D5B21"/>
    <w:rsid w:val="002E09FD"/>
    <w:rsid w:val="002E7D97"/>
    <w:rsid w:val="003026CE"/>
    <w:rsid w:val="00312863"/>
    <w:rsid w:val="00326EEA"/>
    <w:rsid w:val="003448FB"/>
    <w:rsid w:val="003B138A"/>
    <w:rsid w:val="003B75EE"/>
    <w:rsid w:val="003C6DAB"/>
    <w:rsid w:val="003D1F47"/>
    <w:rsid w:val="003F0929"/>
    <w:rsid w:val="003F528B"/>
    <w:rsid w:val="00411692"/>
    <w:rsid w:val="00430304"/>
    <w:rsid w:val="0043105B"/>
    <w:rsid w:val="00435FF9"/>
    <w:rsid w:val="00445879"/>
    <w:rsid w:val="0047213D"/>
    <w:rsid w:val="004807CC"/>
    <w:rsid w:val="00484A47"/>
    <w:rsid w:val="00484F6F"/>
    <w:rsid w:val="004B2706"/>
    <w:rsid w:val="004C6733"/>
    <w:rsid w:val="004D0A26"/>
    <w:rsid w:val="004E305D"/>
    <w:rsid w:val="004E7984"/>
    <w:rsid w:val="004F5E4D"/>
    <w:rsid w:val="00502EE6"/>
    <w:rsid w:val="0050559A"/>
    <w:rsid w:val="00513782"/>
    <w:rsid w:val="00524594"/>
    <w:rsid w:val="00524DDD"/>
    <w:rsid w:val="00530898"/>
    <w:rsid w:val="00575235"/>
    <w:rsid w:val="005766FA"/>
    <w:rsid w:val="00592BEE"/>
    <w:rsid w:val="005B05D8"/>
    <w:rsid w:val="005C0271"/>
    <w:rsid w:val="005C4513"/>
    <w:rsid w:val="005C481C"/>
    <w:rsid w:val="005C4ADA"/>
    <w:rsid w:val="005D1946"/>
    <w:rsid w:val="005F3A48"/>
    <w:rsid w:val="00615B7E"/>
    <w:rsid w:val="00621357"/>
    <w:rsid w:val="00634485"/>
    <w:rsid w:val="00665800"/>
    <w:rsid w:val="0067340C"/>
    <w:rsid w:val="0067381F"/>
    <w:rsid w:val="0068101D"/>
    <w:rsid w:val="006822ED"/>
    <w:rsid w:val="00685B0E"/>
    <w:rsid w:val="006A7AB7"/>
    <w:rsid w:val="006B2674"/>
    <w:rsid w:val="006D5287"/>
    <w:rsid w:val="006E016F"/>
    <w:rsid w:val="006E6389"/>
    <w:rsid w:val="006E6E65"/>
    <w:rsid w:val="006F0A6E"/>
    <w:rsid w:val="006F254B"/>
    <w:rsid w:val="006F30F8"/>
    <w:rsid w:val="00701B9E"/>
    <w:rsid w:val="00706B53"/>
    <w:rsid w:val="00707DB0"/>
    <w:rsid w:val="0071093C"/>
    <w:rsid w:val="00736C06"/>
    <w:rsid w:val="00756B24"/>
    <w:rsid w:val="00760037"/>
    <w:rsid w:val="007617C8"/>
    <w:rsid w:val="00762C20"/>
    <w:rsid w:val="00776D84"/>
    <w:rsid w:val="007A0EB7"/>
    <w:rsid w:val="007A1C9F"/>
    <w:rsid w:val="007B1CFA"/>
    <w:rsid w:val="007B578D"/>
    <w:rsid w:val="007C0652"/>
    <w:rsid w:val="007C766E"/>
    <w:rsid w:val="007D4251"/>
    <w:rsid w:val="007D46B1"/>
    <w:rsid w:val="007D49CE"/>
    <w:rsid w:val="007E2D4F"/>
    <w:rsid w:val="007E4CDF"/>
    <w:rsid w:val="007E70F8"/>
    <w:rsid w:val="00807750"/>
    <w:rsid w:val="00812F10"/>
    <w:rsid w:val="00820022"/>
    <w:rsid w:val="00820034"/>
    <w:rsid w:val="0083108D"/>
    <w:rsid w:val="008421B8"/>
    <w:rsid w:val="00861117"/>
    <w:rsid w:val="00861A61"/>
    <w:rsid w:val="00892AFC"/>
    <w:rsid w:val="008936B4"/>
    <w:rsid w:val="008B0A68"/>
    <w:rsid w:val="008C19BE"/>
    <w:rsid w:val="008C3C4B"/>
    <w:rsid w:val="008D1526"/>
    <w:rsid w:val="008D566B"/>
    <w:rsid w:val="008F67BC"/>
    <w:rsid w:val="00934013"/>
    <w:rsid w:val="00956B18"/>
    <w:rsid w:val="00961995"/>
    <w:rsid w:val="00962796"/>
    <w:rsid w:val="00975EB9"/>
    <w:rsid w:val="00981C38"/>
    <w:rsid w:val="00997CD5"/>
    <w:rsid w:val="009B3D3A"/>
    <w:rsid w:val="009C666B"/>
    <w:rsid w:val="009D10D2"/>
    <w:rsid w:val="009E155A"/>
    <w:rsid w:val="009F0D8D"/>
    <w:rsid w:val="00A16950"/>
    <w:rsid w:val="00A303B0"/>
    <w:rsid w:val="00A53363"/>
    <w:rsid w:val="00A5360A"/>
    <w:rsid w:val="00A561C5"/>
    <w:rsid w:val="00A610D3"/>
    <w:rsid w:val="00A64683"/>
    <w:rsid w:val="00A74BB7"/>
    <w:rsid w:val="00A7532A"/>
    <w:rsid w:val="00A81140"/>
    <w:rsid w:val="00AB78CF"/>
    <w:rsid w:val="00AC0680"/>
    <w:rsid w:val="00AE7763"/>
    <w:rsid w:val="00B014D8"/>
    <w:rsid w:val="00B05E5A"/>
    <w:rsid w:val="00B343D6"/>
    <w:rsid w:val="00B34E17"/>
    <w:rsid w:val="00B53290"/>
    <w:rsid w:val="00B64C7A"/>
    <w:rsid w:val="00B64CFB"/>
    <w:rsid w:val="00B703D7"/>
    <w:rsid w:val="00B7360E"/>
    <w:rsid w:val="00B868A5"/>
    <w:rsid w:val="00B92067"/>
    <w:rsid w:val="00BB071F"/>
    <w:rsid w:val="00BB11DB"/>
    <w:rsid w:val="00BB2AD1"/>
    <w:rsid w:val="00BC1756"/>
    <w:rsid w:val="00BD07E6"/>
    <w:rsid w:val="00BD7483"/>
    <w:rsid w:val="00BE05AB"/>
    <w:rsid w:val="00BF358F"/>
    <w:rsid w:val="00BF68F0"/>
    <w:rsid w:val="00BF6974"/>
    <w:rsid w:val="00BF6E14"/>
    <w:rsid w:val="00C049D1"/>
    <w:rsid w:val="00C156E5"/>
    <w:rsid w:val="00C27236"/>
    <w:rsid w:val="00C65950"/>
    <w:rsid w:val="00C75CBC"/>
    <w:rsid w:val="00C80615"/>
    <w:rsid w:val="00C80F8C"/>
    <w:rsid w:val="00C85F1D"/>
    <w:rsid w:val="00C8760D"/>
    <w:rsid w:val="00CE0FA6"/>
    <w:rsid w:val="00CE217B"/>
    <w:rsid w:val="00CF3F65"/>
    <w:rsid w:val="00D03369"/>
    <w:rsid w:val="00D20156"/>
    <w:rsid w:val="00D23656"/>
    <w:rsid w:val="00D36ABC"/>
    <w:rsid w:val="00D96441"/>
    <w:rsid w:val="00DC2CB7"/>
    <w:rsid w:val="00DC3082"/>
    <w:rsid w:val="00DD45AC"/>
    <w:rsid w:val="00DD5CD5"/>
    <w:rsid w:val="00DD7ECC"/>
    <w:rsid w:val="00DE1629"/>
    <w:rsid w:val="00DE5C27"/>
    <w:rsid w:val="00E37AE3"/>
    <w:rsid w:val="00E429BA"/>
    <w:rsid w:val="00EC694E"/>
    <w:rsid w:val="00EE3BE9"/>
    <w:rsid w:val="00EF3513"/>
    <w:rsid w:val="00F05A30"/>
    <w:rsid w:val="00F1205F"/>
    <w:rsid w:val="00F47FB5"/>
    <w:rsid w:val="00F614DA"/>
    <w:rsid w:val="00F662BC"/>
    <w:rsid w:val="00F717F4"/>
    <w:rsid w:val="00F75892"/>
    <w:rsid w:val="00F9546D"/>
    <w:rsid w:val="00F96A6E"/>
    <w:rsid w:val="00FA1233"/>
    <w:rsid w:val="00FA79C9"/>
    <w:rsid w:val="00FB26E6"/>
    <w:rsid w:val="00FB48D6"/>
    <w:rsid w:val="00FC6C29"/>
    <w:rsid w:val="00FE71A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929"/>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rsid w:val="008936B4"/>
    <w:rPr>
      <w:rFonts w:ascii="Palatino Linotype" w:eastAsia="Palatino Linotype" w:hAnsi="Palatino Linotype" w:cs="Palatino Linotype"/>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78410005">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4874963">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30185258">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B84E8-3D29-439E-8481-C6D590992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2929</Words>
  <Characters>16111</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Infoem600</cp:lastModifiedBy>
  <cp:revision>4</cp:revision>
  <cp:lastPrinted>2023-05-30T00:23:00Z</cp:lastPrinted>
  <dcterms:created xsi:type="dcterms:W3CDTF">2023-10-31T00:27:00Z</dcterms:created>
  <dcterms:modified xsi:type="dcterms:W3CDTF">2024-02-09T00:13:00Z</dcterms:modified>
</cp:coreProperties>
</file>