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14CFDA08"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w:t>
      </w:r>
      <w:r w:rsidR="0013083C">
        <w:rPr>
          <w:rFonts w:ascii="Palatino Linotype" w:hAnsi="Palatino Linotype" w:cs="Tahoma"/>
          <w:b/>
        </w:rPr>
        <w:t xml:space="preserve">AL RECURSO DE REVISIÓN </w:t>
      </w:r>
      <w:r w:rsidR="0013083C">
        <w:rPr>
          <w:rFonts w:ascii="Palatino Linotype" w:eastAsia="Palatino Linotype" w:hAnsi="Palatino Linotype" w:cs="Palatino Linotype"/>
          <w:b/>
        </w:rPr>
        <w:t>16479/INFOEM/IP/RR/2022</w:t>
      </w:r>
      <w:r w:rsidR="0013083C">
        <w:rPr>
          <w:rFonts w:ascii="Palatino Linotype" w:hAnsi="Palatino Linotype" w:cs="Arial"/>
          <w:b/>
          <w:bCs/>
          <w:color w:val="000000" w:themeColor="text1"/>
        </w:rPr>
        <w:t>,</w:t>
      </w:r>
      <w:r w:rsidR="0013083C">
        <w:rPr>
          <w:rFonts w:ascii="Palatino Linotype" w:hAnsi="Palatino Linotype" w:cs="Tahoma"/>
          <w:b/>
        </w:rPr>
        <w:t xml:space="preserve"> PROMOVIDO EN CONTRA DEL </w:t>
      </w:r>
      <w:r w:rsidR="0013083C">
        <w:rPr>
          <w:rFonts w:ascii="Palatino Linotype" w:eastAsia="Palatino Linotype" w:hAnsi="Palatino Linotype" w:cs="Palatino Linotype"/>
          <w:b/>
        </w:rPr>
        <w:t>AYUNTAMIENTO DE TOLUCA</w:t>
      </w:r>
      <w:r w:rsidR="00793DDA">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14BC6D4E"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13083C">
        <w:rPr>
          <w:rFonts w:ascii="Palatino Linotype" w:eastAsia="Palatino Linotype" w:hAnsi="Palatino Linotype" w:cs="Palatino Linotype"/>
          <w:b/>
        </w:rPr>
        <w:t>16479/INFOEM/IP/RR/2022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13083C">
        <w:rPr>
          <w:rFonts w:ascii="Palatino Linotype" w:eastAsia="Palatino Linotype" w:hAnsi="Palatino Linotype" w:cs="Palatino Linotype"/>
          <w:b/>
        </w:rPr>
        <w:t>Ayuntamiento de Toluca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171DDD28" w14:textId="7DB1346C" w:rsidR="00F10A06" w:rsidRDefault="00EF3513" w:rsidP="007C2963">
      <w:pPr>
        <w:spacing w:line="360" w:lineRule="auto"/>
        <w:jc w:val="both"/>
        <w:rPr>
          <w:rFonts w:ascii="Palatino Linotype" w:hAnsi="Palatino Linotype" w:cs="Arial"/>
          <w:i/>
          <w:iCs/>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E00BE5">
        <w:rPr>
          <w:rFonts w:ascii="Palatino Linotype" w:hAnsi="Palatino Linotype" w:cs="Arial"/>
        </w:rPr>
        <w:t>mediante la</w:t>
      </w:r>
      <w:r w:rsidR="00BF358F">
        <w:rPr>
          <w:rFonts w:ascii="Palatino Linotype" w:hAnsi="Palatino Linotype" w:cs="Arial"/>
        </w:rPr>
        <w:t xml:space="preserve"> cual</w:t>
      </w:r>
      <w:r w:rsidR="007C2963">
        <w:rPr>
          <w:rFonts w:ascii="Palatino Linotype" w:hAnsi="Palatino Linotype" w:cs="Arial"/>
        </w:rPr>
        <w:t xml:space="preserve"> </w:t>
      </w:r>
      <w:r w:rsidR="007F0A74">
        <w:rPr>
          <w:rFonts w:ascii="Palatino Linotype" w:hAnsi="Palatino Linotype" w:cs="Arial"/>
        </w:rPr>
        <w:t>solicitó</w:t>
      </w:r>
      <w:r w:rsidR="00F10A06">
        <w:rPr>
          <w:rFonts w:ascii="Palatino Linotype" w:hAnsi="Palatino Linotype" w:cs="Arial"/>
        </w:rPr>
        <w:t xml:space="preserve"> </w:t>
      </w:r>
      <w:r w:rsidR="00F10A06" w:rsidRPr="00D9697B">
        <w:rPr>
          <w:rFonts w:ascii="Palatino Linotype" w:hAnsi="Palatino Linotype" w:cs="Arial"/>
          <w:i/>
        </w:rPr>
        <w:t>“</w:t>
      </w:r>
      <w:r w:rsidR="00322D57">
        <w:rPr>
          <w:rFonts w:ascii="Palatino Linotype" w:hAnsi="Palatino Linotype" w:cs="Arial"/>
          <w:i/>
        </w:rPr>
        <w:t xml:space="preserve">- </w:t>
      </w:r>
    </w:p>
    <w:p w14:paraId="32836D5F" w14:textId="77777777" w:rsidR="00830353" w:rsidRDefault="00830353" w:rsidP="00830353">
      <w:pPr>
        <w:spacing w:before="240" w:after="240"/>
        <w:ind w:left="851" w:right="902"/>
        <w:jc w:val="both"/>
        <w:rPr>
          <w:rFonts w:ascii="Palatino Linotype" w:eastAsia="Palatino Linotype" w:hAnsi="Palatino Linotype" w:cs="Palatino Linotype"/>
          <w:b/>
          <w:i/>
          <w:sz w:val="22"/>
          <w:szCs w:val="22"/>
          <w:lang w:val="es-MX"/>
        </w:rPr>
      </w:pPr>
      <w:r>
        <w:rPr>
          <w:rFonts w:ascii="Palatino Linotype" w:eastAsia="Palatino Linotype" w:hAnsi="Palatino Linotype" w:cs="Palatino Linotype"/>
          <w:i/>
          <w:sz w:val="22"/>
          <w:szCs w:val="22"/>
        </w:rPr>
        <w:lastRenderedPageBreak/>
        <w:t>“Solicito las renuncias de todos los servidores públicos, de enero a octubre del año 2022, así como sus Formatos Únicos de Personal por baja y alta con la nueva categoría como personal de confianza, todo a partir de enero a octubre del año 2022. De nueva cuenta vuelvo a solicitarlos, ya que el personal de la Unidad de Transparencia y del ayuntamiento, hackeó mi cuenta de Saimex, al desistirse por mi, de varios recursos de revisión que había interpuesto, con anterioridad. Por tal motivo voy a volver a solicitar todo lo que había solicitado desde el mes de enero a la fecha.</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 </w:t>
      </w:r>
    </w:p>
    <w:p w14:paraId="7CB6897C" w14:textId="77777777" w:rsidR="007C2963" w:rsidRDefault="007C2963" w:rsidP="007C2963">
      <w:pPr>
        <w:spacing w:line="360" w:lineRule="auto"/>
        <w:jc w:val="both"/>
        <w:rPr>
          <w:rFonts w:ascii="Palatino Linotype" w:hAnsi="Palatino Linotype" w:cs="Arial"/>
          <w:b/>
          <w:bCs/>
          <w:color w:val="000000" w:themeColor="text1"/>
        </w:rPr>
      </w:pPr>
    </w:p>
    <w:p w14:paraId="503DA126" w14:textId="22CD43C2" w:rsidR="00830353" w:rsidRDefault="006F62BA" w:rsidP="00830353">
      <w:pPr>
        <w:spacing w:before="100" w:beforeAutospacing="1" w:after="100" w:afterAutospacing="1" w:line="360" w:lineRule="auto"/>
        <w:contextualSpacing/>
        <w:jc w:val="both"/>
        <w:rPr>
          <w:rFonts w:ascii="Palatino Linotype" w:eastAsia="Palatino Linotype" w:hAnsi="Palatino Linotype" w:cs="Palatino Linotype"/>
        </w:rPr>
      </w:pPr>
      <w:r>
        <w:rPr>
          <w:rFonts w:ascii="Palatino Linotype" w:hAnsi="Palatino Linotype" w:cs="Arial"/>
          <w:b/>
          <w:bCs/>
          <w:color w:val="000000" w:themeColor="text1"/>
        </w:rPr>
        <w:t xml:space="preserve">EL SUJETO OBLIGADO </w:t>
      </w:r>
      <w:r w:rsidR="00830353">
        <w:rPr>
          <w:rFonts w:ascii="Palatino Linotype" w:eastAsia="Palatino Linotype" w:hAnsi="Palatino Linotype" w:cs="Palatino Linotype"/>
        </w:rPr>
        <w:t xml:space="preserve">informa que la Dirección General de Administración hizo entrega de las renuncias de todos los servidores públicos de enero a octubre de dos mil veintidós, así como los Formatos Únicos de Personal por baja y alta, en versión pública aprobada mediante los acuerdos AT/CT/01/2022 y AT/CT/02/2022 de la Sexagésima Septuagésima Séptima Sesión Extraordinaria del Comité de Transparencia del Municipio de Toluca, de fecha nueve de noviembre de dos mil veintidós, refiriendo que dichos documentos se adjuntaban. </w:t>
      </w:r>
    </w:p>
    <w:p w14:paraId="37AD353B" w14:textId="77777777" w:rsidR="00830353" w:rsidRDefault="00830353" w:rsidP="00830353">
      <w:pPr>
        <w:spacing w:before="100" w:beforeAutospacing="1" w:after="100" w:afterAutospacing="1" w:line="360" w:lineRule="auto"/>
        <w:contextualSpacing/>
        <w:jc w:val="both"/>
        <w:rPr>
          <w:rFonts w:ascii="Palatino Linotype" w:eastAsia="Palatino Linotype" w:hAnsi="Palatino Linotype" w:cs="Palatino Linotype"/>
          <w:lang w:val="es-MX"/>
        </w:rPr>
      </w:pPr>
    </w:p>
    <w:p w14:paraId="675C21E4" w14:textId="77777777" w:rsidR="00830353" w:rsidRDefault="00830353" w:rsidP="0083035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Documento constante de doscientas ochenta y cinco hojas, que contiene, en versión pública, diversos Formatos Únicos de Personal, FUP, de altas y bajas, así como cartas de renuncia, de enero a septiembre de dos mil veintidós.</w:t>
      </w:r>
    </w:p>
    <w:p w14:paraId="548D2808" w14:textId="77777777" w:rsidR="00830353" w:rsidRDefault="00830353" w:rsidP="0083035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Acta de la Sexcentésima Septuagésima Séptima Sesión Extraordinaria del Comité de Transparencia, mediante la cual, derivado de las propuestas presentadas por la Servidora Pública Habilitada de la Dirección General de Administración, para dar respuesta a la solicitud de información número 02223/TOLUCA/IP/2022, se sometió a consideración de los integrantes del Comité, el análisis y aprobación de la </w:t>
      </w:r>
      <w:r>
        <w:rPr>
          <w:rFonts w:ascii="Palatino Linotype" w:eastAsia="Palatino Linotype" w:hAnsi="Palatino Linotype" w:cs="Palatino Linotype"/>
        </w:rPr>
        <w:lastRenderedPageBreak/>
        <w:t>propuesta de clasificación como información confidencial de forma parcial, respecto a los datos personales contenidos en el Formato Único de Personal, FUP, y en las renuncias, con fundamento en los artículos 2, fracciones II y IV de la Ley de Protección de Datos Personales en Posesión de Sujetos Obligados del Estado de México y Municipios; 24 fracción XIV, 143, fracción I y demás aplicables a la Ley de Transparencia y Acceso a la Información Pública del Estado de México y Municipios; así como el análisis y aprobación de la propuesta de clasificación como información reservada de manera parcial, por un periodo de dos años, de la información referente a nombre completo de los servidores públicos adscritos a la Dirección General de Seguridad y Protección contenidos en el Formato Único de Personal, FUP, y en las renuncias, con fundamento en los artículos 104, fracciones I y II, 113, fracciones I y V de la Ley General de Transparencia y Acceso a la Información Pública; 129, fracciones I y II, y 140, fracción X de la Ley de Transparencia y Acceso a la Información Pública del Estado de México y Municipios.</w:t>
      </w:r>
    </w:p>
    <w:p w14:paraId="4EDCC300" w14:textId="77777777" w:rsidR="007C2963" w:rsidRDefault="007C2963" w:rsidP="00700DF1">
      <w:pPr>
        <w:spacing w:line="360" w:lineRule="auto"/>
        <w:jc w:val="both"/>
        <w:rPr>
          <w:rFonts w:ascii="Palatino Linotype" w:hAnsi="Palatino Linotype"/>
          <w:color w:val="000000" w:themeColor="text1"/>
        </w:rPr>
      </w:pPr>
    </w:p>
    <w:p w14:paraId="234613BC" w14:textId="0ADFE46A"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D9697B">
        <w:rPr>
          <w:rFonts w:ascii="Palatino Linotype" w:hAnsi="Palatino Linotype" w:cs="Arial"/>
        </w:rPr>
        <w:t>se interpuso</w:t>
      </w:r>
      <w:r w:rsidR="00F10A06">
        <w:rPr>
          <w:rFonts w:ascii="Palatino Linotype" w:hAnsi="Palatino Linotype" w:cs="Arial"/>
        </w:rPr>
        <w:t xml:space="preserve"> </w:t>
      </w:r>
      <w:r w:rsidR="00D9697B">
        <w:rPr>
          <w:rFonts w:ascii="Palatino Linotype" w:hAnsi="Palatino Linotype" w:cs="Arial"/>
        </w:rPr>
        <w:t>el</w:t>
      </w:r>
      <w:r w:rsidR="00F10A06">
        <w:rPr>
          <w:rFonts w:ascii="Palatino Linotype" w:hAnsi="Palatino Linotype" w:cs="Arial"/>
        </w:rPr>
        <w:t xml:space="preserve"> Recurso de Revisión</w:t>
      </w:r>
      <w:r>
        <w:rPr>
          <w:rFonts w:ascii="Palatino Linotype" w:hAnsi="Palatino Linotype"/>
          <w:color w:val="000000" w:themeColor="text1"/>
        </w:rPr>
        <w:t xml:space="preserve"> indicando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731862E2" w14:textId="77777777" w:rsidR="00830353" w:rsidRDefault="00830353" w:rsidP="00830353">
      <w:pPr>
        <w:tabs>
          <w:tab w:val="left" w:pos="2745"/>
        </w:tabs>
        <w:spacing w:before="240" w:after="240" w:line="360" w:lineRule="auto"/>
        <w:jc w:val="both"/>
        <w:rPr>
          <w:rFonts w:ascii="Palatino Linotype" w:eastAsia="Palatino Linotype" w:hAnsi="Palatino Linotype" w:cs="Palatino Linotype"/>
          <w:b/>
          <w:lang w:val="es-MX"/>
        </w:rPr>
      </w:pPr>
      <w:r>
        <w:rPr>
          <w:rFonts w:ascii="Palatino Linotype" w:eastAsia="Palatino Linotype" w:hAnsi="Palatino Linotype" w:cs="Palatino Linotype"/>
          <w:b/>
        </w:rPr>
        <w:t xml:space="preserve">Acto impugnado: </w:t>
      </w:r>
    </w:p>
    <w:p w14:paraId="099665F3" w14:textId="77777777" w:rsidR="00830353" w:rsidRDefault="00830353" w:rsidP="00830353">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que fue entregada por la Unidad de Transparencia.” (sic)</w:t>
      </w:r>
    </w:p>
    <w:p w14:paraId="69D1D9D7" w14:textId="77777777" w:rsidR="00830353" w:rsidRDefault="00830353" w:rsidP="00830353">
      <w:pPr>
        <w:spacing w:line="360" w:lineRule="auto"/>
        <w:jc w:val="both"/>
        <w:rPr>
          <w:rFonts w:ascii="Palatino Linotype" w:eastAsia="Palatino Linotype" w:hAnsi="Palatino Linotype" w:cs="Palatino Linotype"/>
        </w:rPr>
      </w:pPr>
      <w:bookmarkStart w:id="1" w:name="_heading=h.30j0zll"/>
      <w:bookmarkEnd w:id="1"/>
      <w:r>
        <w:rPr>
          <w:rFonts w:ascii="Palatino Linotype" w:eastAsia="Palatino Linotype" w:hAnsi="Palatino Linotype" w:cs="Palatino Linotype"/>
          <w:b/>
        </w:rPr>
        <w:lastRenderedPageBreak/>
        <w:t>Y Razones o motivos de inconformidad</w:t>
      </w:r>
      <w:r>
        <w:rPr>
          <w:rFonts w:ascii="Palatino Linotype" w:eastAsia="Palatino Linotype" w:hAnsi="Palatino Linotype" w:cs="Palatino Linotype"/>
        </w:rPr>
        <w:t>:</w:t>
      </w:r>
    </w:p>
    <w:p w14:paraId="329F00A5" w14:textId="77777777" w:rsidR="00830353" w:rsidRDefault="00830353" w:rsidP="00830353">
      <w:pPr>
        <w:spacing w:line="360" w:lineRule="auto"/>
        <w:jc w:val="center"/>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No me entregaron todo lo que solicité vía transparencia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i/>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2F65511" w14:textId="0B0B70FB" w:rsidR="00830353" w:rsidRDefault="00BB071F" w:rsidP="00830353">
      <w:pPr>
        <w:spacing w:line="360" w:lineRule="auto"/>
        <w:jc w:val="both"/>
        <w:rPr>
          <w:rFonts w:ascii="Palatino Linotype" w:eastAsia="Palatino Linotype" w:hAnsi="Palatino Linotype" w:cs="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 xml:space="preserve">la resolución </w:t>
      </w:r>
      <w:r w:rsidR="00830353">
        <w:rPr>
          <w:rFonts w:ascii="Palatino Linotype" w:eastAsia="Palatino Linotype" w:hAnsi="Palatino Linotype" w:cs="Palatino Linotype"/>
          <w:b/>
        </w:rPr>
        <w:t>Ordena</w:t>
      </w:r>
      <w:r w:rsidR="00830353">
        <w:rPr>
          <w:rFonts w:ascii="Palatino Linotype" w:eastAsia="Palatino Linotype" w:hAnsi="Palatino Linotype" w:cs="Palatino Linotype"/>
        </w:rPr>
        <w:t xml:space="preserve"> al </w:t>
      </w:r>
      <w:r w:rsidR="00830353">
        <w:rPr>
          <w:rFonts w:ascii="Palatino Linotype" w:eastAsia="Palatino Linotype" w:hAnsi="Palatino Linotype" w:cs="Palatino Linotype"/>
          <w:b/>
        </w:rPr>
        <w:t>Sujeto Obligado</w:t>
      </w:r>
      <w:r w:rsidR="00830353">
        <w:rPr>
          <w:rFonts w:ascii="Palatino Linotype" w:eastAsia="Palatino Linotype" w:hAnsi="Palatino Linotype" w:cs="Palatino Linotype"/>
        </w:rPr>
        <w:t>, haga entrega, vía SAIMEX, en versión pública, de lo siguiente:</w:t>
      </w:r>
    </w:p>
    <w:p w14:paraId="764DE793" w14:textId="77777777" w:rsidR="00830353" w:rsidRDefault="00830353" w:rsidP="00830353">
      <w:pPr>
        <w:spacing w:line="360" w:lineRule="auto"/>
        <w:jc w:val="both"/>
        <w:rPr>
          <w:rFonts w:ascii="Palatino Linotype" w:eastAsia="Palatino Linotype" w:hAnsi="Palatino Linotype" w:cs="Palatino Linotype"/>
          <w:lang w:val="es-MX"/>
        </w:rPr>
      </w:pPr>
    </w:p>
    <w:p w14:paraId="3F2A1D21" w14:textId="77777777" w:rsidR="00830353" w:rsidRDefault="00830353" w:rsidP="00830353">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1. De la Dirección General de Seguridad Pública y Protección del uno de enero al diecinueve de octubre de dos mil veintidós:</w:t>
      </w:r>
    </w:p>
    <w:p w14:paraId="4DAC5E6C" w14:textId="77777777" w:rsidR="00830353" w:rsidRDefault="00830353" w:rsidP="00830353">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a. Formato Único de Personal, FUP </w:t>
      </w:r>
      <w:r>
        <w:rPr>
          <w:rFonts w:ascii="Palatino Linotype" w:eastAsia="Palatino Linotype" w:hAnsi="Palatino Linotype" w:cs="Palatino Linotype"/>
          <w:b/>
        </w:rPr>
        <w:t>de baja</w:t>
      </w:r>
      <w:r>
        <w:rPr>
          <w:rFonts w:ascii="Palatino Linotype" w:eastAsia="Palatino Linotype" w:hAnsi="Palatino Linotype" w:cs="Palatino Linotype"/>
        </w:rPr>
        <w:t xml:space="preserve"> y renuncia de los servidores públicos </w:t>
      </w:r>
      <w:r>
        <w:rPr>
          <w:rFonts w:ascii="Palatino Linotype" w:eastAsia="Palatino Linotype" w:hAnsi="Palatino Linotype" w:cs="Palatino Linotype"/>
          <w:b/>
        </w:rPr>
        <w:t>dados de baja</w:t>
      </w:r>
      <w:r>
        <w:rPr>
          <w:rFonts w:ascii="Palatino Linotype" w:eastAsia="Palatino Linotype" w:hAnsi="Palatino Linotype" w:cs="Palatino Linotype"/>
        </w:rPr>
        <w:t>.</w:t>
      </w:r>
    </w:p>
    <w:p w14:paraId="68AF2122" w14:textId="77777777" w:rsidR="00830353" w:rsidRDefault="00830353" w:rsidP="00830353">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b. Formato Único de Personal, FUP, de los servidores públicos </w:t>
      </w:r>
      <w:r>
        <w:rPr>
          <w:rFonts w:ascii="Palatino Linotype" w:eastAsia="Palatino Linotype" w:hAnsi="Palatino Linotype" w:cs="Palatino Linotype"/>
          <w:b/>
        </w:rPr>
        <w:t>dados de alta</w:t>
      </w:r>
      <w:r>
        <w:rPr>
          <w:rFonts w:ascii="Palatino Linotype" w:eastAsia="Palatino Linotype" w:hAnsi="Palatino Linotype" w:cs="Palatino Linotype"/>
        </w:rPr>
        <w:t>, que desempeñan cargos de mandos medios y superiores, y funciones administrativas.</w:t>
      </w:r>
    </w:p>
    <w:p w14:paraId="219715A2" w14:textId="77777777" w:rsidR="00830353" w:rsidRDefault="00830353" w:rsidP="00830353">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c. Formato Único de Personal, FUP, de los servidores públicos </w:t>
      </w:r>
      <w:r>
        <w:rPr>
          <w:rFonts w:ascii="Palatino Linotype" w:eastAsia="Palatino Linotype" w:hAnsi="Palatino Linotype" w:cs="Palatino Linotype"/>
          <w:b/>
        </w:rPr>
        <w:t>dados de alta</w:t>
      </w:r>
      <w:r>
        <w:rPr>
          <w:rFonts w:ascii="Palatino Linotype" w:eastAsia="Palatino Linotype" w:hAnsi="Palatino Linotype" w:cs="Palatino Linotype"/>
        </w:rPr>
        <w:t>, que desempeñan funciones operativas, testando el nombre completo, cargo y horario laboral.</w:t>
      </w:r>
    </w:p>
    <w:p w14:paraId="3850D54F" w14:textId="48FFBD84"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w:t>
      </w:r>
      <w:r w:rsidRPr="00C242A7">
        <w:rPr>
          <w:rFonts w:ascii="Palatino Linotype" w:eastAsia="Calibri" w:hAnsi="Palatino Linotype" w:cs="Tahoma"/>
          <w:bCs/>
          <w:lang w:eastAsia="en-US"/>
        </w:rPr>
        <w:lastRenderedPageBreak/>
        <w:t xml:space="preserve">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35B20B22" w:rsidR="00C242A7" w:rsidRPr="00C242A7"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00C242A7" w:rsidRPr="00CD2984">
        <w:rPr>
          <w:rFonts w:ascii="Palatino Linotype" w:eastAsia="Calibri" w:hAnsi="Palatino Linotype" w:cs="Tahoma"/>
          <w:b/>
          <w:bCs/>
          <w:lang w:eastAsia="en-US"/>
        </w:rPr>
        <w:t>no se acompaña la clasificación del cargo de los elementos operativos</w:t>
      </w:r>
      <w:r w:rsidR="00C242A7" w:rsidRPr="00C242A7">
        <w:rPr>
          <w:rFonts w:ascii="Palatino Linotype" w:eastAsia="Calibri" w:hAnsi="Palatino Linotype" w:cs="Tahoma"/>
          <w:bCs/>
          <w:lang w:eastAsia="en-US"/>
        </w:rPr>
        <w:t>.</w:t>
      </w:r>
    </w:p>
    <w:p w14:paraId="65A070DB" w14:textId="7BBDE635"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6F62BA">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la clasificación de los nombres y cargos de los servidores públicos de seguridad pública, la cual procederá en aquellos servidores públicos que </w:t>
      </w:r>
      <w:r w:rsidR="00700DF1" w:rsidRPr="00700DF1">
        <w:rPr>
          <w:rFonts w:ascii="Palatino Linotype" w:hAnsi="Palatino Linotype"/>
        </w:rPr>
        <w:lastRenderedPageBreak/>
        <w:t>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37EDB2CD"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27697657" w14:textId="77777777" w:rsidR="006F62BA" w:rsidRDefault="006F62BA" w:rsidP="006F62BA">
      <w:pPr>
        <w:pStyle w:val="Prrafodelista"/>
        <w:tabs>
          <w:tab w:val="left" w:pos="851"/>
        </w:tabs>
        <w:spacing w:line="360" w:lineRule="auto"/>
        <w:ind w:left="0" w:right="49"/>
        <w:jc w:val="both"/>
      </w:pPr>
    </w:p>
    <w:p w14:paraId="5672C774" w14:textId="0FFAE0FA"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w:t>
      </w:r>
      <w:r>
        <w:rPr>
          <w:rFonts w:ascii="Palatino Linotype" w:hAnsi="Palatino Linotype" w:cs="Tahoma"/>
        </w:rPr>
        <w:lastRenderedPageBreak/>
        <w:t xml:space="preserve">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w:t>
      </w:r>
      <w:r>
        <w:rPr>
          <w:rFonts w:ascii="Palatino Linotype" w:hAnsi="Palatino Linotype" w:cs="Tahoma"/>
        </w:rPr>
        <w:lastRenderedPageBreak/>
        <w:t xml:space="preserve">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77777777" w:rsidR="000625B1" w:rsidRPr="00A7702A" w:rsidRDefault="000625B1" w:rsidP="00A7702A">
      <w:pPr>
        <w:pStyle w:val="Prrafodelista"/>
        <w:tabs>
          <w:tab w:val="left" w:pos="851"/>
        </w:tabs>
        <w:spacing w:line="276" w:lineRule="auto"/>
        <w:ind w:left="567" w:right="567"/>
        <w:jc w:val="both"/>
        <w:rPr>
          <w:rFonts w:ascii="Palatino Linotype" w:hAnsi="Palatino Linotype"/>
          <w:i/>
        </w:rPr>
      </w:pPr>
      <w:r w:rsidRPr="00A7702A">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w:t>
      </w:r>
      <w:r w:rsidRPr="00A7702A">
        <w:rPr>
          <w:rFonts w:ascii="Palatino Linotype" w:hAnsi="Palatino Linotype"/>
          <w:i/>
        </w:rPr>
        <w:lastRenderedPageBreak/>
        <w:t>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t xml:space="preserve">Artículo </w:t>
      </w:r>
      <w:r w:rsidRPr="00A66A81">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 Nombre del integrante de la Institución de Seguridad Pública; </w:t>
      </w:r>
    </w:p>
    <w:p w14:paraId="3E3C6183"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 </w:t>
      </w:r>
      <w:r w:rsidRPr="00A66A81">
        <w:rPr>
          <w:rFonts w:ascii="Palatino Linotype" w:hAnsi="Palatino Linotype" w:cs="Tahoma"/>
          <w:b/>
          <w:i/>
        </w:rPr>
        <w:t>Cargo y nivel jerárquico</w:t>
      </w:r>
      <w:r w:rsidRPr="00A66A81">
        <w:rPr>
          <w:rFonts w:ascii="Palatino Linotype" w:hAnsi="Palatino Linotype" w:cs="Tahoma"/>
          <w:i/>
        </w:rPr>
        <w:t xml:space="preserve">; </w:t>
      </w:r>
    </w:p>
    <w:p w14:paraId="159C0361"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IV. Huella digital del integrante de la Institución de Seguridad Pública; </w:t>
      </w:r>
    </w:p>
    <w:p w14:paraId="23AC5E5C"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lastRenderedPageBreak/>
        <w:t xml:space="preserve">V. Clave de inscripción en el Registro Nacional de Personal de Seguridad Pública; </w:t>
      </w:r>
    </w:p>
    <w:p w14:paraId="4D6CE41D"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 Firma del integrante; </w:t>
      </w:r>
    </w:p>
    <w:p w14:paraId="4BDAFD0B"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p>
    <w:p w14:paraId="1C4BC6C3" w14:textId="40161C15" w:rsidR="00A66A81" w:rsidRPr="00A66A81" w:rsidRDefault="00A66A81" w:rsidP="00A7702A">
      <w:pPr>
        <w:tabs>
          <w:tab w:val="left" w:pos="8789"/>
          <w:tab w:val="left" w:pos="9639"/>
          <w:tab w:val="left" w:pos="9923"/>
        </w:tabs>
        <w:spacing w:line="276" w:lineRule="auto"/>
        <w:ind w:left="567" w:right="567"/>
        <w:jc w:val="both"/>
        <w:rPr>
          <w:rFonts w:ascii="Palatino Linotype" w:hAnsi="Palatino Linotype" w:cs="Tahoma"/>
          <w:i/>
        </w:rPr>
      </w:pPr>
      <w:r w:rsidRPr="00A66A81">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A7702A" w:rsidRDefault="00A66A81" w:rsidP="00A7702A">
      <w:pPr>
        <w:autoSpaceDE w:val="0"/>
        <w:autoSpaceDN w:val="0"/>
        <w:adjustRightInd w:val="0"/>
        <w:spacing w:line="276" w:lineRule="auto"/>
        <w:ind w:left="567" w:right="567"/>
        <w:jc w:val="center"/>
        <w:rPr>
          <w:rFonts w:ascii="Times" w:hAnsi="Times" w:cs="Times"/>
          <w:b/>
          <w:i/>
          <w:u w:val="single"/>
        </w:rPr>
      </w:pPr>
      <w:r w:rsidRPr="00A7702A">
        <w:rPr>
          <w:rFonts w:ascii="Times" w:hAnsi="Times" w:cs="Times"/>
          <w:b/>
          <w:i/>
          <w:u w:val="single"/>
        </w:rPr>
        <w:t>Ley de Seguridad del Estado de México:</w:t>
      </w:r>
    </w:p>
    <w:p w14:paraId="3ABB834D" w14:textId="77777777" w:rsidR="00A66A81" w:rsidRPr="00DE61A8" w:rsidRDefault="00A66A81" w:rsidP="00A7702A">
      <w:pPr>
        <w:spacing w:line="276" w:lineRule="auto"/>
        <w:ind w:left="567" w:right="567"/>
        <w:jc w:val="both"/>
        <w:rPr>
          <w:rFonts w:ascii="Palatino Linotype" w:hAnsi="Palatino Linotype" w:cs="Tahoma"/>
        </w:rPr>
      </w:pPr>
    </w:p>
    <w:p w14:paraId="59326BAF"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717B6826" w14:textId="4B11CF98"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 xml:space="preserve">B. Obligaciones: </w:t>
      </w:r>
    </w:p>
    <w:p w14:paraId="01BA5577"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 Generales:</w:t>
      </w:r>
    </w:p>
    <w:p w14:paraId="53DEFD8A" w14:textId="0555D137" w:rsidR="00A66A81" w:rsidRDefault="00A66A81" w:rsidP="00A7702A">
      <w:pPr>
        <w:spacing w:line="276" w:lineRule="auto"/>
        <w:ind w:left="567" w:right="567"/>
        <w:jc w:val="both"/>
        <w:rPr>
          <w:rFonts w:ascii="Palatino Linotype" w:hAnsi="Palatino Linotype" w:cs="Tahoma"/>
          <w:b/>
          <w:i/>
        </w:rPr>
      </w:pPr>
      <w:r w:rsidRPr="00A66A81">
        <w:rPr>
          <w:rFonts w:ascii="Palatino Linotype" w:hAnsi="Palatino Linotype" w:cs="Tahoma"/>
          <w:b/>
          <w:i/>
        </w:rPr>
        <w:lastRenderedPageBreak/>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4F695CCA" w14:textId="77777777" w:rsidR="00A66A81" w:rsidRPr="00F368CD"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t</w:t>
      </w:r>
      <w:r w:rsidRPr="00A66A81">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F368CD">
        <w:rPr>
          <w:rFonts w:ascii="Palatino Linotype" w:hAnsi="Palatino Linotype" w:cs="Tahoma"/>
          <w:i/>
        </w:rPr>
        <w:t xml:space="preserve">; </w:t>
      </w:r>
    </w:p>
    <w:p w14:paraId="5CDF07C8" w14:textId="77777777" w:rsidR="00A66A81" w:rsidRDefault="00A66A81" w:rsidP="00A7702A">
      <w:pPr>
        <w:spacing w:line="276" w:lineRule="auto"/>
        <w:ind w:left="567" w:right="567"/>
        <w:jc w:val="both"/>
        <w:rPr>
          <w:rFonts w:ascii="Palatino Linotype" w:hAnsi="Palatino Linotype" w:cs="Tahoma"/>
          <w:i/>
        </w:rPr>
      </w:pPr>
      <w:r>
        <w:rPr>
          <w:rFonts w:ascii="Palatino Linotype" w:hAnsi="Palatino Linotype" w:cs="Tahoma"/>
          <w:i/>
        </w:rPr>
        <w:t>(…)</w:t>
      </w:r>
    </w:p>
    <w:p w14:paraId="22A89139" w14:textId="77777777" w:rsidR="00A66A81" w:rsidRDefault="00A66A81" w:rsidP="00A7702A">
      <w:pPr>
        <w:spacing w:line="276" w:lineRule="auto"/>
        <w:ind w:left="567" w:right="567"/>
        <w:jc w:val="both"/>
        <w:rPr>
          <w:rFonts w:ascii="Palatino Linotype" w:hAnsi="Palatino Linotype" w:cs="Tahoma"/>
          <w:i/>
        </w:rPr>
      </w:pPr>
      <w:r w:rsidRPr="00F368C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31FE9A22" w14:textId="3161BFE0" w:rsidR="00A66A81" w:rsidRDefault="00A66A81" w:rsidP="00A7702A">
      <w:pPr>
        <w:spacing w:line="276" w:lineRule="auto"/>
        <w:ind w:left="567" w:right="567"/>
        <w:jc w:val="both"/>
        <w:rPr>
          <w:rFonts w:ascii="Palatino Linotype" w:hAnsi="Palatino Linotype" w:cs="Tahoma"/>
          <w:i/>
        </w:rPr>
      </w:pPr>
      <w:r w:rsidRPr="00A66A81">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F368CD">
        <w:rPr>
          <w:rFonts w:ascii="Palatino Linotype" w:hAnsi="Palatino Linotype" w:cs="Tahoma"/>
          <w:i/>
        </w:rPr>
        <w:t>;</w:t>
      </w:r>
    </w:p>
    <w:p w14:paraId="1613909F"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29CC0E78" w14:textId="77777777" w:rsidR="00A66A81" w:rsidRPr="00A66A81" w:rsidRDefault="00A66A81" w:rsidP="00A7702A">
      <w:pPr>
        <w:spacing w:line="276" w:lineRule="auto"/>
        <w:ind w:left="567" w:right="567"/>
        <w:jc w:val="both"/>
        <w:rPr>
          <w:rFonts w:ascii="Palatino Linotype" w:hAnsi="Palatino Linotype" w:cs="Tahoma"/>
          <w:b/>
          <w:i/>
        </w:rPr>
      </w:pPr>
      <w:r w:rsidRPr="00A66A81">
        <w:rPr>
          <w:rFonts w:ascii="Palatino Linotype" w:hAnsi="Palatino Linotype" w:cs="Tahoma"/>
          <w:b/>
          <w:i/>
        </w:rPr>
        <w:t xml:space="preserve">ag) Las demás que establezca esta Ley y otras disposiciones aplicables. </w:t>
      </w:r>
    </w:p>
    <w:p w14:paraId="4E1EFE89" w14:textId="77777777" w:rsidR="005C4513" w:rsidRDefault="005C4513" w:rsidP="00A7702A">
      <w:pPr>
        <w:spacing w:line="276" w:lineRule="auto"/>
        <w:ind w:left="567" w:right="567"/>
        <w:jc w:val="both"/>
        <w:rPr>
          <w:rFonts w:ascii="Palatino Linotype" w:hAnsi="Palatino Linotype" w:cs="Tahoma"/>
          <w:i/>
        </w:rPr>
      </w:pPr>
    </w:p>
    <w:p w14:paraId="3F2AF02D"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CB2F05">
        <w:rPr>
          <w:rFonts w:ascii="Palatino Linotype" w:hAnsi="Palatino Linotype" w:cs="Tahoma"/>
          <w:i/>
        </w:rPr>
        <w:t>(. . .)</w:t>
      </w:r>
    </w:p>
    <w:p w14:paraId="37213A2B" w14:textId="4847DA09" w:rsidR="006F62BA" w:rsidRPr="00CB2F05"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rPr>
      </w:pPr>
      <w:r w:rsidRPr="008A67F1">
        <w:rPr>
          <w:rFonts w:ascii="Palatino Linotype" w:hAnsi="Palatino Linotype" w:cs="Tahoma"/>
          <w:b/>
          <w:i/>
        </w:rPr>
        <w:t>Todos los elementos de las Instituciones de Seguridad Pública tienen la obligación de identificarse</w:t>
      </w:r>
      <w:r w:rsidRPr="00CB2F05">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CB2F05" w:rsidRDefault="006F62BA" w:rsidP="00A7702A">
      <w:pPr>
        <w:autoSpaceDE w:val="0"/>
        <w:autoSpaceDN w:val="0"/>
        <w:adjustRightInd w:val="0"/>
        <w:spacing w:line="276" w:lineRule="auto"/>
        <w:ind w:left="567" w:right="567"/>
        <w:jc w:val="both"/>
        <w:rPr>
          <w:rFonts w:ascii="Palatino Linotype" w:hAnsi="Palatino Linotype" w:cs="Tahoma"/>
          <w:i/>
        </w:rPr>
      </w:pPr>
    </w:p>
    <w:p w14:paraId="64B28EF8" w14:textId="568D86EC" w:rsidR="006F62BA" w:rsidRPr="00A7702A" w:rsidRDefault="006F62BA" w:rsidP="00A7702A">
      <w:pPr>
        <w:spacing w:line="276" w:lineRule="auto"/>
        <w:ind w:left="567" w:right="567"/>
        <w:jc w:val="center"/>
        <w:rPr>
          <w:rFonts w:ascii="Palatino Linotype" w:hAnsi="Palatino Linotype" w:cs="Tahoma"/>
          <w:b/>
          <w:i/>
          <w:u w:val="single"/>
        </w:rPr>
      </w:pPr>
      <w:r w:rsidRPr="00A7702A">
        <w:rPr>
          <w:rFonts w:ascii="Palatino Linotype" w:hAnsi="Palatino Linotype" w:cs="Tahoma"/>
          <w:b/>
          <w:i/>
          <w:u w:val="single"/>
        </w:rPr>
        <w:t>Ley de Responsabilidades de los Servidores Públicos del Estado y Municipios:</w:t>
      </w:r>
    </w:p>
    <w:p w14:paraId="1A5BE05C"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p>
    <w:p w14:paraId="10867BAF" w14:textId="77777777" w:rsidR="00CB2F05"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lastRenderedPageBreak/>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Default="00CB2F05" w:rsidP="00A7702A">
      <w:pPr>
        <w:spacing w:line="276" w:lineRule="auto"/>
        <w:ind w:left="567" w:right="567"/>
        <w:jc w:val="both"/>
        <w:rPr>
          <w:rFonts w:ascii="Palatino Linotype" w:hAnsi="Palatino Linotype" w:cs="Tahoma"/>
          <w:i/>
        </w:rPr>
      </w:pPr>
      <w:r>
        <w:rPr>
          <w:rFonts w:ascii="Palatino Linotype" w:hAnsi="Palatino Linotype" w:cs="Tahoma"/>
          <w:i/>
        </w:rPr>
        <w:t>(…)</w:t>
      </w:r>
    </w:p>
    <w:p w14:paraId="7C6F292C" w14:textId="07905C86" w:rsidR="006F62BA" w:rsidRPr="00CB2F05" w:rsidRDefault="00CB2F05" w:rsidP="00A7702A">
      <w:pPr>
        <w:tabs>
          <w:tab w:val="left" w:pos="142"/>
        </w:tabs>
        <w:spacing w:line="276" w:lineRule="auto"/>
        <w:ind w:left="567" w:right="567"/>
        <w:jc w:val="both"/>
        <w:rPr>
          <w:rFonts w:ascii="Palatino Linotype" w:hAnsi="Palatino Linotype" w:cs="Tahoma"/>
          <w:i/>
        </w:rPr>
      </w:pPr>
      <w:r w:rsidRPr="00CB2F05">
        <w:rPr>
          <w:rFonts w:ascii="Palatino Linotype" w:hAnsi="Palatino Linotype" w:cs="Tahoma"/>
          <w:i/>
        </w:rPr>
        <w:t>I. Actuar conforme a lo que las leyes, reglamentos y demás disposiciones jurídicas les atribuyen a su empleo, cargo o comisión, por lo que deben conocer y cumplir las disposiciones que regulan el ejercicio de sus funciones, facultades y atribuciones.</w:t>
      </w:r>
      <w:r w:rsidR="00590F29">
        <w:rPr>
          <w:rFonts w:ascii="Palatino Linotype" w:hAnsi="Palatino Linotype" w:cs="Tahoma"/>
          <w:i/>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4E4B2BE5" w:rsidR="000625B1" w:rsidRDefault="00C31088" w:rsidP="00614534">
      <w:pPr>
        <w:tabs>
          <w:tab w:val="left" w:pos="851"/>
        </w:tabs>
        <w:spacing w:line="360" w:lineRule="auto"/>
        <w:ind w:right="49"/>
        <w:jc w:val="both"/>
        <w:rPr>
          <w:rFonts w:ascii="Palatino Linotype" w:hAnsi="Palatino Linotype"/>
        </w:rPr>
      </w:pPr>
      <w:r>
        <w:rPr>
          <w:rFonts w:ascii="Palatino Linotype" w:hAnsi="Palatino Linotype"/>
        </w:rPr>
        <w:t>Asimismo,</w:t>
      </w:r>
      <w:r w:rsidR="00C242A7" w:rsidRPr="00C242A7">
        <w:rPr>
          <w:rFonts w:ascii="Palatino Linotype" w:hAnsi="Palatino Linotype"/>
        </w:rPr>
        <w:t xml:space="preserve">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lastRenderedPageBreak/>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360AAF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lastRenderedPageBreak/>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5B41CFD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0FE9CBE9"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 xml:space="preserve">NOMBRES DE SERVIDORES PÚBLICOS DEDICADOS A ACTIVIDADES EN MATERIA DE SEGURIDAD, POR EXCEPCIÓN PUEDEN CONSIDERARSE </w:t>
      </w:r>
      <w:r w:rsidRPr="00CD2984">
        <w:rPr>
          <w:rFonts w:ascii="Palatino Linotype" w:hAnsi="Palatino Linotype"/>
          <w:b/>
          <w:bCs/>
          <w:i/>
          <w:sz w:val="22"/>
          <w:lang w:val="es-MX"/>
        </w:rPr>
        <w:lastRenderedPageBreak/>
        <w:t>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28BC4904"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7E94EBCD" w:rsidR="00AC25BC" w:rsidRPr="00CD2984"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CD2984">
        <w:rPr>
          <w:rFonts w:ascii="Palatino Linotype" w:hAnsi="Palatino Linotype"/>
          <w:i/>
        </w:rPr>
        <w:t>Conciliación de Nómina</w:t>
      </w:r>
      <w:r w:rsidRPr="00CD2984">
        <w:rPr>
          <w:rFonts w:ascii="Palatino Linotype" w:hAnsi="Palatino Linotype"/>
        </w:rPr>
        <w:t xml:space="preserve"> que los Sujetos Obligados entregan de forma trimestral al Órgano Superior de Fiscalización </w:t>
      </w:r>
      <w:r w:rsidR="00DB481D">
        <w:rPr>
          <w:rFonts w:ascii="Palatino Linotype" w:hAnsi="Palatino Linotype"/>
        </w:rPr>
        <w:t>de la entidad</w:t>
      </w:r>
      <w:r w:rsidR="007F0A74">
        <w:rPr>
          <w:rFonts w:ascii="Palatino Linotype" w:hAnsi="Palatino Linotype"/>
        </w:rPr>
        <w:t>,</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6157348B"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Por lo tanto, el considerar clasificar el cargo dentro de un recibo de nómina, implicaría el clasificar el dato en </w:t>
      </w:r>
      <w:r w:rsidRPr="00CD2984">
        <w:rPr>
          <w:rFonts w:ascii="Palatino Linotype" w:hAnsi="Palatino Linotype"/>
          <w:b/>
        </w:rPr>
        <w:t>todos</w:t>
      </w:r>
      <w:r w:rsidRPr="00CD2984">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w:t>
      </w:r>
      <w:r w:rsidRPr="00CD2984">
        <w:rPr>
          <w:rFonts w:ascii="Palatino Linotype" w:hAnsi="Palatino Linotype"/>
        </w:rPr>
        <w:lastRenderedPageBreak/>
        <w:t>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lastRenderedPageBreak/>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la ausencia de confianza 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45B2A806" w14:textId="38B49214" w:rsidR="009535D2"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w:t>
      </w:r>
      <w:r>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0254DFD0" w14:textId="77777777" w:rsidR="008721A1" w:rsidRDefault="008721A1" w:rsidP="000625B1">
      <w:pPr>
        <w:pStyle w:val="Prrafodelista"/>
        <w:tabs>
          <w:tab w:val="left" w:pos="851"/>
        </w:tabs>
        <w:spacing w:line="360" w:lineRule="auto"/>
        <w:ind w:left="0" w:right="49"/>
        <w:jc w:val="both"/>
        <w:rPr>
          <w:rFonts w:ascii="Palatino Linotype" w:hAnsi="Palatino Linotype"/>
        </w:rPr>
      </w:pPr>
    </w:p>
    <w:p w14:paraId="680EE8B3" w14:textId="10B85A70" w:rsidR="008721A1" w:rsidRDefault="00C31088" w:rsidP="008721A1">
      <w:pPr>
        <w:pStyle w:val="Prrafodelista"/>
        <w:tabs>
          <w:tab w:val="left" w:pos="284"/>
        </w:tabs>
        <w:spacing w:line="360" w:lineRule="auto"/>
        <w:ind w:left="0"/>
        <w:jc w:val="both"/>
        <w:rPr>
          <w:rFonts w:ascii="Palatino Linotype" w:hAnsi="Palatino Linotype" w:cs="Tahoma"/>
        </w:rPr>
      </w:pPr>
      <w:r>
        <w:rPr>
          <w:rFonts w:ascii="Palatino Linotype" w:hAnsi="Palatino Linotype"/>
        </w:rPr>
        <w:t xml:space="preserve">Asimismo, tampoco </w:t>
      </w:r>
      <w:r w:rsidR="008721A1">
        <w:rPr>
          <w:rFonts w:ascii="Palatino Linotype" w:hAnsi="Palatino Linotype"/>
        </w:rPr>
        <w:t>se comparte que se clasifique como reservado el  horario de entrada y salida o jornada laboral en las listas de asistencia, ya se contrapone con la rendición de cuentas porque impide conocer la regulación de las jornadas laborales  de los policías y así tener certeza por una parte que su actuación efectivamente se rige por los principios previstos por la Constitución Federal en cuanto a la disciplina y puntualidad en el servicio, y por otra parte el respeto a sus condiciones laborales, ya que las largas jornadas son condiciones que impactan negativamente en su desempeño y, consecuentemente en la seguridad de los ciudadanos, lo anterior con base en las siguientes consideraciones:</w:t>
      </w:r>
    </w:p>
    <w:p w14:paraId="1F01FE9C" w14:textId="77777777" w:rsidR="008721A1" w:rsidRDefault="008721A1" w:rsidP="008721A1">
      <w:pPr>
        <w:pStyle w:val="Prrafodelista"/>
        <w:rPr>
          <w:rFonts w:ascii="Palatino Linotype" w:hAnsi="Palatino Linotype" w:cs="Tahoma"/>
        </w:rPr>
      </w:pPr>
    </w:p>
    <w:p w14:paraId="31FD0895"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533F13DE" w14:textId="77777777" w:rsidR="008721A1" w:rsidRDefault="008721A1" w:rsidP="008721A1">
      <w:pPr>
        <w:pStyle w:val="Prrafodelista"/>
        <w:spacing w:line="360" w:lineRule="auto"/>
        <w:ind w:left="0"/>
        <w:jc w:val="both"/>
        <w:rPr>
          <w:rFonts w:ascii="Palatino Linotype" w:hAnsi="Palatino Linotype" w:cs="Tahoma"/>
        </w:rPr>
      </w:pPr>
    </w:p>
    <w:p w14:paraId="35EA2063"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w:t>
      </w:r>
      <w:r>
        <w:rPr>
          <w:rFonts w:ascii="Palatino Linotype" w:hAnsi="Palatino Linotype" w:cs="Tahoma"/>
        </w:rPr>
        <w:lastRenderedPageBreak/>
        <w:t xml:space="preserve">pública deben conducirse con dedicación y disciplina, con apego al orden jurídico y respeto a las prerrogativas fundamentales. </w:t>
      </w:r>
    </w:p>
    <w:p w14:paraId="71E94FA7" w14:textId="77777777" w:rsidR="008721A1" w:rsidRDefault="008721A1" w:rsidP="008721A1">
      <w:pPr>
        <w:pStyle w:val="Prrafodelista"/>
        <w:spacing w:line="360" w:lineRule="auto"/>
        <w:ind w:left="0"/>
        <w:jc w:val="both"/>
        <w:rPr>
          <w:rFonts w:ascii="Palatino Linotype" w:hAnsi="Palatino Linotype" w:cs="Tahoma"/>
        </w:rPr>
      </w:pPr>
    </w:p>
    <w:p w14:paraId="1EA1A3C5"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3A1477D6" w14:textId="77777777" w:rsidR="008721A1" w:rsidRDefault="008721A1" w:rsidP="008721A1">
      <w:pPr>
        <w:pStyle w:val="Prrafodelista"/>
        <w:spacing w:line="360" w:lineRule="auto"/>
        <w:ind w:left="0"/>
        <w:jc w:val="both"/>
        <w:rPr>
          <w:rFonts w:ascii="Palatino Linotype" w:hAnsi="Palatino Linotype" w:cs="Tahoma"/>
        </w:rPr>
      </w:pPr>
    </w:p>
    <w:p w14:paraId="3E461A38"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En consecuencia, garantizar la seguridad pública conlleva un actuar de forma profesional y responsable; por lo que los municipios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268A924" w14:textId="77777777" w:rsidR="008721A1" w:rsidRDefault="008721A1" w:rsidP="008721A1">
      <w:pPr>
        <w:pStyle w:val="Prrafodelista"/>
        <w:spacing w:line="360" w:lineRule="auto"/>
        <w:ind w:left="0"/>
        <w:jc w:val="both"/>
        <w:rPr>
          <w:rFonts w:ascii="Palatino Linotype" w:hAnsi="Palatino Linotype" w:cs="Tahoma"/>
        </w:rPr>
      </w:pPr>
    </w:p>
    <w:p w14:paraId="242D98E8"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Sin embargo, de conformidad con el documento “</w:t>
      </w:r>
      <w:r w:rsidRPr="008721A1">
        <w:rPr>
          <w:rFonts w:ascii="Palatino Linotype" w:hAnsi="Palatino Linotype" w:cs="Tahoma"/>
        </w:rPr>
        <w:t xml:space="preserve">Jornadas Laborales de las Policías en México” </w:t>
      </w:r>
      <w:r w:rsidRPr="008721A1">
        <w:rPr>
          <w:rFonts w:ascii="Palatino Linotype" w:hAnsi="Palatino Linotype" w:cs="Tahoma"/>
        </w:rPr>
        <w:footnoteReference w:id="3"/>
      </w:r>
      <w:r w:rsidRPr="008721A1">
        <w:rPr>
          <w:rFonts w:ascii="Palatino Linotype" w:hAnsi="Palatino Linotype" w:cs="Tahoma"/>
        </w:rPr>
        <w:t xml:space="preserve"> </w:t>
      </w:r>
      <w:r>
        <w:rPr>
          <w:rFonts w:ascii="Palatino Linotype" w:hAnsi="Palatino Linotype" w:cs="Tahoma"/>
        </w:rPr>
        <w:t>presentado por la organización ciudadana “</w:t>
      </w:r>
      <w:r w:rsidRPr="008721A1">
        <w:rPr>
          <w:rFonts w:ascii="Palatino Linotype" w:hAnsi="Palatino Linotype" w:cs="Tahoma"/>
        </w:rPr>
        <w:t>Causa en Común”</w:t>
      </w:r>
      <w:r>
        <w:rPr>
          <w:rFonts w:ascii="Palatino Linotype" w:hAnsi="Palatino Linotype" w:cs="Tahoma"/>
        </w:rPr>
        <w:t xml:space="preserve">, los bajos salarios y las largas jornadas laborales son condiciones que impactan negativamente al desempeño de los policías y, consecuentemente, a la seguridad de los ciudadanos, se indica a pesar de los efectos negativos que sobresalen de las </w:t>
      </w:r>
      <w:r>
        <w:rPr>
          <w:rFonts w:ascii="Palatino Linotype" w:hAnsi="Palatino Linotype" w:cs="Tahoma"/>
        </w:rPr>
        <w:lastRenderedPageBreak/>
        <w:t xml:space="preserve">condiciones laborales, la regulación de las jornadas de los policías es un tema que el gobierno ha dejado en el olvido. </w:t>
      </w:r>
    </w:p>
    <w:p w14:paraId="044FB30F" w14:textId="77777777" w:rsidR="008721A1" w:rsidRDefault="008721A1" w:rsidP="008721A1">
      <w:pPr>
        <w:pStyle w:val="Prrafodelista"/>
        <w:spacing w:line="360" w:lineRule="auto"/>
        <w:ind w:left="0"/>
        <w:jc w:val="both"/>
        <w:rPr>
          <w:rFonts w:ascii="Palatino Linotype" w:hAnsi="Palatino Linotype" w:cs="Tahoma"/>
        </w:rPr>
      </w:pPr>
    </w:p>
    <w:p w14:paraId="0094F176" w14:textId="77777777" w:rsidR="008721A1" w:rsidRDefault="008721A1" w:rsidP="008721A1">
      <w:pPr>
        <w:pStyle w:val="Prrafodelista"/>
        <w:spacing w:line="360" w:lineRule="auto"/>
        <w:ind w:left="0"/>
        <w:jc w:val="both"/>
        <w:rPr>
          <w:rFonts w:ascii="Palatino Linotype" w:hAnsi="Palatino Linotype" w:cs="Tahoma"/>
          <w:i/>
        </w:rPr>
      </w:pPr>
      <w:r>
        <w:rPr>
          <w:rFonts w:ascii="Palatino Linotype" w:hAnsi="Palatino Linotype" w:cs="Tahoma"/>
        </w:rPr>
        <w:t xml:space="preserve">Indica que: “… </w:t>
      </w:r>
      <w:r>
        <w:rPr>
          <w:rFonts w:ascii="Palatino Linotype" w:hAnsi="Palatino Linotype" w:cs="Tahoma"/>
          <w:i/>
        </w:rPr>
        <w:t>Dentro de la subcultura policial, erróneamente se considera que las corporaciones policiacas deben ser organizadas bajo parámetros que convierten los horarios de trabajo en jornadas extenuantes; incluso hay quien considera que estas condiciones son concomitantes a la profesión…”</w:t>
      </w:r>
    </w:p>
    <w:p w14:paraId="6CFFF962" w14:textId="77777777" w:rsidR="008721A1" w:rsidRDefault="008721A1" w:rsidP="008721A1">
      <w:pPr>
        <w:pStyle w:val="Prrafodelista"/>
        <w:spacing w:line="480" w:lineRule="auto"/>
        <w:ind w:left="0"/>
        <w:jc w:val="both"/>
        <w:rPr>
          <w:rFonts w:ascii="Palatino Linotype" w:hAnsi="Palatino Linotype" w:cs="Tahoma"/>
        </w:rPr>
      </w:pPr>
    </w:p>
    <w:p w14:paraId="330F0350"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Continúa indicando que en México no existe ninguna ley que regule los horarios de trabajo de los cuerpos de seguridad municipal, estatal y federal,  justificando la  falta de regulación en  la heterogeneidad del país y las disparidades en necesidades y recursos, permitiendo un espacio para la discrecionalidad y el abuso. </w:t>
      </w:r>
    </w:p>
    <w:p w14:paraId="61FEE9DB" w14:textId="77777777" w:rsidR="008721A1" w:rsidRDefault="008721A1" w:rsidP="008721A1">
      <w:pPr>
        <w:pStyle w:val="Prrafodelista"/>
        <w:spacing w:line="360" w:lineRule="auto"/>
        <w:ind w:left="0"/>
        <w:jc w:val="both"/>
        <w:rPr>
          <w:rFonts w:ascii="Palatino Linotype" w:hAnsi="Palatino Linotype" w:cs="Tahoma"/>
        </w:rPr>
      </w:pPr>
    </w:p>
    <w:p w14:paraId="0B5E4F94"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Refiere que la organización ciudadana “</w:t>
      </w:r>
      <w:r>
        <w:rPr>
          <w:rFonts w:ascii="Palatino Linotype" w:hAnsi="Palatino Linotype" w:cs="Tahoma"/>
          <w:iCs/>
        </w:rPr>
        <w:t>Causa en Común”</w:t>
      </w:r>
      <w:r>
        <w:rPr>
          <w:rFonts w:ascii="Palatino Linotype" w:hAnsi="Palatino Linotype" w:cs="Tahoma"/>
        </w:rPr>
        <w:t xml:space="preserve"> aplicó la Encuesta “¿Qué piensa la policía?” a más de 5 mil policías federales y estatales en todo el país a fin de conocer las condiciones laborales en que trabajan los policías, y evidenciar carencias institucionales y demandas hacia sus corporaciones, identificándose  que  la jornada predominante es la de 24 horas de trabajo por 24 horas de descanso (24x24), pues 34% de los encuestados aseguraron laborar bajo ese esquema. La segunda jornada más recurrente fue la de 12x12 (18%), seguida por las modalidades de 8x12,12x24 y 24x48 (6%c/u), además hay esquemas de acuartelamiento (5%), </w:t>
      </w:r>
      <w:r>
        <w:rPr>
          <w:rFonts w:ascii="Palatino Linotype" w:hAnsi="Palatino Linotype" w:cs="Tahoma"/>
        </w:rPr>
        <w:lastRenderedPageBreak/>
        <w:t>mientras que el 25% restante se distribuyeron en más de una docena de combinaciones.</w:t>
      </w:r>
    </w:p>
    <w:p w14:paraId="3C1F8C26" w14:textId="77777777" w:rsidR="008721A1" w:rsidRDefault="008721A1" w:rsidP="008721A1">
      <w:pPr>
        <w:pStyle w:val="Prrafodelista"/>
        <w:spacing w:line="360" w:lineRule="auto"/>
        <w:ind w:left="0"/>
        <w:jc w:val="both"/>
        <w:rPr>
          <w:rFonts w:ascii="Palatino Linotype" w:hAnsi="Palatino Linotype" w:cs="Tahoma"/>
        </w:rPr>
      </w:pPr>
    </w:p>
    <w:p w14:paraId="21506E2A"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Se encontró que el  44% de los policías trabajan más de doce horas al día, ya sea por cumplir alguna de las modalidades de la jornada o por estar bajo la figura de acuartelamiento, el cual  implica que después de la jornada laboral en campo, los elementos pernoctan en las instalaciones de las corporaciones, con disponibilidad completa,  se encuentran a “disposición” y no tienen tiempo libre ni compensación económica por concepto de horas extras. </w:t>
      </w:r>
    </w:p>
    <w:p w14:paraId="259F0B5D" w14:textId="77777777" w:rsidR="008721A1" w:rsidRDefault="008721A1" w:rsidP="008721A1">
      <w:pPr>
        <w:pStyle w:val="Prrafodelista"/>
        <w:spacing w:line="360" w:lineRule="auto"/>
        <w:ind w:left="0"/>
        <w:jc w:val="both"/>
        <w:rPr>
          <w:rFonts w:ascii="Palatino Linotype" w:hAnsi="Palatino Linotype" w:cs="Tahoma"/>
        </w:rPr>
      </w:pPr>
    </w:p>
    <w:p w14:paraId="6183BAE9"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Se identificaron por lo menos siete modalidades, siendo la más común de 30 días de trabajo por seis de descanso (11%), seguida por la de 14x7 días (7%) y otras como las de 6x3, 4x4 y 5x2 días (4%), mientras que aproximadamente 7 de cada 10 elementos son obligados a trabajar horas extras, sin remuneración adicional.</w:t>
      </w:r>
    </w:p>
    <w:p w14:paraId="15A66B77" w14:textId="77777777" w:rsidR="008721A1" w:rsidRDefault="008721A1" w:rsidP="008721A1">
      <w:pPr>
        <w:pStyle w:val="Prrafodelista"/>
        <w:spacing w:line="360" w:lineRule="auto"/>
        <w:ind w:left="0"/>
        <w:jc w:val="both"/>
        <w:rPr>
          <w:rFonts w:ascii="Palatino Linotype" w:hAnsi="Palatino Linotype" w:cs="Tahoma"/>
        </w:rPr>
      </w:pPr>
    </w:p>
    <w:p w14:paraId="2C758082"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Observándose que son muy pocos los policías que trabajan en horarios determinados y que se respetan (8%),  en el caso de los policías, la mayoría trabaja por lo menos 78 horas.</w:t>
      </w:r>
    </w:p>
    <w:p w14:paraId="32CFD19F" w14:textId="77777777" w:rsidR="008721A1" w:rsidRDefault="008721A1" w:rsidP="008721A1">
      <w:pPr>
        <w:pStyle w:val="Prrafodelista"/>
        <w:spacing w:line="360" w:lineRule="auto"/>
        <w:ind w:left="0"/>
        <w:jc w:val="both"/>
        <w:rPr>
          <w:rFonts w:ascii="Palatino Linotype" w:hAnsi="Palatino Linotype" w:cs="Tahoma"/>
        </w:rPr>
      </w:pPr>
    </w:p>
    <w:p w14:paraId="69A984CB"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Así derivado de la encuesta se establecieron las siguientes razones por las que se incrementan las jornadas laborales:</w:t>
      </w:r>
    </w:p>
    <w:p w14:paraId="27585D41" w14:textId="77777777" w:rsidR="008721A1" w:rsidRDefault="008721A1" w:rsidP="008721A1">
      <w:pPr>
        <w:pStyle w:val="Prrafodelista"/>
        <w:spacing w:line="360" w:lineRule="auto"/>
        <w:ind w:left="0"/>
        <w:jc w:val="both"/>
      </w:pPr>
    </w:p>
    <w:p w14:paraId="03FE439C" w14:textId="30650248" w:rsidR="008721A1" w:rsidRDefault="008721A1" w:rsidP="008721A1">
      <w:pPr>
        <w:pStyle w:val="Prrafodelista"/>
        <w:spacing w:line="360" w:lineRule="auto"/>
        <w:ind w:left="0"/>
        <w:jc w:val="both"/>
        <w:rPr>
          <w:rFonts w:ascii="Palatino Linotype" w:hAnsi="Palatino Linotype"/>
        </w:rPr>
      </w:pPr>
      <w:r>
        <w:rPr>
          <w:noProof/>
          <w:lang w:val="es-MX" w:eastAsia="es-MX"/>
        </w:rPr>
        <w:lastRenderedPageBreak/>
        <w:drawing>
          <wp:inline distT="0" distB="0" distL="0" distR="0" wp14:anchorId="1B79FD74" wp14:editId="2E027C3D">
            <wp:extent cx="5648325" cy="2809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37338" t="28716" r="27197" b="39951"/>
                    <a:stretch>
                      <a:fillRect/>
                    </a:stretch>
                  </pic:blipFill>
                  <pic:spPr bwMode="auto">
                    <a:xfrm>
                      <a:off x="0" y="0"/>
                      <a:ext cx="5648325" cy="2809875"/>
                    </a:xfrm>
                    <a:prstGeom prst="rect">
                      <a:avLst/>
                    </a:prstGeom>
                    <a:noFill/>
                    <a:ln>
                      <a:noFill/>
                    </a:ln>
                  </pic:spPr>
                </pic:pic>
              </a:graphicData>
            </a:graphic>
          </wp:inline>
        </w:drawing>
      </w:r>
      <w:r>
        <w:t xml:space="preserve"> • </w:t>
      </w:r>
      <w:r>
        <w:rPr>
          <w:rFonts w:ascii="Palatino Linotype" w:hAnsi="Palatino Linotype"/>
        </w:rPr>
        <w:t xml:space="preserve">“Necesidades del servicio” son el principal motivo por el que los policías en México deben sumar, por lo menos, lo equivalente a una tercera parte de su jornada al día. </w:t>
      </w:r>
    </w:p>
    <w:p w14:paraId="4C74659A" w14:textId="77777777" w:rsidR="008721A1" w:rsidRDefault="008721A1" w:rsidP="008721A1">
      <w:pPr>
        <w:pStyle w:val="Prrafodelista"/>
        <w:spacing w:line="360" w:lineRule="auto"/>
        <w:ind w:left="0"/>
        <w:jc w:val="both"/>
        <w:rPr>
          <w:rFonts w:ascii="Palatino Linotype" w:hAnsi="Palatino Linotype"/>
        </w:rPr>
      </w:pPr>
    </w:p>
    <w:p w14:paraId="286AAC0C"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 “Exigencias del mando”, se destaca que, de acuerdo con la Encuesta, el 15% de los policías realizan “encargos personales de sus mandos”. </w:t>
      </w:r>
    </w:p>
    <w:p w14:paraId="1F571FCE" w14:textId="77777777" w:rsidR="008721A1" w:rsidRDefault="008721A1" w:rsidP="008721A1">
      <w:pPr>
        <w:pStyle w:val="Prrafodelista"/>
        <w:spacing w:line="360" w:lineRule="auto"/>
        <w:ind w:left="0"/>
        <w:jc w:val="both"/>
        <w:rPr>
          <w:rFonts w:ascii="Palatino Linotype" w:hAnsi="Palatino Linotype"/>
        </w:rPr>
      </w:pPr>
    </w:p>
    <w:p w14:paraId="6C6BD456"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 Sanción con horas adicionales a la jornada laboral, particularmente si el policía tiene una jornada de 24 horas. </w:t>
      </w:r>
    </w:p>
    <w:p w14:paraId="7FBDD169" w14:textId="77777777" w:rsidR="008721A1" w:rsidRDefault="008721A1" w:rsidP="008721A1">
      <w:pPr>
        <w:pStyle w:val="Prrafodelista"/>
        <w:spacing w:line="360" w:lineRule="auto"/>
        <w:ind w:left="0"/>
        <w:jc w:val="both"/>
        <w:rPr>
          <w:rFonts w:ascii="Palatino Linotype" w:hAnsi="Palatino Linotype"/>
        </w:rPr>
      </w:pPr>
    </w:p>
    <w:p w14:paraId="3017B82F"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Por tanto la carencia de un marco regulatorio favorece situaciones de discrecionalidad y arbitrariedad en el manejo de los horarios de trabajo de los policías.</w:t>
      </w:r>
    </w:p>
    <w:p w14:paraId="1901B37A" w14:textId="77777777" w:rsidR="008721A1" w:rsidRDefault="008721A1" w:rsidP="008721A1">
      <w:pPr>
        <w:pStyle w:val="Prrafodelista"/>
        <w:spacing w:line="360" w:lineRule="auto"/>
        <w:ind w:left="0"/>
        <w:jc w:val="both"/>
        <w:rPr>
          <w:rFonts w:ascii="Palatino Linotype" w:hAnsi="Palatino Linotype"/>
        </w:rPr>
      </w:pPr>
    </w:p>
    <w:p w14:paraId="714EFEF9"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lastRenderedPageBreak/>
        <w:t>Indica que si bien el trabajo policial implica un riesgo en sí mismo, éste se magnifica cuando se trabajan más horas, ya que  el  40% de los elementos considera que su salud sí se ve afectada por su trabajo. Los padecimientos más recurrentes fueron estrés, cansancio, dolor de espalda y gastritis.</w:t>
      </w:r>
    </w:p>
    <w:p w14:paraId="7E988460" w14:textId="77777777" w:rsidR="008721A1" w:rsidRDefault="008721A1" w:rsidP="008721A1">
      <w:pPr>
        <w:pStyle w:val="Prrafodelista"/>
        <w:spacing w:line="360" w:lineRule="auto"/>
        <w:ind w:left="0"/>
        <w:jc w:val="both"/>
        <w:rPr>
          <w:rFonts w:ascii="Palatino Linotype" w:hAnsi="Palatino Linotype"/>
        </w:rPr>
      </w:pPr>
    </w:p>
    <w:p w14:paraId="3C1B42B3"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De acuerdo con la Encuesta Nacional de Estándares y Capacitación Profesional Policial (ENECAP), publicada en 2018 por el Instituto Nacional de Estadística, Geografía e Informática (INEGI) aplicada a 56 mil elementos adscritos a las Policías estatales, municipales, ministeriales y federales, se encontró que los policías tienen alguna afectación física por efectos de su trabajo, siendo los padecimientos más recurrentes: aumento o disminución de peso; irritabilidad o enojo, problemas de sueño, ansiedad, nerviosismo, fatiga; problemas estomacales, falta de apetito y estrés, mismos que  afectan su vida personal y que repercuten en el ámbito laboral.</w:t>
      </w:r>
    </w:p>
    <w:p w14:paraId="7CDA8F30" w14:textId="77777777" w:rsidR="008721A1" w:rsidRDefault="008721A1" w:rsidP="008721A1">
      <w:pPr>
        <w:pStyle w:val="Prrafodelista"/>
        <w:spacing w:line="360" w:lineRule="auto"/>
        <w:ind w:left="0"/>
        <w:jc w:val="both"/>
        <w:rPr>
          <w:rFonts w:ascii="Palatino Linotype" w:hAnsi="Palatino Linotype"/>
        </w:rPr>
      </w:pPr>
    </w:p>
    <w:p w14:paraId="67B40D2F"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En casos extremos, la tensión llega a generar problemas psicológicos, emocionales o trastornos psiquiátricos y, consecuentemente, ausentismo, adicciones, incapacidades o muertes, principalmente por accidentes en el trabajo e incluso, provocar el suicidio. </w:t>
      </w:r>
    </w:p>
    <w:p w14:paraId="016AC1E2" w14:textId="77777777" w:rsidR="008721A1" w:rsidRDefault="008721A1" w:rsidP="008721A1">
      <w:pPr>
        <w:pStyle w:val="Prrafodelista"/>
        <w:spacing w:line="360" w:lineRule="auto"/>
        <w:ind w:left="0"/>
        <w:jc w:val="both"/>
        <w:rPr>
          <w:rFonts w:ascii="Palatino Linotype" w:hAnsi="Palatino Linotype"/>
        </w:rPr>
      </w:pPr>
    </w:p>
    <w:p w14:paraId="779CAD9A"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Así el abuso en las jornadas laborales extensas genera:</w:t>
      </w:r>
    </w:p>
    <w:p w14:paraId="50BCD71F" w14:textId="77777777" w:rsidR="008721A1" w:rsidRDefault="008721A1" w:rsidP="008721A1">
      <w:pPr>
        <w:pStyle w:val="Prrafodelista"/>
        <w:spacing w:line="360" w:lineRule="auto"/>
        <w:ind w:left="0"/>
        <w:jc w:val="both"/>
        <w:rPr>
          <w:rFonts w:ascii="Palatino Linotype" w:hAnsi="Palatino Linotype"/>
        </w:rPr>
      </w:pPr>
    </w:p>
    <w:p w14:paraId="77958E1C"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 • Ineficiencia en la labor policial, considerando que el incremento en los niveles de cansancio reduce la capacidad de reaccionar ante una situación de peligro. </w:t>
      </w:r>
    </w:p>
    <w:p w14:paraId="3F79BDCF"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lastRenderedPageBreak/>
        <w:t xml:space="preserve">• Conductas antisociales en los policías, que pueden generar abusos. </w:t>
      </w:r>
    </w:p>
    <w:p w14:paraId="3C738EEF"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 Peligro de morir durante el trabajo, considerando que el 40% de los policías asesinados laboraban en estados con alto nivel de abuso laboral. </w:t>
      </w:r>
    </w:p>
    <w:p w14:paraId="383F2D68"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 Bajos niveles de reclutamiento. </w:t>
      </w:r>
    </w:p>
    <w:p w14:paraId="6ABDCCAA" w14:textId="77777777" w:rsidR="008721A1" w:rsidRDefault="008721A1" w:rsidP="008721A1">
      <w:pPr>
        <w:pStyle w:val="Prrafodelista"/>
        <w:spacing w:line="360" w:lineRule="auto"/>
        <w:ind w:left="0"/>
        <w:jc w:val="both"/>
        <w:rPr>
          <w:rFonts w:ascii="Palatino Linotype" w:hAnsi="Palatino Linotype"/>
        </w:rPr>
      </w:pPr>
    </w:p>
    <w:p w14:paraId="0E618674" w14:textId="77777777" w:rsidR="008721A1" w:rsidRDefault="008721A1" w:rsidP="008721A1">
      <w:pPr>
        <w:pStyle w:val="Prrafodelista"/>
        <w:spacing w:line="360" w:lineRule="auto"/>
        <w:ind w:left="0"/>
        <w:jc w:val="both"/>
        <w:rPr>
          <w:rFonts w:ascii="Palatino Linotype" w:hAnsi="Palatino Linotype"/>
        </w:rPr>
      </w:pPr>
      <w:r>
        <w:rPr>
          <w:rFonts w:ascii="Palatino Linotype" w:hAnsi="Palatino Linotype"/>
        </w:rPr>
        <w:t xml:space="preserve">En países como México, donde la incidencia delictiva y los niveles de violencia son muy </w:t>
      </w:r>
      <w:r>
        <w:rPr>
          <w:rFonts w:ascii="Palatino Linotype" w:hAnsi="Palatino Linotype" w:cs="Tahoma"/>
        </w:rPr>
        <w:t>elevados, suele</w:t>
      </w:r>
      <w:r>
        <w:rPr>
          <w:rFonts w:ascii="Palatino Linotype" w:hAnsi="Palatino Linotype"/>
        </w:rPr>
        <w:t xml:space="preserve"> haber un bajo nivel de reclutamiento, que se acentúa con las malas condiciones de trabajo ofertadas. </w:t>
      </w:r>
    </w:p>
    <w:p w14:paraId="4E6FCACF" w14:textId="77777777" w:rsidR="008721A1" w:rsidRDefault="008721A1" w:rsidP="008721A1">
      <w:pPr>
        <w:pStyle w:val="Prrafodelista"/>
        <w:spacing w:line="360" w:lineRule="auto"/>
        <w:ind w:left="0"/>
        <w:jc w:val="both"/>
        <w:rPr>
          <w:rFonts w:ascii="Palatino Linotype" w:hAnsi="Palatino Linotype" w:cs="Tahoma"/>
        </w:rPr>
      </w:pPr>
    </w:p>
    <w:p w14:paraId="31C449A8" w14:textId="77777777" w:rsidR="008721A1" w:rsidRDefault="008721A1" w:rsidP="008721A1">
      <w:pPr>
        <w:spacing w:line="360" w:lineRule="auto"/>
        <w:jc w:val="both"/>
        <w:rPr>
          <w:rFonts w:ascii="Palatino Linotype" w:hAnsi="Palatino Linotype" w:cs="Tahoma"/>
        </w:rPr>
      </w:pPr>
      <w:r>
        <w:rPr>
          <w:rFonts w:ascii="Palatino Linotype" w:hAnsi="Palatino Linotype" w:cs="Tahoma"/>
        </w:rPr>
        <w:t>Por otra parte, de conformidad con el estudio “</w:t>
      </w:r>
      <w:r>
        <w:rPr>
          <w:rFonts w:ascii="Palatino Linotype" w:hAnsi="Palatino Linotype" w:cs="Tahoma"/>
          <w:i/>
        </w:rPr>
        <w:t>Corrupción en el ámbito policial: significados construidos por policías preventivos de tres ciudades de México</w:t>
      </w:r>
      <w:r>
        <w:rPr>
          <w:rFonts w:ascii="Palatino Linotype" w:hAnsi="Palatino Linotype" w:cs="Tahoma"/>
        </w:rPr>
        <w:t xml:space="preserve">”, realizado por la Revista Digital Internacional de Psicología y Ciencia Social Vol. 6, Núm. 1, 2020 </w:t>
      </w:r>
      <w:r>
        <w:rPr>
          <w:rStyle w:val="Refdenotaalpie"/>
          <w:rFonts w:ascii="Arial" w:hAnsi="Arial" w:cs="Arial"/>
          <w:color w:val="636363"/>
          <w:sz w:val="20"/>
          <w:szCs w:val="20"/>
          <w:shd w:val="clear" w:color="auto" w:fill="F6F6F6"/>
        </w:rPr>
        <w:footnoteReference w:id="4"/>
      </w:r>
      <w:r>
        <w:rPr>
          <w:rFonts w:ascii="Palatino Linotype" w:hAnsi="Palatino Linotype" w:cs="Tahoma"/>
        </w:rPr>
        <w:t xml:space="preserve">, realizado mediante la recolección de datos se establecieron tres grupos focales y 21 entrevistas semiestructuradas, integrándose grupos focales con policías preventivos de Ciudad de México y de Tijuana, Baja California y  entrevistas realizadas a policías preventivos estatales de Yucatán, se detectó que además  de  los  factores  que  favorecen  a  la  corrupción,  los oficiales refirieron en sus relatos diversas situaciones y condiciones laborales que derivan de manera directa o indirecta de la corrupción; las principales son: 1) existencia de “aviadore” (personas registradas en la nómina que no  se  presentan  a  trabajar,  y  a  pesar  de  ello  reciben  un  sueldo); 2) equipamiento deficiente e insuficiente, y 3) directivos sin experiencia policial. </w:t>
      </w:r>
    </w:p>
    <w:p w14:paraId="524A7F6E" w14:textId="77777777" w:rsidR="008721A1" w:rsidRDefault="008721A1" w:rsidP="008721A1">
      <w:pPr>
        <w:spacing w:line="360" w:lineRule="auto"/>
        <w:jc w:val="both"/>
        <w:rPr>
          <w:rFonts w:ascii="Palatino Linotype" w:hAnsi="Palatino Linotype" w:cs="Tahoma"/>
        </w:rPr>
      </w:pPr>
    </w:p>
    <w:p w14:paraId="0F079128"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En este sentido, la  existencia  de  “aviadores”  favorece,  desde  la  perspectiva de los participantes, a que no se tenga el personal suficiente,  y  por  tanto  a  las  jornadas  laborales  extensas.  </w:t>
      </w:r>
    </w:p>
    <w:p w14:paraId="3058581D" w14:textId="77777777" w:rsidR="008721A1" w:rsidRDefault="008721A1" w:rsidP="008721A1">
      <w:pPr>
        <w:pStyle w:val="Prrafodelista"/>
        <w:spacing w:line="360" w:lineRule="auto"/>
        <w:ind w:left="0"/>
        <w:jc w:val="both"/>
        <w:rPr>
          <w:rFonts w:ascii="Palatino Linotype" w:hAnsi="Palatino Linotype" w:cs="Tahoma"/>
        </w:rPr>
      </w:pPr>
    </w:p>
    <w:p w14:paraId="48392D4C"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Al no haber  el  personal  necesario,  los  oficiales  no  son  relevados o no se les asigna tiempo para descansar.</w:t>
      </w:r>
    </w:p>
    <w:p w14:paraId="548B9181" w14:textId="77777777" w:rsidR="008721A1" w:rsidRDefault="008721A1" w:rsidP="008721A1">
      <w:pPr>
        <w:pStyle w:val="Prrafodelista"/>
        <w:spacing w:line="360" w:lineRule="auto"/>
        <w:ind w:left="0"/>
        <w:jc w:val="both"/>
        <w:rPr>
          <w:rFonts w:ascii="Palatino Linotype" w:hAnsi="Palatino Linotype" w:cs="Tahoma"/>
        </w:rPr>
      </w:pPr>
    </w:p>
    <w:p w14:paraId="0959D3FD" w14:textId="77777777" w:rsidR="008721A1" w:rsidRDefault="008721A1" w:rsidP="008721A1">
      <w:pPr>
        <w:pStyle w:val="Prrafodelista"/>
        <w:spacing w:line="360" w:lineRule="auto"/>
        <w:ind w:left="1418"/>
        <w:jc w:val="both"/>
        <w:rPr>
          <w:rFonts w:ascii="Palatino Linotype" w:hAnsi="Palatino Linotype" w:cs="Tahoma"/>
          <w:i/>
        </w:rPr>
      </w:pPr>
      <w:r>
        <w:rPr>
          <w:rFonts w:ascii="Palatino Linotype" w:hAnsi="Palatino Linotype" w:cs="Tahoma"/>
          <w:i/>
        </w:rPr>
        <w:t>Esos  compañeros  que  faltan  pudieran  ser  un  gran apoyo [...]. Si somos 30, 15 son aviadores y 15 trabajamos; de esos 15, siete no vienen y ocho se quedan a trabajar, y de esos ocho tres o cuatro son el escribiente, el armero y el jefe. Los que quedamos tenemos que hacer el trabajo de los demás [...]. Los aviadores impiden que haya gente que me releve para descansar o sentarme un rato (A. Grupo focal).</w:t>
      </w:r>
    </w:p>
    <w:p w14:paraId="56264762" w14:textId="77777777" w:rsidR="008721A1" w:rsidRDefault="008721A1" w:rsidP="008721A1">
      <w:pPr>
        <w:pStyle w:val="Prrafodelista"/>
        <w:rPr>
          <w:rFonts w:ascii="Palatino Linotype" w:hAnsi="Palatino Linotype" w:cs="Tahoma"/>
        </w:rPr>
      </w:pPr>
    </w:p>
    <w:p w14:paraId="158D5677" w14:textId="77777777" w:rsidR="008721A1" w:rsidRDefault="008721A1" w:rsidP="008721A1">
      <w:pPr>
        <w:pStyle w:val="Prrafodelista"/>
        <w:rPr>
          <w:rFonts w:ascii="Palatino Linotype" w:hAnsi="Palatino Linotype" w:cs="Tahoma"/>
        </w:rPr>
      </w:pPr>
    </w:p>
    <w:p w14:paraId="6A3AE13B"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De  acuerdo  con  los  relatos,  los policías identificaron dos escenarios donde se desarrollan actos de corrupción en el ámbito policial: en la corporación y en la interacción policías-ciudadanía, lo cual coincide con lo reportado por el INEGI (2018). </w:t>
      </w:r>
    </w:p>
    <w:p w14:paraId="6FDF71A4"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Dentro de los tipos de corrupción que se identificaron se encuentran los pagos internos,  sobre  todo  por  los  “aviadores”  y  por  oficiales  que quieren evitar el cumplimiento de su arresto. </w:t>
      </w:r>
    </w:p>
    <w:p w14:paraId="6A179F48" w14:textId="77777777" w:rsidR="008721A1" w:rsidRDefault="008721A1" w:rsidP="008721A1">
      <w:pPr>
        <w:pStyle w:val="Prrafodelista"/>
        <w:spacing w:line="360" w:lineRule="auto"/>
        <w:ind w:left="0"/>
        <w:jc w:val="both"/>
        <w:rPr>
          <w:rFonts w:ascii="Palatino Linotype" w:hAnsi="Palatino Linotype" w:cs="Tahoma"/>
        </w:rPr>
      </w:pPr>
    </w:p>
    <w:p w14:paraId="27466CFE"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En este sentido, el artículo 123, apartado B, fracción XIII, párrafos primero y segundo, de la Constitución Política de los Estados Unidos Mexicanos, establece: </w:t>
      </w:r>
    </w:p>
    <w:p w14:paraId="53D00BF6" w14:textId="77777777" w:rsidR="008721A1" w:rsidRDefault="008721A1" w:rsidP="008721A1">
      <w:pPr>
        <w:jc w:val="both"/>
        <w:rPr>
          <w:rFonts w:ascii="Palatino Linotype" w:hAnsi="Palatino Linotype" w:cs="Tahoma"/>
        </w:rPr>
      </w:pPr>
      <w:r>
        <w:rPr>
          <w:rFonts w:ascii="Palatino Linotype" w:hAnsi="Palatino Linotype" w:cs="Tahoma"/>
        </w:rPr>
        <w:t xml:space="preserve"> </w:t>
      </w:r>
    </w:p>
    <w:p w14:paraId="6F67C557" w14:textId="77777777" w:rsidR="008721A1" w:rsidRDefault="008721A1" w:rsidP="008721A1">
      <w:pPr>
        <w:ind w:left="567" w:right="708"/>
        <w:jc w:val="both"/>
        <w:rPr>
          <w:rFonts w:ascii="Palatino Linotype" w:hAnsi="Palatino Linotype" w:cs="Tahoma"/>
          <w:i/>
        </w:rPr>
      </w:pPr>
      <w:r>
        <w:rPr>
          <w:rFonts w:ascii="Palatino Linotype" w:hAnsi="Palatino Linotype" w:cs="Tahoma"/>
          <w:i/>
        </w:rPr>
        <w:t>“Artículo 123. (…)</w:t>
      </w:r>
    </w:p>
    <w:p w14:paraId="7B0A86CC" w14:textId="77777777" w:rsidR="008721A1" w:rsidRDefault="008721A1" w:rsidP="008721A1">
      <w:pPr>
        <w:ind w:left="567" w:right="708"/>
        <w:jc w:val="both"/>
        <w:rPr>
          <w:rFonts w:ascii="Palatino Linotype" w:hAnsi="Palatino Linotype" w:cs="Tahoma"/>
          <w:i/>
        </w:rPr>
      </w:pPr>
    </w:p>
    <w:p w14:paraId="5DE24B66" w14:textId="77777777" w:rsidR="008721A1" w:rsidRDefault="008721A1" w:rsidP="008721A1">
      <w:pPr>
        <w:ind w:left="567" w:right="706"/>
        <w:jc w:val="both"/>
        <w:rPr>
          <w:rFonts w:ascii="Palatino Linotype" w:hAnsi="Palatino Linotype" w:cs="Tahoma"/>
          <w:i/>
        </w:rPr>
      </w:pPr>
      <w:r>
        <w:rPr>
          <w:rFonts w:ascii="Palatino Linotype" w:hAnsi="Palatino Linotype" w:cs="Tahoma"/>
          <w:i/>
        </w:rPr>
        <w:t>B. (…)</w:t>
      </w:r>
    </w:p>
    <w:p w14:paraId="4D737BAB" w14:textId="77777777" w:rsidR="008721A1" w:rsidRDefault="008721A1" w:rsidP="008721A1">
      <w:pPr>
        <w:ind w:left="567" w:right="708"/>
        <w:jc w:val="both"/>
        <w:rPr>
          <w:rFonts w:ascii="Palatino Linotype" w:hAnsi="Palatino Linotype" w:cs="Tahoma"/>
          <w:i/>
        </w:rPr>
      </w:pPr>
    </w:p>
    <w:p w14:paraId="625C3360" w14:textId="77777777" w:rsidR="008721A1" w:rsidRDefault="008721A1" w:rsidP="008721A1">
      <w:pPr>
        <w:ind w:left="567" w:right="708"/>
        <w:jc w:val="both"/>
        <w:rPr>
          <w:rFonts w:ascii="Palatino Linotype" w:hAnsi="Palatino Linotype" w:cs="Tahoma"/>
          <w:i/>
        </w:rPr>
      </w:pPr>
      <w:r>
        <w:rPr>
          <w:rFonts w:ascii="Palatino Linotype" w:hAnsi="Palatino Linotype" w:cs="Tahoma"/>
          <w:i/>
        </w:rPr>
        <w:t>XIII. Los militares, marinos, personal del servicio exterior, agentes del Ministerio Público, peritos y los miembros de las instituciones policiales, se regirán por sus propias leyes.</w:t>
      </w:r>
    </w:p>
    <w:p w14:paraId="062BC511" w14:textId="77777777" w:rsidR="008721A1" w:rsidRDefault="008721A1" w:rsidP="008721A1">
      <w:pPr>
        <w:ind w:left="567" w:right="708"/>
        <w:jc w:val="both"/>
        <w:rPr>
          <w:rFonts w:ascii="Palatino Linotype" w:hAnsi="Palatino Linotype" w:cs="Tahoma"/>
          <w:i/>
        </w:rPr>
      </w:pPr>
    </w:p>
    <w:p w14:paraId="5833D2D3" w14:textId="77777777" w:rsidR="008721A1" w:rsidRDefault="008721A1" w:rsidP="008721A1">
      <w:pPr>
        <w:ind w:left="567" w:right="708"/>
        <w:jc w:val="both"/>
        <w:rPr>
          <w:rFonts w:ascii="Palatino Linotype" w:hAnsi="Palatino Linotype" w:cs="Tahoma"/>
          <w:i/>
        </w:rPr>
      </w:pPr>
      <w:r>
        <w:rPr>
          <w:rFonts w:ascii="Palatino Linotype" w:hAnsi="Palatino Linotype" w:cs="Tahoma"/>
          <w:i/>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 </w:t>
      </w:r>
    </w:p>
    <w:p w14:paraId="572BC497" w14:textId="77777777" w:rsidR="008721A1" w:rsidRDefault="008721A1" w:rsidP="008721A1">
      <w:pPr>
        <w:ind w:left="567" w:right="708"/>
        <w:jc w:val="both"/>
        <w:rPr>
          <w:rFonts w:ascii="Palatino Linotype" w:hAnsi="Palatino Linotype" w:cs="Tahoma"/>
        </w:rPr>
      </w:pPr>
    </w:p>
    <w:p w14:paraId="4521A9D3" w14:textId="77777777" w:rsidR="008721A1" w:rsidRDefault="008721A1" w:rsidP="008721A1">
      <w:pPr>
        <w:jc w:val="both"/>
        <w:rPr>
          <w:rFonts w:ascii="Palatino Linotype" w:hAnsi="Palatino Linotype" w:cs="Tahoma"/>
        </w:rPr>
      </w:pPr>
      <w:r>
        <w:rPr>
          <w:rFonts w:ascii="Palatino Linotype" w:hAnsi="Palatino Linotype" w:cs="Tahoma"/>
        </w:rPr>
        <w:t>El artículo 86 Bis, de la Constitución Política del Estado Libre y Soberano de México, dispone:</w:t>
      </w:r>
    </w:p>
    <w:p w14:paraId="377CDCBE" w14:textId="77777777" w:rsidR="008721A1" w:rsidRDefault="008721A1" w:rsidP="008721A1">
      <w:pPr>
        <w:jc w:val="both"/>
        <w:rPr>
          <w:rFonts w:ascii="Palatino Linotype" w:hAnsi="Palatino Linotype" w:cs="Tahoma"/>
        </w:rPr>
      </w:pPr>
    </w:p>
    <w:p w14:paraId="4C2D3DBD" w14:textId="77777777" w:rsidR="008721A1" w:rsidRDefault="008721A1" w:rsidP="008721A1">
      <w:pPr>
        <w:ind w:left="567" w:right="708"/>
        <w:jc w:val="both"/>
        <w:rPr>
          <w:rFonts w:ascii="Palatino Linotype" w:hAnsi="Palatino Linotype" w:cs="Tahoma"/>
          <w:i/>
        </w:rPr>
      </w:pPr>
      <w:r>
        <w:rPr>
          <w:rFonts w:ascii="Palatino Linotype" w:hAnsi="Palatino Linotype" w:cs="Tahoma"/>
          <w:i/>
        </w:rPr>
        <w:t xml:space="preserve">“Artículo 86 Bis.- La Seguridad Pública, en la Entidad, es una función a cargo del Estado y los municipios, en sus respectivos ámbitos de competencia que comprende la prevención e investigación de los delitos y las sanciones de las infracciones administrativas, en términos de ley, y deberá regirse bajo los principios de autonomía, eficiencia, imparcialidad, legalidad, objetividad, </w:t>
      </w:r>
      <w:r>
        <w:rPr>
          <w:rFonts w:ascii="Palatino Linotype" w:hAnsi="Palatino Linotype" w:cs="Tahoma"/>
          <w:i/>
        </w:rPr>
        <w:lastRenderedPageBreak/>
        <w:t xml:space="preserve">profesionalismo, honradez, responsabilidad y respeto a los derechos humanos reconocidos en la Constitución Política de los Estados Unidos Mexicanos, en los tratados internacionales en materia de derechos humanos de los que el Estado Mexicano sea parte y en esta Constitución. </w:t>
      </w:r>
    </w:p>
    <w:p w14:paraId="7EA657E5" w14:textId="77777777" w:rsidR="008721A1" w:rsidRDefault="008721A1" w:rsidP="008721A1">
      <w:pPr>
        <w:ind w:left="567" w:right="708"/>
        <w:jc w:val="both"/>
        <w:rPr>
          <w:rFonts w:ascii="Palatino Linotype" w:hAnsi="Palatino Linotype" w:cs="Tahoma"/>
          <w:i/>
        </w:rPr>
      </w:pPr>
    </w:p>
    <w:p w14:paraId="4E86DD08" w14:textId="77777777" w:rsidR="008721A1" w:rsidRDefault="008721A1" w:rsidP="008721A1">
      <w:pPr>
        <w:ind w:left="567" w:right="708"/>
        <w:jc w:val="both"/>
        <w:rPr>
          <w:rFonts w:ascii="Palatino Linotype" w:hAnsi="Palatino Linotype" w:cs="Tahoma"/>
          <w:i/>
        </w:rPr>
      </w:pPr>
      <w:r>
        <w:rPr>
          <w:rFonts w:ascii="Palatino Linotype" w:hAnsi="Palatino Linotype" w:cs="Tahoma"/>
          <w:i/>
        </w:rPr>
        <w:t>Las Instituciones de Seguridad Pública serán de carácter civil, disciplinado y profesional. El Ministerio Público y las Instituciones Policiales, deberán de coordinarse entre sí para cumplir los objetivos de la Seguridad Pública y conformarán los Sistemas Nacional y Estatal de Seguridad Pública”</w:t>
      </w:r>
    </w:p>
    <w:p w14:paraId="26DA6B07" w14:textId="77777777" w:rsidR="008721A1" w:rsidRDefault="008721A1" w:rsidP="008721A1">
      <w:pPr>
        <w:ind w:left="567" w:right="708"/>
        <w:jc w:val="both"/>
        <w:rPr>
          <w:rFonts w:ascii="Palatino Linotype" w:hAnsi="Palatino Linotype" w:cs="Tahoma"/>
        </w:rPr>
      </w:pPr>
    </w:p>
    <w:p w14:paraId="2448AD55" w14:textId="77777777" w:rsidR="008721A1" w:rsidRDefault="008721A1" w:rsidP="008721A1">
      <w:pPr>
        <w:jc w:val="both"/>
        <w:rPr>
          <w:rFonts w:ascii="Palatino Linotype" w:hAnsi="Palatino Linotype" w:cs="Tahoma"/>
        </w:rPr>
      </w:pPr>
      <w:r>
        <w:rPr>
          <w:rFonts w:ascii="Palatino Linotype" w:hAnsi="Palatino Linotype" w:cs="Tahoma"/>
        </w:rPr>
        <w:t>Además, artículo 152, apartado B, fracción XIV, de la Ley de Seguridad del Estado de México, indica:</w:t>
      </w:r>
    </w:p>
    <w:p w14:paraId="132E5BCA" w14:textId="77777777" w:rsidR="008721A1" w:rsidRDefault="008721A1" w:rsidP="008721A1">
      <w:pPr>
        <w:jc w:val="both"/>
        <w:rPr>
          <w:rFonts w:ascii="Palatino Linotype" w:hAnsi="Palatino Linotype" w:cs="Tahoma"/>
        </w:rPr>
      </w:pPr>
    </w:p>
    <w:p w14:paraId="748419EA" w14:textId="77777777" w:rsidR="008721A1" w:rsidRDefault="008721A1" w:rsidP="008721A1">
      <w:pPr>
        <w:pStyle w:val="Encabezado"/>
        <w:tabs>
          <w:tab w:val="left" w:pos="7813"/>
        </w:tabs>
        <w:ind w:left="567" w:right="708"/>
        <w:jc w:val="both"/>
        <w:rPr>
          <w:rFonts w:ascii="Palatino Linotype" w:eastAsia="Times New Roman" w:hAnsi="Palatino Linotype" w:cs="Tahoma"/>
          <w:i/>
          <w:lang w:val="es-ES"/>
        </w:rPr>
      </w:pPr>
      <w:r>
        <w:rPr>
          <w:rFonts w:ascii="Palatino Linotype" w:eastAsia="Times New Roman" w:hAnsi="Palatino Linotype" w:cs="Tahoma"/>
          <w:i/>
          <w:lang w:val="es-ES"/>
        </w:rPr>
        <w:t>“Artículo 152.- La permanencia es el resultado del cumplimiento constante de los requisitos establecidos en la presente Ley para continuar en el servicio activo de las Instituciones Policiales. Son requisitos de ingreso y permanencia en las Instituciones Policiales, los siguientes:</w:t>
      </w:r>
    </w:p>
    <w:p w14:paraId="0AE3156E" w14:textId="77777777" w:rsidR="008721A1" w:rsidRDefault="008721A1" w:rsidP="008721A1">
      <w:pPr>
        <w:pStyle w:val="Encabezado"/>
        <w:tabs>
          <w:tab w:val="left" w:pos="7813"/>
        </w:tabs>
        <w:ind w:left="567" w:right="708"/>
        <w:jc w:val="both"/>
        <w:rPr>
          <w:rFonts w:ascii="Palatino Linotype" w:eastAsia="Times New Roman" w:hAnsi="Palatino Linotype" w:cs="Tahoma"/>
          <w:i/>
          <w:lang w:val="es-ES"/>
        </w:rPr>
      </w:pPr>
    </w:p>
    <w:p w14:paraId="44B9D455" w14:textId="77777777" w:rsidR="008721A1" w:rsidRDefault="008721A1" w:rsidP="008721A1">
      <w:pPr>
        <w:ind w:left="567" w:right="706"/>
        <w:jc w:val="both"/>
        <w:rPr>
          <w:rFonts w:ascii="Palatino Linotype" w:hAnsi="Palatino Linotype" w:cs="Tahoma"/>
          <w:i/>
        </w:rPr>
      </w:pPr>
      <w:r>
        <w:rPr>
          <w:rFonts w:ascii="Palatino Linotype" w:hAnsi="Palatino Linotype" w:cs="Tahoma"/>
          <w:i/>
        </w:rPr>
        <w:t>(…)</w:t>
      </w:r>
    </w:p>
    <w:p w14:paraId="2813A3A3" w14:textId="77777777" w:rsidR="008721A1" w:rsidRDefault="008721A1" w:rsidP="008721A1">
      <w:pPr>
        <w:ind w:left="567" w:right="706"/>
        <w:jc w:val="both"/>
        <w:rPr>
          <w:rFonts w:ascii="Palatino Linotype" w:hAnsi="Palatino Linotype" w:cs="Tahoma"/>
          <w:i/>
        </w:rPr>
      </w:pPr>
    </w:p>
    <w:p w14:paraId="14796721" w14:textId="77777777" w:rsidR="008721A1" w:rsidRDefault="008721A1" w:rsidP="008721A1">
      <w:pPr>
        <w:pStyle w:val="Encabezado"/>
        <w:tabs>
          <w:tab w:val="left" w:pos="7813"/>
        </w:tabs>
        <w:ind w:left="567" w:right="708"/>
        <w:jc w:val="both"/>
        <w:rPr>
          <w:rFonts w:ascii="Palatino Linotype" w:eastAsia="Times New Roman" w:hAnsi="Palatino Linotype" w:cs="Tahoma"/>
          <w:i/>
          <w:lang w:val="es-ES"/>
        </w:rPr>
      </w:pPr>
      <w:r>
        <w:rPr>
          <w:rFonts w:ascii="Palatino Linotype" w:eastAsia="Times New Roman" w:hAnsi="Palatino Linotype" w:cs="Tahoma"/>
          <w:i/>
          <w:lang w:val="es-ES"/>
        </w:rPr>
        <w:t>B. De permanencia:</w:t>
      </w:r>
    </w:p>
    <w:p w14:paraId="10761856" w14:textId="77777777" w:rsidR="008721A1" w:rsidRDefault="008721A1" w:rsidP="008721A1">
      <w:pPr>
        <w:pStyle w:val="Encabezado"/>
        <w:tabs>
          <w:tab w:val="left" w:pos="7813"/>
        </w:tabs>
        <w:ind w:left="567" w:right="708"/>
        <w:jc w:val="both"/>
        <w:rPr>
          <w:rFonts w:ascii="Palatino Linotype" w:eastAsia="Times New Roman" w:hAnsi="Palatino Linotype" w:cs="Tahoma"/>
          <w:i/>
          <w:lang w:val="es-ES"/>
        </w:rPr>
      </w:pPr>
    </w:p>
    <w:p w14:paraId="1D904953" w14:textId="77777777" w:rsidR="008721A1" w:rsidRDefault="008721A1" w:rsidP="008721A1">
      <w:pPr>
        <w:ind w:left="567" w:right="706"/>
        <w:jc w:val="both"/>
        <w:rPr>
          <w:rFonts w:ascii="Palatino Linotype" w:hAnsi="Palatino Linotype" w:cs="Tahoma"/>
          <w:i/>
        </w:rPr>
      </w:pPr>
      <w:r>
        <w:rPr>
          <w:rFonts w:ascii="Palatino Linotype" w:hAnsi="Palatino Linotype" w:cs="Tahoma"/>
          <w:i/>
        </w:rPr>
        <w:t>(…)</w:t>
      </w:r>
    </w:p>
    <w:p w14:paraId="4359C3D4" w14:textId="77777777" w:rsidR="008721A1" w:rsidRDefault="008721A1" w:rsidP="008721A1">
      <w:pPr>
        <w:pStyle w:val="Encabezado"/>
        <w:tabs>
          <w:tab w:val="left" w:pos="7813"/>
        </w:tabs>
        <w:ind w:left="567" w:right="708"/>
        <w:jc w:val="both"/>
        <w:rPr>
          <w:rFonts w:ascii="Palatino Linotype" w:eastAsia="Times New Roman" w:hAnsi="Palatino Linotype" w:cs="Tahoma"/>
          <w:i/>
          <w:lang w:val="es-ES"/>
        </w:rPr>
      </w:pPr>
    </w:p>
    <w:p w14:paraId="65BA6B36" w14:textId="77777777" w:rsidR="008721A1" w:rsidRDefault="008721A1" w:rsidP="008721A1">
      <w:pPr>
        <w:pStyle w:val="Encabezado"/>
        <w:tabs>
          <w:tab w:val="left" w:pos="7813"/>
        </w:tabs>
        <w:ind w:left="567" w:right="708"/>
        <w:jc w:val="both"/>
        <w:rPr>
          <w:rFonts w:ascii="Palatino Linotype" w:eastAsia="Times New Roman" w:hAnsi="Palatino Linotype" w:cs="Tahoma"/>
          <w:i/>
          <w:lang w:val="es-ES"/>
        </w:rPr>
      </w:pPr>
      <w:r>
        <w:rPr>
          <w:rFonts w:ascii="Palatino Linotype" w:eastAsia="Times New Roman" w:hAnsi="Palatino Linotype" w:cs="Tahoma"/>
          <w:i/>
          <w:lang w:val="es-ES"/>
        </w:rPr>
        <w:t>XIV. No ausentarse del servicio sin causa justificada, por un periodo de tres días consecutivos o de cinco días dentro de un término de treinta días.”</w:t>
      </w:r>
    </w:p>
    <w:p w14:paraId="3BAFF698" w14:textId="77777777" w:rsidR="008721A1" w:rsidRDefault="008721A1" w:rsidP="008721A1">
      <w:pPr>
        <w:rPr>
          <w:rFonts w:ascii="Palatino Linotype" w:hAnsi="Palatino Linotype" w:cs="Tahoma"/>
        </w:rPr>
      </w:pPr>
    </w:p>
    <w:p w14:paraId="68940859" w14:textId="77777777" w:rsidR="008721A1" w:rsidRDefault="008721A1" w:rsidP="008721A1">
      <w:pPr>
        <w:tabs>
          <w:tab w:val="left" w:pos="9495"/>
        </w:tabs>
        <w:ind w:right="-3"/>
        <w:jc w:val="both"/>
        <w:rPr>
          <w:rFonts w:ascii="Palatino Linotype" w:hAnsi="Palatino Linotype" w:cs="Tahoma"/>
        </w:rPr>
      </w:pPr>
    </w:p>
    <w:p w14:paraId="12112416" w14:textId="77777777" w:rsidR="008721A1" w:rsidRDefault="008721A1" w:rsidP="008721A1">
      <w:pPr>
        <w:pStyle w:val="Prrafodelista"/>
        <w:spacing w:line="360" w:lineRule="auto"/>
        <w:ind w:left="0"/>
        <w:jc w:val="both"/>
        <w:rPr>
          <w:rFonts w:ascii="Palatino Linotype" w:hAnsi="Palatino Linotype" w:cs="Tahoma"/>
        </w:rPr>
      </w:pPr>
      <w:r>
        <w:rPr>
          <w:rFonts w:ascii="Palatino Linotype" w:hAnsi="Palatino Linotype" w:cs="Tahoma"/>
        </w:rPr>
        <w:t xml:space="preserve">Por tanto,  los elementos de las instituciones policiales están obligados a cumplir con lo establecido en el artículo 152, apartado B, fracción XIV, de la Ley de Seguridad del Estado de México, consistente en no ausentarse del servicio sin causa justificada por un periodo de tres días consecutivos, cumplimiento que se acredita </w:t>
      </w:r>
      <w:r>
        <w:rPr>
          <w:rFonts w:ascii="Palatino Linotype" w:hAnsi="Palatino Linotype" w:cs="Tahoma"/>
        </w:rPr>
        <w:lastRenderedPageBreak/>
        <w:t>precisamente con la lista de asistencia, por tanto la clasificación de los horarios en las mismas  impide tener certeza que los elementos policiales efectivamente cumplen con un requisito de  permanencia, y que su actuación efectivamente se rige por los principios previstos</w:t>
      </w:r>
      <w:r>
        <w:rPr>
          <w:rFonts w:ascii="Palatino Linotype" w:hAnsi="Palatino Linotype"/>
        </w:rPr>
        <w:t xml:space="preserve"> por la Constitución Federal en cuanto a la disciplina, profesionalismo y puntualidad en el servicio.</w:t>
      </w:r>
    </w:p>
    <w:p w14:paraId="36A22D18" w14:textId="77777777" w:rsidR="008721A1" w:rsidRDefault="008721A1" w:rsidP="008721A1">
      <w:pPr>
        <w:pStyle w:val="Prrafodelista"/>
        <w:tabs>
          <w:tab w:val="left" w:pos="9495"/>
        </w:tabs>
        <w:ind w:right="-3"/>
        <w:jc w:val="both"/>
        <w:rPr>
          <w:rFonts w:ascii="HelveticaNeueLT Std" w:hAnsi="HelveticaNeueLT Std"/>
          <w:i/>
          <w:color w:val="000000" w:themeColor="text1"/>
          <w:sz w:val="22"/>
          <w:szCs w:val="22"/>
          <w:shd w:val="clear" w:color="auto" w:fill="FFFFFF"/>
        </w:rPr>
      </w:pPr>
    </w:p>
    <w:p w14:paraId="06A8C80A" w14:textId="378FA55A" w:rsidR="008721A1" w:rsidRDefault="008721A1" w:rsidP="008721A1">
      <w:pPr>
        <w:spacing w:line="360" w:lineRule="auto"/>
        <w:jc w:val="both"/>
        <w:rPr>
          <w:rFonts w:ascii="Palatino Linotype" w:hAnsi="Palatino Linotype"/>
        </w:rPr>
      </w:pPr>
      <w:r>
        <w:rPr>
          <w:rFonts w:ascii="Palatino Linotype" w:hAnsi="Palatino Linotype"/>
        </w:rPr>
        <w:t xml:space="preserve">Indicando que entregar los horarios no los hace  identificables, ya que ha sido criterio de este Pleno el que  los nombres de </w:t>
      </w:r>
      <w:r>
        <w:rPr>
          <w:rFonts w:ascii="Palatino Linotype" w:hAnsi="Palatino Linotype"/>
          <w:b/>
        </w:rPr>
        <w:t>los elementos que realizan funciones operativas deben ser protegidos</w:t>
      </w:r>
      <w:r>
        <w:rPr>
          <w:rFonts w:ascii="Palatino Linotype" w:hAnsi="Palatino Linotype"/>
        </w:rPr>
        <w:t xml:space="preserve"> con la finalidad de evitar la identificación de las personas al amparo de la protección a la vida, salud y seguridad</w:t>
      </w:r>
      <w:r w:rsidR="00C31088">
        <w:rPr>
          <w:rFonts w:ascii="Palatino Linotype" w:hAnsi="Palatino Linotype"/>
        </w:rPr>
        <w:t>.</w:t>
      </w:r>
    </w:p>
    <w:p w14:paraId="140EE4B4" w14:textId="77777777" w:rsidR="008721A1" w:rsidRDefault="008721A1" w:rsidP="008721A1">
      <w:pPr>
        <w:pStyle w:val="Prrafodelista"/>
        <w:spacing w:line="360" w:lineRule="auto"/>
        <w:ind w:left="360"/>
        <w:jc w:val="both"/>
        <w:rPr>
          <w:rFonts w:ascii="Palatino Linotype" w:hAnsi="Palatino Linotype"/>
        </w:rPr>
      </w:pPr>
    </w:p>
    <w:p w14:paraId="1A68824B" w14:textId="77777777" w:rsidR="008721A1" w:rsidRDefault="008721A1" w:rsidP="008721A1">
      <w:pPr>
        <w:spacing w:line="360" w:lineRule="auto"/>
        <w:jc w:val="both"/>
        <w:rPr>
          <w:rFonts w:ascii="Palatino Linotype" w:hAnsi="Palatino Linotype" w:cs="Tahoma"/>
        </w:rPr>
      </w:pPr>
      <w:r>
        <w:rPr>
          <w:rFonts w:ascii="Palatino Linotype" w:hAnsi="Palatino Linotype" w:cs="Arial"/>
        </w:rPr>
        <w:t xml:space="preserve">Así y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y se protege la vida, salud o seguridad de los elementos operativos encargados del combate a los delincuentes y prevención de los delitos, ya que con la eliminación de su nombre en dicho documento es imposible hacerlos identificables a través de este. </w:t>
      </w:r>
    </w:p>
    <w:p w14:paraId="0D1ADA2D" w14:textId="77777777" w:rsidR="008721A1" w:rsidRDefault="008721A1" w:rsidP="000625B1">
      <w:pPr>
        <w:pStyle w:val="Prrafodelista"/>
        <w:tabs>
          <w:tab w:val="left" w:pos="851"/>
        </w:tabs>
        <w:spacing w:line="360" w:lineRule="auto"/>
        <w:ind w:left="0" w:right="49"/>
        <w:jc w:val="both"/>
        <w:rPr>
          <w:rFonts w:ascii="Palatino Linotype" w:hAnsi="Palatino Linotype"/>
        </w:rPr>
      </w:pPr>
    </w:p>
    <w:p w14:paraId="457CC60C" w14:textId="524C9E7D" w:rsidR="008936B4" w:rsidRPr="00CB2F05" w:rsidRDefault="008936B4" w:rsidP="008936B4">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CD2984">
        <w:rPr>
          <w:rFonts w:eastAsia="Times New Roman" w:cs="Times New Roman"/>
          <w:lang w:eastAsia="es-ES"/>
        </w:rPr>
        <w:t>-------------------------------</w:t>
      </w: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9"/>
      <w:headerReference w:type="default" r:id="rId10"/>
      <w:footerReference w:type="default" r:id="rId11"/>
      <w:headerReference w:type="first" r:id="rId12"/>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AED5" w14:textId="77777777" w:rsidR="00D50912" w:rsidRDefault="00D50912" w:rsidP="00C80F8C">
      <w:r>
        <w:separator/>
      </w:r>
    </w:p>
  </w:endnote>
  <w:endnote w:type="continuationSeparator" w:id="0">
    <w:p w14:paraId="19DF47FE" w14:textId="77777777" w:rsidR="00D50912" w:rsidRDefault="00D509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39464E">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464E">
              <w:rPr>
                <w:b/>
                <w:bCs/>
                <w:noProof/>
              </w:rPr>
              <w:t>31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6A83" w14:textId="77777777" w:rsidR="00D50912" w:rsidRDefault="00D50912" w:rsidP="00C80F8C">
      <w:r>
        <w:separator/>
      </w:r>
    </w:p>
  </w:footnote>
  <w:footnote w:type="continuationSeparator" w:id="0">
    <w:p w14:paraId="728E3598" w14:textId="77777777" w:rsidR="00D50912" w:rsidRDefault="00D50912"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F43313">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 w:id="3">
    <w:p w14:paraId="63E17D19" w14:textId="77777777" w:rsidR="008721A1" w:rsidRDefault="008721A1" w:rsidP="008721A1">
      <w:pPr>
        <w:pStyle w:val="Textonotapie"/>
        <w:jc w:val="both"/>
      </w:pPr>
      <w:r>
        <w:rPr>
          <w:rStyle w:val="Refdenotaalpie"/>
        </w:rPr>
        <w:footnoteRef/>
      </w:r>
      <w:r>
        <w:t xml:space="preserve"> http://causaencomun.org.mx/beta/wp-content/uploads/2019/04/JORNADAS-LABORALES-_-documento-largo-1.pdf</w:t>
      </w:r>
    </w:p>
  </w:footnote>
  <w:footnote w:id="4">
    <w:p w14:paraId="5C8923CA" w14:textId="77777777" w:rsidR="008721A1" w:rsidRDefault="008721A1" w:rsidP="008721A1">
      <w:pPr>
        <w:pStyle w:val="Textonotapie"/>
      </w:pPr>
      <w:r>
        <w:rPr>
          <w:rStyle w:val="Refdenotaalpie"/>
        </w:rPr>
        <w:footnoteRef/>
      </w:r>
      <w:r>
        <w:t xml:space="preserve"> https://cuved.unam.mx/rdipycs/?p=7140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76B60681" w14:textId="77777777" w:rsidR="0013083C" w:rsidRDefault="00F47FB5" w:rsidP="006F62BA">
    <w:pPr>
      <w:pStyle w:val="Encabezado"/>
      <w:ind w:left="2835" w:right="-250"/>
      <w:rPr>
        <w:rFonts w:ascii="Palatino Linotype" w:eastAsia="Palatino Linotype" w:hAnsi="Palatino Linotype" w:cs="Palatino Linotype"/>
        <w:bCs/>
        <w:lang w:val="es-MX"/>
      </w:rPr>
    </w:pPr>
    <w:r>
      <w:rPr>
        <w:rFonts w:ascii="Palatino Linotype" w:hAnsi="Palatino Linotype" w:cs="Tahoma"/>
        <w:b/>
      </w:rPr>
      <w:t xml:space="preserve">Recurso de Revisión: </w:t>
    </w:r>
    <w:r w:rsidR="0013083C" w:rsidRPr="0013083C">
      <w:rPr>
        <w:rFonts w:ascii="Palatino Linotype" w:eastAsia="Palatino Linotype" w:hAnsi="Palatino Linotype" w:cs="Palatino Linotype"/>
        <w:bCs/>
        <w:lang w:val="es-MX"/>
      </w:rPr>
      <w:t>16479/INFOEM/IP/RR/2022</w:t>
    </w:r>
  </w:p>
  <w:p w14:paraId="71104997" w14:textId="2228B033" w:rsidR="00634485" w:rsidRPr="0013083C"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13083C" w:rsidRPr="0013083C">
      <w:rPr>
        <w:rFonts w:ascii="Palatino Linotype" w:eastAsia="Palatino Linotype" w:hAnsi="Palatino Linotype" w:cs="Palatino Linotype"/>
      </w:rPr>
      <w:t>Ayuntamiento de Toluca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390C5C"/>
    <w:multiLevelType w:val="hybridMultilevel"/>
    <w:tmpl w:val="CB6EEAB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18993288">
    <w:abstractNumId w:val="4"/>
  </w:num>
  <w:num w:numId="2" w16cid:durableId="1604798503">
    <w:abstractNumId w:val="45"/>
  </w:num>
  <w:num w:numId="3" w16cid:durableId="699940305">
    <w:abstractNumId w:val="11"/>
  </w:num>
  <w:num w:numId="4" w16cid:durableId="1806043240">
    <w:abstractNumId w:val="16"/>
  </w:num>
  <w:num w:numId="5" w16cid:durableId="1279871748">
    <w:abstractNumId w:val="35"/>
  </w:num>
  <w:num w:numId="6" w16cid:durableId="808087303">
    <w:abstractNumId w:val="33"/>
  </w:num>
  <w:num w:numId="7" w16cid:durableId="1634405043">
    <w:abstractNumId w:val="26"/>
  </w:num>
  <w:num w:numId="8" w16cid:durableId="1989238161">
    <w:abstractNumId w:val="39"/>
  </w:num>
  <w:num w:numId="9" w16cid:durableId="243035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4905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5773257">
    <w:abstractNumId w:val="12"/>
  </w:num>
  <w:num w:numId="12" w16cid:durableId="183834483">
    <w:abstractNumId w:val="41"/>
  </w:num>
  <w:num w:numId="13" w16cid:durableId="1187865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58606">
    <w:abstractNumId w:val="32"/>
  </w:num>
  <w:num w:numId="15" w16cid:durableId="1919826202">
    <w:abstractNumId w:val="19"/>
  </w:num>
  <w:num w:numId="16" w16cid:durableId="703520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586448">
    <w:abstractNumId w:val="34"/>
  </w:num>
  <w:num w:numId="18" w16cid:durableId="85623189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0018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8969223">
    <w:abstractNumId w:val="23"/>
  </w:num>
  <w:num w:numId="21" w16cid:durableId="1548254889">
    <w:abstractNumId w:val="22"/>
  </w:num>
  <w:num w:numId="22" w16cid:durableId="14842769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7907883">
    <w:abstractNumId w:val="10"/>
  </w:num>
  <w:num w:numId="24" w16cid:durableId="698889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7929572">
    <w:abstractNumId w:val="7"/>
  </w:num>
  <w:num w:numId="26" w16cid:durableId="205682656">
    <w:abstractNumId w:val="42"/>
  </w:num>
  <w:num w:numId="27" w16cid:durableId="756101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1207817">
    <w:abstractNumId w:val="27"/>
  </w:num>
  <w:num w:numId="29" w16cid:durableId="349912495">
    <w:abstractNumId w:val="34"/>
  </w:num>
  <w:num w:numId="30" w16cid:durableId="10353537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7565560">
    <w:abstractNumId w:val="17"/>
  </w:num>
  <w:num w:numId="32" w16cid:durableId="15709659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744674">
    <w:abstractNumId w:val="0"/>
  </w:num>
  <w:num w:numId="34" w16cid:durableId="14114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4812647">
    <w:abstractNumId w:val="5"/>
  </w:num>
  <w:num w:numId="36" w16cid:durableId="1303925791">
    <w:abstractNumId w:val="25"/>
  </w:num>
  <w:num w:numId="37" w16cid:durableId="2502385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9230670">
    <w:abstractNumId w:val="13"/>
    <w:lvlOverride w:ilvl="0">
      <w:startOverride w:val="1"/>
    </w:lvlOverride>
    <w:lvlOverride w:ilvl="1"/>
    <w:lvlOverride w:ilvl="2"/>
    <w:lvlOverride w:ilvl="3"/>
    <w:lvlOverride w:ilvl="4"/>
    <w:lvlOverride w:ilvl="5"/>
    <w:lvlOverride w:ilvl="6"/>
    <w:lvlOverride w:ilvl="7"/>
    <w:lvlOverride w:ilvl="8"/>
  </w:num>
  <w:num w:numId="39" w16cid:durableId="1237547976">
    <w:abstractNumId w:val="21"/>
  </w:num>
  <w:num w:numId="40" w16cid:durableId="13202048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12630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0799584">
    <w:abstractNumId w:val="43"/>
  </w:num>
  <w:num w:numId="43" w16cid:durableId="1901205005">
    <w:abstractNumId w:val="15"/>
  </w:num>
  <w:num w:numId="44" w16cid:durableId="1079332880">
    <w:abstractNumId w:val="29"/>
    <w:lvlOverride w:ilvl="0">
      <w:startOverride w:val="1"/>
    </w:lvlOverride>
    <w:lvlOverride w:ilvl="1"/>
    <w:lvlOverride w:ilvl="2"/>
    <w:lvlOverride w:ilvl="3"/>
    <w:lvlOverride w:ilvl="4"/>
    <w:lvlOverride w:ilvl="5"/>
    <w:lvlOverride w:ilvl="6"/>
    <w:lvlOverride w:ilvl="7"/>
    <w:lvlOverride w:ilvl="8"/>
  </w:num>
  <w:num w:numId="45" w16cid:durableId="1556501599">
    <w:abstractNumId w:val="20"/>
  </w:num>
  <w:num w:numId="46" w16cid:durableId="511263355">
    <w:abstractNumId w:val="3"/>
  </w:num>
  <w:num w:numId="47" w16cid:durableId="608775851">
    <w:abstractNumId w:val="14"/>
  </w:num>
  <w:num w:numId="48" w16cid:durableId="1909225496">
    <w:abstractNumId w:val="13"/>
  </w:num>
  <w:num w:numId="49" w16cid:durableId="78493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625B1"/>
    <w:rsid w:val="00065143"/>
    <w:rsid w:val="0008542A"/>
    <w:rsid w:val="000B37D9"/>
    <w:rsid w:val="000B3FFD"/>
    <w:rsid w:val="000C43E5"/>
    <w:rsid w:val="000C4453"/>
    <w:rsid w:val="000D3138"/>
    <w:rsid w:val="000D656A"/>
    <w:rsid w:val="000E27BB"/>
    <w:rsid w:val="00105578"/>
    <w:rsid w:val="001112E6"/>
    <w:rsid w:val="00115E7A"/>
    <w:rsid w:val="0012234B"/>
    <w:rsid w:val="0013083C"/>
    <w:rsid w:val="00135555"/>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22D57"/>
    <w:rsid w:val="00326EEA"/>
    <w:rsid w:val="003448FB"/>
    <w:rsid w:val="00374ECA"/>
    <w:rsid w:val="0039464E"/>
    <w:rsid w:val="003A3E61"/>
    <w:rsid w:val="003B75EE"/>
    <w:rsid w:val="003C6DAB"/>
    <w:rsid w:val="003D1F47"/>
    <w:rsid w:val="003F0929"/>
    <w:rsid w:val="003F528B"/>
    <w:rsid w:val="00411692"/>
    <w:rsid w:val="00430304"/>
    <w:rsid w:val="0043105B"/>
    <w:rsid w:val="00434F64"/>
    <w:rsid w:val="00435FF9"/>
    <w:rsid w:val="00445879"/>
    <w:rsid w:val="0047213D"/>
    <w:rsid w:val="00476B75"/>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0F29"/>
    <w:rsid w:val="00592BEE"/>
    <w:rsid w:val="005B05D8"/>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3A30"/>
    <w:rsid w:val="00685B0E"/>
    <w:rsid w:val="006A7AB7"/>
    <w:rsid w:val="006B2674"/>
    <w:rsid w:val="006E6389"/>
    <w:rsid w:val="006F0A6E"/>
    <w:rsid w:val="006F30F8"/>
    <w:rsid w:val="006F538D"/>
    <w:rsid w:val="006F62BA"/>
    <w:rsid w:val="00700071"/>
    <w:rsid w:val="00700DF1"/>
    <w:rsid w:val="00701B9E"/>
    <w:rsid w:val="00706B53"/>
    <w:rsid w:val="0071093C"/>
    <w:rsid w:val="00736C06"/>
    <w:rsid w:val="00760037"/>
    <w:rsid w:val="007617C8"/>
    <w:rsid w:val="00762C20"/>
    <w:rsid w:val="00793DDA"/>
    <w:rsid w:val="007A042E"/>
    <w:rsid w:val="007A0EB7"/>
    <w:rsid w:val="007A1C9F"/>
    <w:rsid w:val="007B1CFA"/>
    <w:rsid w:val="007B578D"/>
    <w:rsid w:val="007C0652"/>
    <w:rsid w:val="007C2963"/>
    <w:rsid w:val="007C766E"/>
    <w:rsid w:val="007D4251"/>
    <w:rsid w:val="007D46B1"/>
    <w:rsid w:val="007D49CE"/>
    <w:rsid w:val="007E2D4F"/>
    <w:rsid w:val="007E4CDF"/>
    <w:rsid w:val="007E70F8"/>
    <w:rsid w:val="007F0A74"/>
    <w:rsid w:val="00807750"/>
    <w:rsid w:val="00812F10"/>
    <w:rsid w:val="00820022"/>
    <w:rsid w:val="00820034"/>
    <w:rsid w:val="00830353"/>
    <w:rsid w:val="0083108D"/>
    <w:rsid w:val="008421B8"/>
    <w:rsid w:val="00861117"/>
    <w:rsid w:val="00861A61"/>
    <w:rsid w:val="008721A1"/>
    <w:rsid w:val="00892AFC"/>
    <w:rsid w:val="008936B4"/>
    <w:rsid w:val="008A67F1"/>
    <w:rsid w:val="008B0A68"/>
    <w:rsid w:val="008B2FAB"/>
    <w:rsid w:val="008C19BE"/>
    <w:rsid w:val="008C3C4B"/>
    <w:rsid w:val="008D1526"/>
    <w:rsid w:val="008D411B"/>
    <w:rsid w:val="008F0202"/>
    <w:rsid w:val="008F67BC"/>
    <w:rsid w:val="00911413"/>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702A"/>
    <w:rsid w:val="00A81140"/>
    <w:rsid w:val="00AB289E"/>
    <w:rsid w:val="00AB78CF"/>
    <w:rsid w:val="00AC0680"/>
    <w:rsid w:val="00AC25BC"/>
    <w:rsid w:val="00AE7763"/>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B3124"/>
    <w:rsid w:val="00BC1756"/>
    <w:rsid w:val="00BD07E6"/>
    <w:rsid w:val="00BD7483"/>
    <w:rsid w:val="00BE05AB"/>
    <w:rsid w:val="00BF358F"/>
    <w:rsid w:val="00BF68F0"/>
    <w:rsid w:val="00BF6974"/>
    <w:rsid w:val="00BF6E14"/>
    <w:rsid w:val="00C156E5"/>
    <w:rsid w:val="00C242A7"/>
    <w:rsid w:val="00C27236"/>
    <w:rsid w:val="00C31088"/>
    <w:rsid w:val="00C34F96"/>
    <w:rsid w:val="00C65950"/>
    <w:rsid w:val="00C75CBC"/>
    <w:rsid w:val="00C80F8C"/>
    <w:rsid w:val="00C85F1D"/>
    <w:rsid w:val="00C8760D"/>
    <w:rsid w:val="00CA2E94"/>
    <w:rsid w:val="00CB2F05"/>
    <w:rsid w:val="00CD2984"/>
    <w:rsid w:val="00CE0FA6"/>
    <w:rsid w:val="00CE217B"/>
    <w:rsid w:val="00CF3F65"/>
    <w:rsid w:val="00CF7A60"/>
    <w:rsid w:val="00D03369"/>
    <w:rsid w:val="00D20156"/>
    <w:rsid w:val="00D36ABC"/>
    <w:rsid w:val="00D50912"/>
    <w:rsid w:val="00D96441"/>
    <w:rsid w:val="00D9697B"/>
    <w:rsid w:val="00DB481D"/>
    <w:rsid w:val="00DC2CB7"/>
    <w:rsid w:val="00DC3082"/>
    <w:rsid w:val="00DD45AC"/>
    <w:rsid w:val="00DD5CD5"/>
    <w:rsid w:val="00DE1629"/>
    <w:rsid w:val="00DE5C27"/>
    <w:rsid w:val="00E00BE5"/>
    <w:rsid w:val="00E31E7F"/>
    <w:rsid w:val="00E37AE3"/>
    <w:rsid w:val="00E429BA"/>
    <w:rsid w:val="00E80943"/>
    <w:rsid w:val="00EF3513"/>
    <w:rsid w:val="00F05A30"/>
    <w:rsid w:val="00F10A06"/>
    <w:rsid w:val="00F1205F"/>
    <w:rsid w:val="00F43313"/>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6D358E9-4A62-4498-987D-82055162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table" w:customStyle="1" w:styleId="4">
    <w:name w:val="4"/>
    <w:basedOn w:val="Tablanormal"/>
    <w:rsid w:val="007C2963"/>
    <w:rPr>
      <w:rFonts w:ascii="Times New Roman" w:eastAsia="Times New Roman" w:hAnsi="Times New Roman" w:cs="Times New Roman"/>
      <w:sz w:val="22"/>
      <w:szCs w:val="22"/>
      <w:lang w:val="es-ES" w:eastAsia="es-MX"/>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8865063">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44713172">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58106657">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53368687">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26554400">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07183">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2087714">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1389441">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5E79D-BCDE-48D8-A3DE-2A66E48D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31</Pages>
  <Words>6701</Words>
  <Characters>36860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Infoem600</cp:lastModifiedBy>
  <cp:revision>6</cp:revision>
  <cp:lastPrinted>2023-07-10T23:08:00Z</cp:lastPrinted>
  <dcterms:created xsi:type="dcterms:W3CDTF">2023-07-03T16:39:00Z</dcterms:created>
  <dcterms:modified xsi:type="dcterms:W3CDTF">2024-02-08T23:03:00Z</dcterms:modified>
</cp:coreProperties>
</file>