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0FC8" w14:textId="642B54B9" w:rsidR="00715F8B" w:rsidRPr="009459B0" w:rsidRDefault="00715F8B" w:rsidP="009459B0">
      <w:pPr>
        <w:spacing w:after="0" w:line="360" w:lineRule="auto"/>
        <w:jc w:val="both"/>
        <w:rPr>
          <w:rFonts w:ascii="Palatino Linotype" w:hAnsi="Palatino Linotype" w:cs="Tahoma"/>
          <w:b/>
          <w:sz w:val="24"/>
          <w:szCs w:val="24"/>
        </w:rPr>
      </w:pPr>
      <w:r w:rsidRPr="009459B0">
        <w:rPr>
          <w:rFonts w:ascii="Palatino Linotype" w:hAnsi="Palatino Linotype" w:cs="Tahoma"/>
          <w:b/>
          <w:sz w:val="24"/>
          <w:szCs w:val="24"/>
        </w:rPr>
        <w:t xml:space="preserve">VOTO PARTICULAR QUE FORMULA DE LA COMISIONADA MARÍA DEL ROSARIO MEJÍA AYALA, CON RELACIÓN A LA RESOLUCIÓN EMITIDA POR EL PLENO DEL INSTITUTO DE TRANSPARENCIA, ACCESO A LA INFORMACIÓN PÚBLICA Y PROTECCIÓN DE DATOS PERSONALES DEL ESTADO DE MÉXICO Y MUNICIPIOS AL RECURSO DE REVISIÓN </w:t>
      </w:r>
      <w:r w:rsidR="00AC662D" w:rsidRPr="009459B0">
        <w:rPr>
          <w:rFonts w:ascii="Palatino Linotype" w:hAnsi="Palatino Linotype" w:cs="Tahoma"/>
          <w:b/>
          <w:sz w:val="24"/>
          <w:szCs w:val="24"/>
        </w:rPr>
        <w:t>15044/INFOEM/IP/RR/2022</w:t>
      </w:r>
      <w:r w:rsidRPr="009459B0">
        <w:rPr>
          <w:rFonts w:ascii="Palatino Linotype" w:hAnsi="Palatino Linotype" w:cs="Tahoma"/>
          <w:b/>
          <w:sz w:val="24"/>
          <w:szCs w:val="24"/>
        </w:rPr>
        <w:t xml:space="preserve">, PROMOVIDO EN CONTRA DEL </w:t>
      </w:r>
      <w:r w:rsidR="00AC662D" w:rsidRPr="009459B0">
        <w:rPr>
          <w:rFonts w:ascii="Palatino Linotype" w:hAnsi="Palatino Linotype" w:cs="Tahoma"/>
          <w:b/>
          <w:sz w:val="24"/>
          <w:szCs w:val="24"/>
        </w:rPr>
        <w:t>AYUNTAMIENTO DE TOLUCA</w:t>
      </w:r>
      <w:r w:rsidR="00867FE5">
        <w:rPr>
          <w:rFonts w:ascii="Palatino Linotype" w:hAnsi="Palatino Linotype" w:cs="Tahoma"/>
          <w:b/>
          <w:sz w:val="24"/>
          <w:szCs w:val="24"/>
        </w:rPr>
        <w:t>.</w:t>
      </w:r>
    </w:p>
    <w:p w14:paraId="6F17111E" w14:textId="77777777" w:rsidR="00715F8B" w:rsidRPr="009459B0" w:rsidRDefault="00715F8B" w:rsidP="009459B0">
      <w:pPr>
        <w:spacing w:after="0" w:line="360" w:lineRule="auto"/>
        <w:jc w:val="both"/>
        <w:rPr>
          <w:rFonts w:ascii="Palatino Linotype" w:hAnsi="Palatino Linotype" w:cs="Tahoma"/>
          <w:b/>
          <w:sz w:val="24"/>
          <w:szCs w:val="24"/>
        </w:rPr>
      </w:pPr>
    </w:p>
    <w:p w14:paraId="62F8A535" w14:textId="77777777" w:rsidR="00715F8B" w:rsidRPr="009459B0" w:rsidRDefault="00715F8B" w:rsidP="009459B0">
      <w:pPr>
        <w:spacing w:after="0" w:line="360" w:lineRule="auto"/>
        <w:jc w:val="both"/>
        <w:rPr>
          <w:rFonts w:ascii="Palatino Linotype" w:hAnsi="Palatino Linotype" w:cs="Tahoma"/>
          <w:b/>
          <w:sz w:val="24"/>
          <w:szCs w:val="24"/>
        </w:rPr>
      </w:pPr>
      <w:r w:rsidRPr="009459B0">
        <w:rPr>
          <w:rFonts w:ascii="Palatino Linotype" w:hAnsi="Palatino Linotype" w:cs="Tahoma"/>
          <w:b/>
          <w:sz w:val="24"/>
          <w:szCs w:val="24"/>
        </w:rPr>
        <w:t>A.</w:t>
      </w:r>
      <w:r w:rsidRPr="009459B0">
        <w:rPr>
          <w:rFonts w:ascii="Palatino Linotype" w:hAnsi="Palatino Linotype" w:cs="Tahoma"/>
          <w:b/>
          <w:sz w:val="24"/>
          <w:szCs w:val="24"/>
        </w:rPr>
        <w:tab/>
        <w:t>Consideraciones Generales.</w:t>
      </w:r>
    </w:p>
    <w:p w14:paraId="77E6BF16" w14:textId="77777777" w:rsidR="00715F8B" w:rsidRPr="009459B0" w:rsidRDefault="00715F8B" w:rsidP="009459B0">
      <w:pPr>
        <w:spacing w:after="0" w:line="360" w:lineRule="auto"/>
        <w:jc w:val="both"/>
        <w:rPr>
          <w:rFonts w:ascii="Palatino Linotype" w:eastAsia="Calibri" w:hAnsi="Palatino Linotype" w:cs="Tahoma"/>
          <w:bCs/>
          <w:sz w:val="24"/>
          <w:szCs w:val="24"/>
        </w:rPr>
      </w:pPr>
    </w:p>
    <w:p w14:paraId="6A3DB137" w14:textId="77777777" w:rsidR="00715F8B" w:rsidRDefault="00715F8B" w:rsidP="009459B0">
      <w:pPr>
        <w:spacing w:after="0" w:line="360" w:lineRule="auto"/>
        <w:jc w:val="both"/>
        <w:rPr>
          <w:rFonts w:ascii="Palatino Linotype" w:eastAsia="Calibri" w:hAnsi="Palatino Linotype" w:cs="Tahoma"/>
          <w:bCs/>
          <w:sz w:val="24"/>
          <w:szCs w:val="24"/>
        </w:rPr>
      </w:pPr>
      <w:r w:rsidRPr="009459B0">
        <w:rPr>
          <w:rFonts w:ascii="Palatino Linotype" w:eastAsia="Calibri" w:hAnsi="Palatino Linotype" w:cs="Tahoma"/>
          <w:bCs/>
          <w:sz w:val="24"/>
          <w:szCs w:val="24"/>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w:t>
      </w:r>
      <w:r w:rsidRPr="009459B0">
        <w:rPr>
          <w:rFonts w:ascii="Palatino Linotype" w:eastAsia="Calibri" w:hAnsi="Palatino Linotype" w:cs="Tahoma"/>
          <w:b/>
          <w:bCs/>
          <w:sz w:val="24"/>
          <w:szCs w:val="24"/>
        </w:rPr>
        <w:t xml:space="preserve">consideraciones que sustentan la Resolución del Recurso de Revisión </w:t>
      </w:r>
      <w:r w:rsidR="00AC662D" w:rsidRPr="009459B0">
        <w:rPr>
          <w:rFonts w:ascii="Palatino Linotype" w:eastAsia="Calibri" w:hAnsi="Palatino Linotype" w:cs="Tahoma"/>
          <w:b/>
          <w:bCs/>
          <w:sz w:val="24"/>
          <w:szCs w:val="24"/>
        </w:rPr>
        <w:t>15044/INFOEM/IP/RR/2022</w:t>
      </w:r>
      <w:r w:rsidRPr="009459B0">
        <w:rPr>
          <w:rFonts w:ascii="Palatino Linotype" w:eastAsia="Calibri" w:hAnsi="Palatino Linotype" w:cs="Tahoma"/>
          <w:b/>
          <w:bCs/>
          <w:sz w:val="24"/>
          <w:szCs w:val="24"/>
        </w:rPr>
        <w:t>,</w:t>
      </w:r>
      <w:r w:rsidRPr="009459B0">
        <w:rPr>
          <w:rFonts w:ascii="Palatino Linotype" w:eastAsia="Calibri" w:hAnsi="Palatino Linotype" w:cs="Tahoma"/>
          <w:bCs/>
          <w:sz w:val="24"/>
          <w:szCs w:val="24"/>
        </w:rPr>
        <w:t xml:space="preserve"> promovido en contra del </w:t>
      </w:r>
      <w:r w:rsidR="00AC662D" w:rsidRPr="009459B0">
        <w:rPr>
          <w:rFonts w:ascii="Palatino Linotype" w:eastAsia="Calibri" w:hAnsi="Palatino Linotype" w:cs="Tahoma"/>
          <w:bCs/>
          <w:sz w:val="24"/>
          <w:szCs w:val="24"/>
        </w:rPr>
        <w:t>Ayuntamiento de Toluca</w:t>
      </w:r>
      <w:r w:rsidRPr="009459B0">
        <w:rPr>
          <w:rFonts w:ascii="Palatino Linotype" w:eastAsia="Calibri" w:hAnsi="Palatino Linotype" w:cs="Tahoma"/>
          <w:bCs/>
          <w:sz w:val="24"/>
          <w:szCs w:val="24"/>
        </w:rPr>
        <w:t>.</w:t>
      </w:r>
    </w:p>
    <w:p w14:paraId="5BC47F7E" w14:textId="77777777" w:rsidR="007E60DA" w:rsidRDefault="007E60DA" w:rsidP="007E60DA">
      <w:pPr>
        <w:spacing w:after="0" w:line="360" w:lineRule="auto"/>
        <w:ind w:right="49"/>
        <w:jc w:val="both"/>
        <w:rPr>
          <w:rFonts w:ascii="Palatino Linotype" w:eastAsia="Calibri" w:hAnsi="Palatino Linotype" w:cs="Tahoma"/>
          <w:bCs/>
          <w:sz w:val="24"/>
          <w:szCs w:val="24"/>
        </w:rPr>
      </w:pPr>
    </w:p>
    <w:p w14:paraId="1C5BEFEC" w14:textId="77777777" w:rsidR="007E60DA" w:rsidRDefault="007E60DA" w:rsidP="007E60DA">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Calibri" w:hAnsi="Palatino Linotype" w:cs="Tahoma"/>
          <w:bCs/>
          <w:sz w:val="24"/>
          <w:szCs w:val="24"/>
        </w:rPr>
        <w:t>L</w:t>
      </w:r>
      <w:r>
        <w:rPr>
          <w:rFonts w:ascii="Palatino Linotype" w:eastAsia="Palatino Linotype" w:hAnsi="Palatino Linotype" w:cs="Palatino Linotype"/>
          <w:color w:val="000000"/>
          <w:sz w:val="24"/>
          <w:szCs w:val="24"/>
        </w:rPr>
        <w:t xml:space="preserve">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formuló solicitud de acceso a información pública al</w:t>
      </w:r>
      <w:r>
        <w:rPr>
          <w:rFonts w:ascii="Palatino Linotype" w:eastAsia="Palatino Linotype" w:hAnsi="Palatino Linotype" w:cs="Palatino Linotype"/>
          <w:b/>
          <w:color w:val="000000"/>
          <w:sz w:val="24"/>
          <w:szCs w:val="24"/>
        </w:rPr>
        <w:t xml:space="preserve"> SUJETO OBLIGADO</w:t>
      </w:r>
      <w:r>
        <w:rPr>
          <w:rFonts w:ascii="Palatino Linotype" w:eastAsia="Palatino Linotype" w:hAnsi="Palatino Linotype" w:cs="Palatino Linotype"/>
          <w:color w:val="000000"/>
          <w:sz w:val="24"/>
          <w:szCs w:val="24"/>
        </w:rPr>
        <w:t xml:space="preserve"> a través del Sistema de Acceso a la Información Mexiquense (SAIMEX), en la que requirió lo siguiente: </w:t>
      </w:r>
    </w:p>
    <w:p w14:paraId="0E1000D6" w14:textId="77777777" w:rsidR="007E60DA" w:rsidRDefault="007E60DA" w:rsidP="007E60DA">
      <w:pPr>
        <w:spacing w:after="0" w:line="360" w:lineRule="auto"/>
        <w:ind w:right="49"/>
        <w:jc w:val="both"/>
        <w:rPr>
          <w:rFonts w:ascii="Palatino Linotype" w:eastAsia="Palatino Linotype" w:hAnsi="Palatino Linotype" w:cs="Palatino Linotype"/>
          <w:sz w:val="24"/>
          <w:szCs w:val="24"/>
        </w:rPr>
      </w:pPr>
    </w:p>
    <w:p w14:paraId="16FCCBE4" w14:textId="77777777" w:rsidR="007E60DA" w:rsidRDefault="007E60DA" w:rsidP="007E60DA">
      <w:pPr>
        <w:spacing w:after="0"/>
        <w:ind w:left="567" w:right="560"/>
        <w:jc w:val="both"/>
        <w:rPr>
          <w:rFonts w:ascii="Palatino Linotype" w:eastAsia="Palatino Linotype" w:hAnsi="Palatino Linotype" w:cs="Palatino Linotype"/>
          <w:i/>
        </w:rPr>
      </w:pPr>
      <w:bookmarkStart w:id="0" w:name="_heading=h.30j0zll"/>
      <w:bookmarkEnd w:id="0"/>
      <w:r>
        <w:rPr>
          <w:rFonts w:ascii="Palatino Linotype" w:eastAsia="Palatino Linotype" w:hAnsi="Palatino Linotype" w:cs="Palatino Linotype"/>
          <w:i/>
        </w:rPr>
        <w:lastRenderedPageBreak/>
        <w:t xml:space="preserve">“Solicito saber área de adscripción de los servidores públicos, Damián Gómez Dávila, Jaime Amado López, y Nestor Alejandro Santamaria, así como saber en que status se encuentran las demandas por acoso a servidoras públicas del Ayuntamiento por estas personas.”. </w:t>
      </w:r>
    </w:p>
    <w:p w14:paraId="7B269B81" w14:textId="77777777" w:rsidR="007E60DA" w:rsidRDefault="007E60DA" w:rsidP="007E60DA">
      <w:pPr>
        <w:spacing w:after="0" w:line="360" w:lineRule="auto"/>
        <w:ind w:left="567" w:right="560"/>
        <w:jc w:val="both"/>
        <w:rPr>
          <w:rFonts w:ascii="Palatino Linotype" w:eastAsia="Palatino Linotype" w:hAnsi="Palatino Linotype" w:cs="Palatino Linotype"/>
          <w:i/>
        </w:rPr>
      </w:pPr>
    </w:p>
    <w:p w14:paraId="13288E1D" w14:textId="77777777" w:rsidR="007E60DA" w:rsidRDefault="007E60DA" w:rsidP="007E60DA">
      <w:pP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remitió respuesta a la solicitud de información</w:t>
      </w:r>
      <w:r>
        <w:rPr>
          <w:rFonts w:ascii="Palatino Linotype" w:eastAsia="Palatino Linotype" w:hAnsi="Palatino Linotype" w:cs="Palatino Linotype"/>
          <w:color w:val="000000"/>
        </w:rPr>
        <w:t xml:space="preserve"> mediante  la cual indica que la Dirección General de Administración informó la categoría, departamento y Dirección a la que se encuentran adscritos los servidores públicos referidos en la solicitud y refirió que la Consejería Jurídica informó que tiene la facultad exclusiva de atender y representar a la administración pública municipal sólo en los asuntos en los que tenga carácter de demandado, actor y en materia penal como víctima u ofendido, por lo que, al no estar facultada para tener conocimiento de algo ajeno a lo que faculta la Ley, se encuentra imposibilitado material y jurídicamente. </w:t>
      </w:r>
    </w:p>
    <w:p w14:paraId="15E0B7E5" w14:textId="77777777" w:rsidR="007E60DA" w:rsidRDefault="007E60DA" w:rsidP="007E60DA">
      <w:pPr>
        <w:spacing w:after="0" w:line="360" w:lineRule="auto"/>
        <w:ind w:left="720" w:right="560"/>
        <w:jc w:val="both"/>
        <w:rPr>
          <w:rFonts w:ascii="Palatino Linotype" w:eastAsia="Palatino Linotype" w:hAnsi="Palatino Linotype" w:cs="Palatino Linotype"/>
          <w:color w:val="000000"/>
        </w:rPr>
      </w:pPr>
    </w:p>
    <w:p w14:paraId="68FB78FF" w14:textId="77777777" w:rsidR="007E60DA" w:rsidRDefault="007E60DA" w:rsidP="007E60DA">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Particular, derivado de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interpuso Recurso de Revisión a través a través del cual expresó lo siguiente:</w:t>
      </w:r>
    </w:p>
    <w:p w14:paraId="125DC04E" w14:textId="77777777" w:rsidR="007E60DA" w:rsidRDefault="007E60DA" w:rsidP="007E60DA">
      <w:pPr>
        <w:spacing w:after="0" w:line="360" w:lineRule="auto"/>
        <w:ind w:right="49"/>
        <w:jc w:val="both"/>
        <w:rPr>
          <w:rFonts w:ascii="Palatino Linotype" w:eastAsia="Palatino Linotype" w:hAnsi="Palatino Linotype" w:cs="Palatino Linotype"/>
          <w:color w:val="000000"/>
          <w:sz w:val="24"/>
          <w:szCs w:val="24"/>
        </w:rPr>
      </w:pPr>
    </w:p>
    <w:p w14:paraId="31A738DE" w14:textId="77777777" w:rsidR="007E60DA" w:rsidRDefault="007E60DA" w:rsidP="007E60DA">
      <w:pPr>
        <w:tabs>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Acto impugnado. </w:t>
      </w: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4"/>
          <w:szCs w:val="24"/>
        </w:rPr>
        <w:t>Ocultan información, y protegen a los servidores públicos que cometen faltas, tengo conocimiento que existen procesos dentro del Ayuntamiento por el tema mencionado de los servidores públicos mencionados en mi solicitud”.</w:t>
      </w:r>
    </w:p>
    <w:p w14:paraId="773D6FE4" w14:textId="77777777" w:rsidR="007E60DA" w:rsidRDefault="007E60DA" w:rsidP="007E60DA">
      <w:pPr>
        <w:tabs>
          <w:tab w:val="left" w:pos="993"/>
        </w:tabs>
        <w:spacing w:after="0" w:line="276" w:lineRule="auto"/>
        <w:ind w:left="567" w:right="701"/>
        <w:jc w:val="both"/>
        <w:rPr>
          <w:rFonts w:ascii="Palatino Linotype" w:eastAsia="Palatino Linotype" w:hAnsi="Palatino Linotype" w:cs="Palatino Linotype"/>
          <w:b/>
          <w:color w:val="000000"/>
          <w:sz w:val="24"/>
          <w:szCs w:val="24"/>
        </w:rPr>
      </w:pPr>
    </w:p>
    <w:p w14:paraId="0AFA7677" w14:textId="77777777" w:rsidR="007E60DA" w:rsidRDefault="007E60DA" w:rsidP="007E60DA">
      <w:pP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sz w:val="24"/>
          <w:szCs w:val="24"/>
        </w:rPr>
        <w:t xml:space="preserve">Razones o motivos de la inconformidad: </w:t>
      </w: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sz w:val="24"/>
          <w:szCs w:val="24"/>
        </w:rPr>
        <w:t>Ocultan información, y protegen a los servidores públicos que cometen faltas, tengo conocimiento que existen procesos dentro del Ayuntamiento por el tema mencionado de los servidores públicos mencionados en mi solicitud. solicito nuevamente la información para que se entregue en su totalidad.</w:t>
      </w:r>
      <w:r>
        <w:rPr>
          <w:rFonts w:ascii="Palatino Linotype" w:eastAsia="Palatino Linotype" w:hAnsi="Palatino Linotype" w:cs="Palatino Linotype"/>
          <w:b/>
          <w:i/>
          <w:color w:val="000000"/>
          <w:sz w:val="24"/>
          <w:szCs w:val="24"/>
        </w:rPr>
        <w:t>”</w:t>
      </w:r>
    </w:p>
    <w:p w14:paraId="459F77CA" w14:textId="77777777" w:rsidR="001D197C" w:rsidRDefault="00715F8B" w:rsidP="001D197C">
      <w:pPr>
        <w:spacing w:after="0" w:line="360" w:lineRule="auto"/>
        <w:jc w:val="both"/>
        <w:rPr>
          <w:rFonts w:ascii="Palatino Linotype" w:eastAsia="Palatino Linotype" w:hAnsi="Palatino Linotype" w:cs="Palatino Linotype"/>
          <w:color w:val="000000"/>
          <w:sz w:val="24"/>
          <w:szCs w:val="24"/>
        </w:rPr>
      </w:pPr>
      <w:r w:rsidRPr="009459B0">
        <w:rPr>
          <w:rFonts w:ascii="Palatino Linotype" w:eastAsia="Calibri" w:hAnsi="Palatino Linotype" w:cs="Tahoma"/>
          <w:bCs/>
          <w:sz w:val="24"/>
          <w:szCs w:val="24"/>
        </w:rPr>
        <w:lastRenderedPageBreak/>
        <w:t xml:space="preserve">En la Resolución se determinó </w:t>
      </w:r>
      <w:r w:rsidR="0029054D" w:rsidRPr="009459B0">
        <w:rPr>
          <w:rFonts w:ascii="Palatino Linotype" w:eastAsia="Calibri" w:hAnsi="Palatino Linotype" w:cs="Tahoma"/>
          <w:b/>
          <w:bCs/>
          <w:sz w:val="24"/>
          <w:szCs w:val="24"/>
        </w:rPr>
        <w:t>modificar</w:t>
      </w:r>
      <w:r w:rsidR="0029054D" w:rsidRPr="009459B0">
        <w:rPr>
          <w:rFonts w:ascii="Palatino Linotype" w:eastAsia="Calibri" w:hAnsi="Palatino Linotype" w:cs="Tahoma"/>
          <w:bCs/>
          <w:sz w:val="24"/>
          <w:szCs w:val="24"/>
        </w:rPr>
        <w:t xml:space="preserve"> la respuesta entregada por el </w:t>
      </w:r>
      <w:r w:rsidR="00727414" w:rsidRPr="009459B0">
        <w:rPr>
          <w:rFonts w:ascii="Palatino Linotype" w:eastAsia="Calibri" w:hAnsi="Palatino Linotype" w:cs="Tahoma"/>
          <w:bCs/>
          <w:sz w:val="24"/>
          <w:szCs w:val="24"/>
        </w:rPr>
        <w:t xml:space="preserve">Sujeto Obligado </w:t>
      </w:r>
      <w:r w:rsidR="0029054D" w:rsidRPr="009459B0">
        <w:rPr>
          <w:rFonts w:ascii="Palatino Linotype" w:eastAsia="Calibri" w:hAnsi="Palatino Linotype" w:cs="Tahoma"/>
          <w:bCs/>
          <w:sz w:val="24"/>
          <w:szCs w:val="24"/>
        </w:rPr>
        <w:t>a la solicitud de información y</w:t>
      </w:r>
      <w:r w:rsidR="009459B0">
        <w:rPr>
          <w:rFonts w:ascii="Palatino Linotype" w:eastAsia="Calibri" w:hAnsi="Palatino Linotype" w:cs="Tahoma"/>
          <w:bCs/>
          <w:sz w:val="24"/>
          <w:szCs w:val="24"/>
        </w:rPr>
        <w:t xml:space="preserve"> se</w:t>
      </w:r>
      <w:r w:rsidR="0029054D" w:rsidRPr="009459B0">
        <w:rPr>
          <w:rFonts w:ascii="Palatino Linotype" w:eastAsia="Calibri" w:hAnsi="Palatino Linotype" w:cs="Tahoma"/>
          <w:bCs/>
          <w:sz w:val="24"/>
          <w:szCs w:val="24"/>
        </w:rPr>
        <w:t xml:space="preserve"> </w:t>
      </w:r>
      <w:r w:rsidR="0029054D" w:rsidRPr="009459B0">
        <w:rPr>
          <w:rFonts w:ascii="Palatino Linotype" w:eastAsia="Calibri" w:hAnsi="Palatino Linotype" w:cs="Tahoma"/>
          <w:b/>
          <w:bCs/>
          <w:sz w:val="24"/>
          <w:szCs w:val="24"/>
        </w:rPr>
        <w:t>orden</w:t>
      </w:r>
      <w:r w:rsidR="009459B0">
        <w:rPr>
          <w:rFonts w:ascii="Palatino Linotype" w:eastAsia="Calibri" w:hAnsi="Palatino Linotype" w:cs="Tahoma"/>
          <w:b/>
          <w:bCs/>
          <w:sz w:val="24"/>
          <w:szCs w:val="24"/>
        </w:rPr>
        <w:t xml:space="preserve">ó </w:t>
      </w:r>
      <w:r w:rsidR="009459B0" w:rsidRPr="009459B0">
        <w:rPr>
          <w:rFonts w:ascii="Palatino Linotype" w:eastAsia="Calibri" w:hAnsi="Palatino Linotype" w:cs="Tahoma"/>
          <w:bCs/>
          <w:sz w:val="24"/>
          <w:szCs w:val="24"/>
        </w:rPr>
        <w:t>entregar</w:t>
      </w:r>
      <w:r w:rsidR="0029054D" w:rsidRPr="009459B0">
        <w:rPr>
          <w:rFonts w:ascii="Palatino Linotype" w:eastAsia="Calibri" w:hAnsi="Palatino Linotype" w:cs="Tahoma"/>
          <w:bCs/>
          <w:sz w:val="24"/>
          <w:szCs w:val="24"/>
        </w:rPr>
        <w:t xml:space="preserve"> </w:t>
      </w:r>
      <w:r w:rsidR="009459B0">
        <w:rPr>
          <w:rFonts w:ascii="Palatino Linotype" w:eastAsia="Calibri" w:hAnsi="Palatino Linotype" w:cs="Tahoma"/>
          <w:bCs/>
          <w:sz w:val="24"/>
          <w:szCs w:val="24"/>
        </w:rPr>
        <w:t xml:space="preserve">el </w:t>
      </w:r>
      <w:r w:rsidR="00AC662D" w:rsidRPr="009459B0">
        <w:rPr>
          <w:rFonts w:ascii="Palatino Linotype" w:eastAsia="Palatino Linotype" w:hAnsi="Palatino Linotype" w:cs="Palatino Linotype"/>
          <w:color w:val="000000"/>
          <w:sz w:val="24"/>
          <w:szCs w:val="24"/>
        </w:rPr>
        <w:t xml:space="preserve">Acuerdo a través del cual se clasifique como confidencial el pronunciamiento en sentido afirmativo o negativo respecto de la existencia o no existencia de procedimientos de responsabilidad iniciados por faltas graves derivados de quejas o denuncias, que se encuentren en trámite, o bien, se encuentren concluidos y se haya determinado alguna responsabilidad por falta no grave o la absolución. </w:t>
      </w:r>
    </w:p>
    <w:p w14:paraId="11C361F1" w14:textId="77777777" w:rsidR="001D197C" w:rsidRDefault="001D197C" w:rsidP="001D197C">
      <w:pPr>
        <w:spacing w:after="0" w:line="360" w:lineRule="auto"/>
        <w:jc w:val="both"/>
        <w:rPr>
          <w:rFonts w:ascii="Palatino Linotype" w:eastAsia="Palatino Linotype" w:hAnsi="Palatino Linotype" w:cs="Palatino Linotype"/>
          <w:color w:val="000000"/>
          <w:sz w:val="24"/>
          <w:szCs w:val="24"/>
        </w:rPr>
      </w:pPr>
    </w:p>
    <w:p w14:paraId="0F912110" w14:textId="77777777" w:rsidR="007E60DA" w:rsidRPr="007E60DA" w:rsidRDefault="007E60DA" w:rsidP="001D197C">
      <w:pPr>
        <w:spacing w:after="0" w:line="360" w:lineRule="auto"/>
        <w:jc w:val="both"/>
        <w:rPr>
          <w:rFonts w:ascii="Palatino Linotype" w:eastAsia="Palatino Linotype" w:hAnsi="Palatino Linotype" w:cs="Palatino Linotype"/>
          <w:sz w:val="24"/>
          <w:szCs w:val="24"/>
        </w:rPr>
      </w:pPr>
      <w:r w:rsidRPr="007E60DA">
        <w:rPr>
          <w:rFonts w:ascii="Palatino Linotype" w:eastAsia="Palatino Linotype" w:hAnsi="Palatino Linotype" w:cs="Palatino Linotype"/>
          <w:sz w:val="24"/>
          <w:szCs w:val="24"/>
        </w:rPr>
        <w:t>Respecto a los procedimientos sobre faltas administrativas graves que se</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encuentren en trámite, esto es que no hayan causado estado, se estima que se</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trata de información que debe ser clasificada como reservada, porque de revelarse</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la información se atenta contra el principio de presunción de inocencia que debe</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seguirse en la administración de la justicia,</w:t>
      </w:r>
      <w:r w:rsidRPr="007E60DA">
        <w:t xml:space="preserve"> </w:t>
      </w:r>
      <w:r w:rsidRPr="007E60DA">
        <w:rPr>
          <w:rFonts w:ascii="Palatino Linotype" w:eastAsia="Palatino Linotype" w:hAnsi="Palatino Linotype" w:cs="Palatino Linotype"/>
          <w:sz w:val="24"/>
          <w:szCs w:val="24"/>
        </w:rPr>
        <w:t>Con más detenimiento, la primera pre</w:t>
      </w:r>
      <w:r w:rsidR="001D197C">
        <w:rPr>
          <w:rFonts w:ascii="Palatino Linotype" w:eastAsia="Palatino Linotype" w:hAnsi="Palatino Linotype" w:cs="Palatino Linotype"/>
          <w:sz w:val="24"/>
          <w:szCs w:val="24"/>
        </w:rPr>
        <w:t>m</w:t>
      </w:r>
      <w:r w:rsidRPr="007E60DA">
        <w:rPr>
          <w:rFonts w:ascii="Palatino Linotype" w:eastAsia="Palatino Linotype" w:hAnsi="Palatino Linotype" w:cs="Palatino Linotype"/>
          <w:sz w:val="24"/>
          <w:szCs w:val="24"/>
        </w:rPr>
        <w:t>isa es que de revelarse la información de</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las personas a quienes se les ha iniciado un procedimiento administrativo y e</w:t>
      </w:r>
      <w:r w:rsidR="001D197C">
        <w:rPr>
          <w:rFonts w:ascii="Palatino Linotype" w:eastAsia="Palatino Linotype" w:hAnsi="Palatino Linotype" w:cs="Palatino Linotype"/>
          <w:sz w:val="24"/>
          <w:szCs w:val="24"/>
        </w:rPr>
        <w:t xml:space="preserve">l </w:t>
      </w:r>
      <w:r w:rsidRPr="007E60DA">
        <w:rPr>
          <w:rFonts w:ascii="Palatino Linotype" w:eastAsia="Palatino Linotype" w:hAnsi="Palatino Linotype" w:cs="Palatino Linotype"/>
          <w:sz w:val="24"/>
          <w:szCs w:val="24"/>
        </w:rPr>
        <w:t>nombre de aquellos que tienen un procedimiento instaurado y se encuentra</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pendiente de resolución rompería la regla de tratamiento y de juicio que debe</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seguirse en la administración de justicia, es decir, su incidencia tiene implicaciones</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que pudieran afectar la forma en cómo debe tratarse al servidor público acusado,</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pues no se ha comprobado en su totalidad que éste incurrió en una infracción,</w:t>
      </w:r>
    </w:p>
    <w:p w14:paraId="4DAE135E" w14:textId="77777777" w:rsidR="007E60DA" w:rsidRPr="007E60DA" w:rsidRDefault="007E60DA" w:rsidP="007E60DA">
      <w:pPr>
        <w:spacing w:after="0" w:line="360" w:lineRule="auto"/>
        <w:ind w:right="134"/>
        <w:jc w:val="both"/>
        <w:rPr>
          <w:rFonts w:ascii="Palatino Linotype" w:eastAsia="Palatino Linotype" w:hAnsi="Palatino Linotype" w:cs="Palatino Linotype"/>
          <w:sz w:val="24"/>
          <w:szCs w:val="24"/>
        </w:rPr>
      </w:pPr>
      <w:r w:rsidRPr="007E60DA">
        <w:rPr>
          <w:rFonts w:ascii="Palatino Linotype" w:eastAsia="Palatino Linotype" w:hAnsi="Palatino Linotype" w:cs="Palatino Linotype"/>
          <w:sz w:val="24"/>
          <w:szCs w:val="24"/>
        </w:rPr>
        <w:t>razón por la cual en dichos supuestos se deberá clasificar la información como</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reservada, conforme a la causal establecida en el artículo 140, fracción VI de la Ley</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en la materia,</w:t>
      </w:r>
      <w:r w:rsidRPr="007E60DA">
        <w:t xml:space="preserve"> </w:t>
      </w:r>
      <w:r w:rsidRPr="007E60DA">
        <w:rPr>
          <w:rFonts w:ascii="Palatino Linotype" w:eastAsia="Palatino Linotype" w:hAnsi="Palatino Linotype" w:cs="Palatino Linotype"/>
          <w:sz w:val="24"/>
          <w:szCs w:val="24"/>
        </w:rPr>
        <w:t xml:space="preserve">Del diverso anterior, tenemos que la reserva procede cuando el daño que </w:t>
      </w:r>
      <w:r w:rsidRPr="007E60DA">
        <w:rPr>
          <w:rFonts w:ascii="Palatino Linotype" w:eastAsia="Palatino Linotype" w:hAnsi="Palatino Linotype" w:cs="Palatino Linotype"/>
          <w:sz w:val="24"/>
          <w:szCs w:val="24"/>
        </w:rPr>
        <w:lastRenderedPageBreak/>
        <w:t>pueda</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producirse con la publicación de la información sea mayor que el interés público</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 xml:space="preserve"> de</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conocer la información de referencia, siempre que esté directamente relacionado</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con procesos o procedimientos administrativos o judiciales que no hayan quedado</w:t>
      </w:r>
      <w:r w:rsidR="001D197C">
        <w:rPr>
          <w:rFonts w:ascii="Palatino Linotype" w:eastAsia="Palatino Linotype" w:hAnsi="Palatino Linotype" w:cs="Palatino Linotype"/>
          <w:sz w:val="24"/>
          <w:szCs w:val="24"/>
        </w:rPr>
        <w:t xml:space="preserve"> </w:t>
      </w:r>
      <w:r w:rsidRPr="007E60DA">
        <w:rPr>
          <w:rFonts w:ascii="Palatino Linotype" w:eastAsia="Palatino Linotype" w:hAnsi="Palatino Linotype" w:cs="Palatino Linotype"/>
          <w:sz w:val="24"/>
          <w:szCs w:val="24"/>
        </w:rPr>
        <w:t>firmes.</w:t>
      </w:r>
    </w:p>
    <w:p w14:paraId="2A29CB9A" w14:textId="77777777" w:rsidR="007E60DA" w:rsidRPr="007E60DA" w:rsidRDefault="007E60DA" w:rsidP="007E60DA">
      <w:pPr>
        <w:spacing w:after="0" w:line="360" w:lineRule="auto"/>
        <w:ind w:right="134"/>
        <w:jc w:val="both"/>
        <w:rPr>
          <w:rFonts w:ascii="Palatino Linotype" w:eastAsia="Palatino Linotype" w:hAnsi="Palatino Linotype" w:cs="Palatino Linotype"/>
          <w:sz w:val="24"/>
          <w:szCs w:val="24"/>
        </w:rPr>
      </w:pPr>
    </w:p>
    <w:p w14:paraId="20748D3E" w14:textId="77777777" w:rsidR="001D197C" w:rsidRDefault="0019740B" w:rsidP="001D197C">
      <w:pPr>
        <w:spacing w:after="0" w:line="360" w:lineRule="auto"/>
        <w:ind w:right="1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Refiere </w:t>
      </w:r>
      <w:proofErr w:type="gramStart"/>
      <w:r>
        <w:rPr>
          <w:rFonts w:ascii="Palatino Linotype" w:eastAsia="Palatino Linotype" w:hAnsi="Palatino Linotype" w:cs="Palatino Linotype"/>
          <w:sz w:val="24"/>
          <w:szCs w:val="24"/>
        </w:rPr>
        <w:t xml:space="preserve">que </w:t>
      </w:r>
      <w:r w:rsidR="007E60DA" w:rsidRPr="007E60DA">
        <w:rPr>
          <w:rFonts w:ascii="Palatino Linotype" w:eastAsia="Palatino Linotype" w:hAnsi="Palatino Linotype" w:cs="Palatino Linotype"/>
          <w:sz w:val="24"/>
          <w:szCs w:val="24"/>
        </w:rPr>
        <w:t>,</w:t>
      </w:r>
      <w:proofErr w:type="gramEnd"/>
      <w:r w:rsidR="007E60DA" w:rsidRPr="007E60DA">
        <w:rPr>
          <w:rFonts w:ascii="Palatino Linotype" w:eastAsia="Palatino Linotype" w:hAnsi="Palatino Linotype" w:cs="Palatino Linotype"/>
          <w:sz w:val="24"/>
          <w:szCs w:val="24"/>
        </w:rPr>
        <w:t xml:space="preserve"> en estos casos, el nombre y cargo del servidor público denunciado debe</w:t>
      </w:r>
      <w:r w:rsidR="001D197C">
        <w:rPr>
          <w:rFonts w:ascii="Palatino Linotype" w:eastAsia="Palatino Linotype" w:hAnsi="Palatino Linotype" w:cs="Palatino Linotype"/>
          <w:sz w:val="24"/>
          <w:szCs w:val="24"/>
        </w:rPr>
        <w:t xml:space="preserve"> </w:t>
      </w:r>
      <w:r w:rsidR="007E60DA" w:rsidRPr="007E60DA">
        <w:rPr>
          <w:rFonts w:ascii="Palatino Linotype" w:eastAsia="Palatino Linotype" w:hAnsi="Palatino Linotype" w:cs="Palatino Linotype"/>
          <w:sz w:val="24"/>
          <w:szCs w:val="24"/>
        </w:rPr>
        <w:t>ser protegido en un estricto sentido, toda vez que al no existir una determinación</w:t>
      </w:r>
      <w:r w:rsidR="001D197C">
        <w:rPr>
          <w:rFonts w:ascii="Palatino Linotype" w:eastAsia="Palatino Linotype" w:hAnsi="Palatino Linotype" w:cs="Palatino Linotype"/>
          <w:sz w:val="24"/>
          <w:szCs w:val="24"/>
        </w:rPr>
        <w:t xml:space="preserve"> </w:t>
      </w:r>
      <w:r w:rsidR="007E60DA" w:rsidRPr="007E60DA">
        <w:rPr>
          <w:rFonts w:ascii="Palatino Linotype" w:eastAsia="Palatino Linotype" w:hAnsi="Palatino Linotype" w:cs="Palatino Linotype"/>
          <w:sz w:val="24"/>
          <w:szCs w:val="24"/>
        </w:rPr>
        <w:t>que resuelva el procedimiento administrativo, esto es, que siga en trámite, divulgar</w:t>
      </w:r>
      <w:r w:rsidR="001D197C">
        <w:rPr>
          <w:rFonts w:ascii="Palatino Linotype" w:eastAsia="Palatino Linotype" w:hAnsi="Palatino Linotype" w:cs="Palatino Linotype"/>
          <w:sz w:val="24"/>
          <w:szCs w:val="24"/>
        </w:rPr>
        <w:t xml:space="preserve">  </w:t>
      </w:r>
      <w:r w:rsidR="007E60DA" w:rsidRPr="007E60DA">
        <w:rPr>
          <w:rFonts w:ascii="Palatino Linotype" w:eastAsia="Palatino Linotype" w:hAnsi="Palatino Linotype" w:cs="Palatino Linotype"/>
          <w:sz w:val="24"/>
          <w:szCs w:val="24"/>
        </w:rPr>
        <w:t>esta información a terceros puede causar un perjuicio irreparable al servidor</w:t>
      </w:r>
      <w:r w:rsidR="001D197C">
        <w:rPr>
          <w:rFonts w:ascii="Palatino Linotype" w:eastAsia="Palatino Linotype" w:hAnsi="Palatino Linotype" w:cs="Palatino Linotype"/>
          <w:sz w:val="24"/>
          <w:szCs w:val="24"/>
        </w:rPr>
        <w:t xml:space="preserve"> </w:t>
      </w:r>
      <w:r w:rsidR="007E60DA" w:rsidRPr="007E60DA">
        <w:rPr>
          <w:rFonts w:ascii="Palatino Linotype" w:eastAsia="Palatino Linotype" w:hAnsi="Palatino Linotype" w:cs="Palatino Linotype"/>
          <w:sz w:val="24"/>
          <w:szCs w:val="24"/>
        </w:rPr>
        <w:t>público.</w:t>
      </w:r>
    </w:p>
    <w:p w14:paraId="325B4324" w14:textId="77777777" w:rsidR="001D197C" w:rsidRDefault="001D197C" w:rsidP="001D197C">
      <w:pPr>
        <w:spacing w:after="0" w:line="360" w:lineRule="auto"/>
        <w:ind w:right="134"/>
        <w:jc w:val="both"/>
        <w:rPr>
          <w:rFonts w:ascii="Palatino Linotype" w:eastAsia="Palatino Linotype" w:hAnsi="Palatino Linotype" w:cs="Palatino Linotype"/>
          <w:sz w:val="24"/>
          <w:szCs w:val="24"/>
        </w:rPr>
      </w:pPr>
    </w:p>
    <w:p w14:paraId="722B77B8" w14:textId="77777777" w:rsidR="001D197C" w:rsidRDefault="001D197C" w:rsidP="001D197C">
      <w:pPr>
        <w:spacing w:after="0" w:line="360" w:lineRule="auto"/>
        <w:ind w:right="134"/>
        <w:jc w:val="both"/>
        <w:rPr>
          <w:rFonts w:ascii="Palatino Linotype" w:eastAsiaTheme="minorEastAsia" w:hAnsi="Palatino Linotype"/>
          <w:color w:val="000000" w:themeColor="text1"/>
          <w:sz w:val="24"/>
        </w:rPr>
      </w:pPr>
      <w:r>
        <w:rPr>
          <w:rFonts w:ascii="Palatino Linotype" w:hAnsi="Palatino Linotype" w:cs="Tahoma"/>
          <w:bCs/>
          <w:color w:val="000000" w:themeColor="text1"/>
          <w:sz w:val="24"/>
        </w:rPr>
        <w:t>Sin embargo, en la resolución no se verifica si la información que pretenden clasificar se encuentra dentro de las excepciones que marca la normatividad en materia, p</w:t>
      </w:r>
      <w:r>
        <w:rPr>
          <w:rFonts w:ascii="Palatino Linotype" w:hAnsi="Palatino Linotype"/>
          <w:sz w:val="24"/>
          <w:szCs w:val="24"/>
        </w:rPr>
        <w:t>or lo que resulta</w:t>
      </w:r>
      <w:r>
        <w:rPr>
          <w:rFonts w:ascii="Palatino Linotype" w:eastAsiaTheme="minorEastAsia" w:hAnsi="Palatino Linotype"/>
          <w:color w:val="000000" w:themeColor="text1"/>
          <w:sz w:val="24"/>
        </w:rPr>
        <w:t xml:space="preserve"> imperativo señalar que en artículo 142 de la </w:t>
      </w:r>
      <w:r w:rsidRPr="00C7145E">
        <w:rPr>
          <w:rFonts w:ascii="Palatino Linotype" w:eastAsiaTheme="minorEastAsia" w:hAnsi="Palatino Linotype"/>
          <w:color w:val="000000" w:themeColor="text1"/>
          <w:sz w:val="24"/>
        </w:rPr>
        <w:t>Ley vigente de Transparencia y Acceso a la Información Pública del Estado de México y Municipios</w:t>
      </w:r>
      <w:r>
        <w:rPr>
          <w:rFonts w:ascii="Palatino Linotype" w:eastAsiaTheme="minorEastAsia" w:hAnsi="Palatino Linotype"/>
          <w:color w:val="000000" w:themeColor="text1"/>
          <w:sz w:val="24"/>
        </w:rPr>
        <w:t xml:space="preserve">, </w:t>
      </w:r>
      <w:r>
        <w:rPr>
          <w:rFonts w:ascii="Palatino Linotype" w:eastAsiaTheme="minorEastAsia" w:hAnsi="Palatino Linotype"/>
          <w:b/>
          <w:color w:val="000000" w:themeColor="text1"/>
          <w:sz w:val="24"/>
        </w:rPr>
        <w:t>enlista los escenarios bajo los que no se podrá invocar la reserva de información</w:t>
      </w:r>
      <w:r>
        <w:rPr>
          <w:rFonts w:ascii="Palatino Linotype" w:eastAsiaTheme="minorEastAsia" w:hAnsi="Palatino Linotype"/>
          <w:color w:val="000000" w:themeColor="text1"/>
          <w:sz w:val="24"/>
        </w:rPr>
        <w:t>, a saber:</w:t>
      </w:r>
    </w:p>
    <w:p w14:paraId="089CBE2A" w14:textId="77777777" w:rsidR="001D197C" w:rsidRDefault="001D197C" w:rsidP="001D197C">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00380F87" w14:textId="77777777" w:rsidR="001D197C" w:rsidRDefault="001D197C" w:rsidP="001D197C">
      <w:pPr>
        <w:tabs>
          <w:tab w:val="left" w:pos="426"/>
        </w:tabs>
        <w:spacing w:before="240" w:after="240" w:line="360" w:lineRule="auto"/>
        <w:ind w:left="567" w:right="567"/>
        <w:contextualSpacing/>
        <w:jc w:val="both"/>
        <w:rPr>
          <w:rFonts w:ascii="Palatino Linotype" w:eastAsiaTheme="minorEastAsia" w:hAnsi="Palatino Linotype"/>
          <w:i/>
          <w:iCs/>
        </w:rPr>
      </w:pPr>
      <w:r>
        <w:rPr>
          <w:rFonts w:ascii="Palatino Linotype" w:eastAsiaTheme="minorEastAsia" w:hAnsi="Palatino Linotype"/>
          <w:i/>
          <w:iCs/>
        </w:rPr>
        <w:t>“</w:t>
      </w:r>
      <w:r>
        <w:rPr>
          <w:rFonts w:ascii="Palatino Linotype" w:eastAsiaTheme="minorEastAsia" w:hAnsi="Palatino Linotype"/>
          <w:b/>
          <w:bCs/>
          <w:i/>
          <w:iCs/>
        </w:rPr>
        <w:t xml:space="preserve">Artículo 142. </w:t>
      </w:r>
      <w:r>
        <w:rPr>
          <w:rFonts w:ascii="Palatino Linotype" w:eastAsiaTheme="minorEastAsia" w:hAnsi="Palatino Linotype"/>
          <w:i/>
          <w:iCs/>
        </w:rPr>
        <w:t xml:space="preserve">Bajo ninguna circunstancia podrá invocarse el carácter de reservado cuando: </w:t>
      </w:r>
    </w:p>
    <w:p w14:paraId="01B85F5A" w14:textId="77777777" w:rsidR="001D197C" w:rsidRDefault="001D197C" w:rsidP="001D197C">
      <w:pPr>
        <w:tabs>
          <w:tab w:val="left" w:pos="426"/>
        </w:tabs>
        <w:spacing w:before="240" w:after="240" w:line="360" w:lineRule="auto"/>
        <w:ind w:left="567" w:right="567"/>
        <w:contextualSpacing/>
        <w:jc w:val="both"/>
        <w:rPr>
          <w:rFonts w:ascii="Palatino Linotype" w:eastAsiaTheme="minorEastAsia" w:hAnsi="Palatino Linotype"/>
          <w:i/>
          <w:iCs/>
        </w:rPr>
      </w:pPr>
    </w:p>
    <w:p w14:paraId="192EA0BE" w14:textId="77777777" w:rsidR="001D197C" w:rsidRDefault="001D197C" w:rsidP="001D197C">
      <w:pPr>
        <w:tabs>
          <w:tab w:val="left" w:pos="426"/>
        </w:tabs>
        <w:spacing w:before="240" w:after="240" w:line="360" w:lineRule="auto"/>
        <w:ind w:left="567" w:right="567"/>
        <w:contextualSpacing/>
        <w:jc w:val="both"/>
        <w:rPr>
          <w:rFonts w:ascii="Palatino Linotype" w:eastAsiaTheme="minorEastAsia" w:hAnsi="Palatino Linotype"/>
          <w:i/>
          <w:iCs/>
        </w:rPr>
      </w:pPr>
      <w:r>
        <w:rPr>
          <w:rFonts w:ascii="Palatino Linotype" w:eastAsiaTheme="minorEastAsia" w:hAnsi="Palatino Linotype"/>
          <w:b/>
          <w:bCs/>
          <w:i/>
          <w:iCs/>
        </w:rPr>
        <w:t>I.</w:t>
      </w:r>
      <w:r>
        <w:rPr>
          <w:rFonts w:ascii="Palatino Linotype" w:eastAsiaTheme="minorEastAsia" w:hAnsi="Palatino Linotype"/>
          <w:i/>
          <w:iCs/>
        </w:rPr>
        <w:t xml:space="preserve"> Se trate de violaciones graves de derechos humanos, calificada así por autoridad competente; </w:t>
      </w:r>
    </w:p>
    <w:p w14:paraId="2CD95ED9" w14:textId="77777777" w:rsidR="001D197C" w:rsidRPr="001D197C" w:rsidRDefault="001D197C" w:rsidP="001D197C">
      <w:pPr>
        <w:tabs>
          <w:tab w:val="left" w:pos="426"/>
        </w:tabs>
        <w:spacing w:before="240" w:after="240" w:line="360" w:lineRule="auto"/>
        <w:ind w:left="567" w:right="567"/>
        <w:contextualSpacing/>
        <w:jc w:val="both"/>
        <w:rPr>
          <w:rFonts w:ascii="Palatino Linotype" w:eastAsiaTheme="minorEastAsia" w:hAnsi="Palatino Linotype"/>
          <w:bCs/>
          <w:i/>
          <w:iCs/>
        </w:rPr>
      </w:pPr>
      <w:r w:rsidRPr="001D197C">
        <w:rPr>
          <w:rFonts w:ascii="Palatino Linotype" w:eastAsiaTheme="minorEastAsia" w:hAnsi="Palatino Linotype"/>
          <w:bCs/>
          <w:i/>
          <w:iCs/>
        </w:rPr>
        <w:lastRenderedPageBreak/>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2A186983" w14:textId="77777777" w:rsidR="001D197C" w:rsidRDefault="001D197C" w:rsidP="001D197C">
      <w:pPr>
        <w:tabs>
          <w:tab w:val="left" w:pos="426"/>
        </w:tabs>
        <w:spacing w:before="240" w:after="240" w:line="360" w:lineRule="auto"/>
        <w:ind w:left="567" w:right="567"/>
        <w:contextualSpacing/>
        <w:jc w:val="both"/>
        <w:rPr>
          <w:rFonts w:ascii="Palatino Linotype" w:eastAsiaTheme="minorEastAsia" w:hAnsi="Palatino Linotype"/>
          <w:i/>
          <w:iCs/>
        </w:rPr>
      </w:pPr>
      <w:r>
        <w:rPr>
          <w:rFonts w:ascii="Palatino Linotype" w:eastAsiaTheme="minorEastAsia" w:hAnsi="Palatino Linotype"/>
          <w:b/>
          <w:bCs/>
          <w:i/>
          <w:iCs/>
        </w:rPr>
        <w:t>III.</w:t>
      </w:r>
      <w:r>
        <w:rPr>
          <w:rFonts w:ascii="Palatino Linotype" w:eastAsiaTheme="minorEastAsia" w:hAnsi="Palatino Linotype"/>
          <w:i/>
          <w:iCs/>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05948B0A" w14:textId="77777777" w:rsidR="001D197C" w:rsidRPr="001D197C" w:rsidRDefault="001D197C" w:rsidP="001D197C">
      <w:pPr>
        <w:tabs>
          <w:tab w:val="left" w:pos="426"/>
        </w:tabs>
        <w:spacing w:before="240" w:after="240" w:line="360" w:lineRule="auto"/>
        <w:ind w:left="567" w:right="567"/>
        <w:contextualSpacing/>
        <w:jc w:val="both"/>
        <w:rPr>
          <w:rFonts w:ascii="Palatino Linotype" w:eastAsiaTheme="minorEastAsia" w:hAnsi="Palatino Linotype"/>
          <w:b/>
          <w:i/>
          <w:iCs/>
        </w:rPr>
      </w:pPr>
      <w:r w:rsidRPr="001D197C">
        <w:rPr>
          <w:rFonts w:ascii="Palatino Linotype" w:eastAsiaTheme="minorEastAsia" w:hAnsi="Palatino Linotype"/>
          <w:b/>
          <w:bCs/>
          <w:i/>
          <w:iCs/>
        </w:rPr>
        <w:t>IV.</w:t>
      </w:r>
      <w:r w:rsidRPr="001D197C">
        <w:rPr>
          <w:rFonts w:ascii="Palatino Linotype" w:eastAsiaTheme="minorEastAsia" w:hAnsi="Palatino Linotype"/>
          <w:b/>
          <w:i/>
          <w:iCs/>
        </w:rPr>
        <w:t xml:space="preserve"> Se trate de información relacionada con actos de corrupción de conformidad con las disposiciones jurídicas aplicables.”</w:t>
      </w:r>
    </w:p>
    <w:p w14:paraId="2EA6C28F" w14:textId="77777777" w:rsidR="001D197C" w:rsidRDefault="001D197C" w:rsidP="001D197C">
      <w:pPr>
        <w:tabs>
          <w:tab w:val="left" w:pos="426"/>
        </w:tabs>
        <w:spacing w:before="240" w:after="240" w:line="360" w:lineRule="auto"/>
        <w:ind w:left="567" w:right="567"/>
        <w:contextualSpacing/>
        <w:jc w:val="both"/>
        <w:rPr>
          <w:rFonts w:ascii="Palatino Linotype" w:eastAsiaTheme="minorEastAsia" w:hAnsi="Palatino Linotype"/>
          <w:color w:val="000000" w:themeColor="text1"/>
        </w:rPr>
      </w:pPr>
      <w:r>
        <w:rPr>
          <w:rFonts w:ascii="Palatino Linotype" w:eastAsiaTheme="minorEastAsia" w:hAnsi="Palatino Linotype"/>
        </w:rPr>
        <w:t>(Énfasis añadido)</w:t>
      </w:r>
    </w:p>
    <w:p w14:paraId="4E82A175" w14:textId="77777777" w:rsidR="001D197C" w:rsidRDefault="001D197C" w:rsidP="001D197C">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0478DBDD" w14:textId="77777777" w:rsidR="0017138C" w:rsidRDefault="0017138C" w:rsidP="0017138C">
      <w:pPr>
        <w:pStyle w:val="NormalWeb"/>
        <w:spacing w:before="0" w:beforeAutospacing="0" w:after="0" w:afterAutospacing="0" w:line="360" w:lineRule="auto"/>
        <w:jc w:val="both"/>
        <w:rPr>
          <w:rFonts w:ascii="Palatino Linotype" w:hAnsi="Palatino Linotype"/>
        </w:rPr>
      </w:pPr>
      <w:r>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Pr>
          <w:rFonts w:ascii="Palatino Linotype" w:hAnsi="Palatino Linotype"/>
          <w:sz w:val="16"/>
          <w:szCs w:val="16"/>
        </w:rPr>
        <w:t>”</w:t>
      </w:r>
      <w:r>
        <w:rPr>
          <w:rFonts w:ascii="Palatino Linotype" w:hAnsi="Palatino Linotype"/>
          <w:sz w:val="16"/>
          <w:szCs w:val="16"/>
        </w:rPr>
        <w:footnoteReference w:id="1"/>
      </w:r>
      <w:r>
        <w:rPr>
          <w:rFonts w:ascii="Palatino Linotype" w:hAnsi="Palatino Linotype"/>
          <w:sz w:val="16"/>
          <w:szCs w:val="16"/>
        </w:rPr>
        <w:t>.</w:t>
      </w:r>
      <w:r>
        <w:rPr>
          <w:rFonts w:ascii="Palatino Linotype" w:hAnsi="Palatino Linotype"/>
        </w:rPr>
        <w:t xml:space="preserve"> Esto es, de acuerdo con la Academia Española, los actos de corrupción implican un provecho de cualquier índole por parte de una persona en una organización que abuse de sus funciones.</w:t>
      </w:r>
    </w:p>
    <w:p w14:paraId="2B975AB1" w14:textId="77777777" w:rsidR="001D197C" w:rsidRDefault="001D197C" w:rsidP="001D197C">
      <w:pPr>
        <w:spacing w:after="0" w:line="360" w:lineRule="auto"/>
        <w:jc w:val="both"/>
        <w:rPr>
          <w:rFonts w:ascii="Palatino Linotype" w:eastAsia="Palatino Linotype" w:hAnsi="Palatino Linotype" w:cs="Palatino Linotype"/>
          <w:sz w:val="24"/>
          <w:szCs w:val="24"/>
        </w:rPr>
      </w:pPr>
    </w:p>
    <w:p w14:paraId="687F14FC" w14:textId="77777777" w:rsidR="001D197C" w:rsidRDefault="001D197C" w:rsidP="001D197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acoso sexual y por razón de sexo es un problema que ha asumido, desafortunadamente, una creciente importancia en los últimos años. Las connotaciones de poder propias de la conducta del agresor y su posición dominante, sumados a la </w:t>
      </w:r>
      <w:r>
        <w:rPr>
          <w:rFonts w:ascii="Palatino Linotype" w:eastAsia="Palatino Linotype" w:hAnsi="Palatino Linotype" w:cs="Palatino Linotype"/>
          <w:color w:val="000000"/>
          <w:sz w:val="24"/>
          <w:szCs w:val="24"/>
        </w:rPr>
        <w:lastRenderedPageBreak/>
        <w:t xml:space="preserve">invisibilidad de este tipo de fenómenos como consecuencia de una desigualdad de género, reducen las posibilidades de enfrentarse frontalmente a la situación por parte de la víctima, en la mayoría de los casos, por temor a reprimendas. En el terreno de las relaciones laborales la cuestión es aún más importante si cabe, toda vez que las circunstancias propias de dirección de la actividad por parte del superior jerárquico constituyen un escenario asimétrico perfecto en el que actuar con impunidad. Así pues, </w:t>
      </w:r>
      <w:r w:rsidRPr="0019740B">
        <w:rPr>
          <w:rFonts w:ascii="Palatino Linotype" w:eastAsia="Palatino Linotype" w:hAnsi="Palatino Linotype" w:cs="Palatino Linotype"/>
          <w:b/>
          <w:color w:val="000000"/>
          <w:sz w:val="24"/>
          <w:szCs w:val="24"/>
        </w:rPr>
        <w:t>las conductas de acoso sexual constituyen actos de corrupción</w:t>
      </w:r>
      <w:r>
        <w:rPr>
          <w:rFonts w:ascii="Palatino Linotype" w:eastAsia="Palatino Linotype" w:hAnsi="Palatino Linotype" w:cs="Palatino Linotype"/>
          <w:color w:val="000000"/>
          <w:sz w:val="24"/>
          <w:szCs w:val="24"/>
        </w:rPr>
        <w:t>, en los que la persona agresora se aprovecha de su posición de poder para obtener un beneficio particular.</w:t>
      </w:r>
      <w:r>
        <w:rPr>
          <w:rStyle w:val="Refdenotaalpie"/>
          <w:rFonts w:ascii="Palatino Linotype" w:eastAsia="Palatino Linotype" w:hAnsi="Palatino Linotype" w:cs="Palatino Linotype"/>
          <w:color w:val="000000"/>
          <w:sz w:val="24"/>
          <w:szCs w:val="24"/>
        </w:rPr>
        <w:footnoteReference w:id="2"/>
      </w:r>
    </w:p>
    <w:p w14:paraId="6E54FBD5" w14:textId="77777777" w:rsidR="001D197C" w:rsidRDefault="001D197C" w:rsidP="001D197C">
      <w:pPr>
        <w:spacing w:after="0" w:line="360" w:lineRule="auto"/>
        <w:jc w:val="both"/>
        <w:rPr>
          <w:rFonts w:ascii="Palatino Linotype" w:eastAsia="Palatino Linotype" w:hAnsi="Palatino Linotype" w:cs="Palatino Linotype"/>
          <w:color w:val="000000"/>
          <w:sz w:val="24"/>
          <w:szCs w:val="24"/>
        </w:rPr>
      </w:pPr>
    </w:p>
    <w:p w14:paraId="4D4E16FC" w14:textId="77777777" w:rsidR="001D197C" w:rsidRDefault="001D197C" w:rsidP="001D197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En ese tenor, debe puntualizarse que el acoso sexual puede considerarse un acto de corrupción</w:t>
      </w:r>
      <w:r>
        <w:rPr>
          <w:rFonts w:ascii="Palatino Linotype" w:eastAsia="Palatino Linotype" w:hAnsi="Palatino Linotype" w:cs="Palatino Linotype"/>
          <w:sz w:val="24"/>
          <w:szCs w:val="24"/>
        </w:rPr>
        <w:t xml:space="preserve"> en ciertos contextos, especialmente cuando ocurre en el entorno laboral o en el ejercicio de funciones públicas. La corrupción implica el abuso de poder para obtener beneficios personales o perjudicar a otros, y el acoso sexual es una manifestación de abuso de poder y discriminación de género.</w:t>
      </w:r>
      <w:r>
        <w:rPr>
          <w:rStyle w:val="Refdenotaalpie"/>
          <w:rFonts w:ascii="Palatino Linotype" w:eastAsia="Palatino Linotype" w:hAnsi="Palatino Linotype" w:cs="Palatino Linotype"/>
          <w:sz w:val="24"/>
          <w:szCs w:val="24"/>
        </w:rPr>
        <w:footnoteReference w:id="3"/>
      </w:r>
    </w:p>
    <w:p w14:paraId="47D49E15" w14:textId="77777777" w:rsidR="00AC662D" w:rsidRPr="009459B0" w:rsidRDefault="00AC662D" w:rsidP="009459B0">
      <w:pPr>
        <w:spacing w:after="0" w:line="360" w:lineRule="auto"/>
        <w:jc w:val="both"/>
        <w:rPr>
          <w:rFonts w:ascii="Palatino Linotype" w:eastAsia="Palatino Linotype" w:hAnsi="Palatino Linotype" w:cs="Palatino Linotype"/>
          <w:sz w:val="24"/>
          <w:szCs w:val="24"/>
        </w:rPr>
      </w:pPr>
    </w:p>
    <w:p w14:paraId="42C171FB" w14:textId="77777777" w:rsidR="00AC662D" w:rsidRPr="009459B0" w:rsidRDefault="0017138C" w:rsidP="009459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w:t>
      </w:r>
      <w:r w:rsidR="00AC662D" w:rsidRPr="009459B0">
        <w:rPr>
          <w:rFonts w:ascii="Palatino Linotype" w:eastAsia="Palatino Linotype" w:hAnsi="Palatino Linotype" w:cs="Palatino Linotype"/>
          <w:sz w:val="24"/>
          <w:szCs w:val="24"/>
        </w:rPr>
        <w:t xml:space="preserve">uando una persona utiliza su posición de autoridad, influencia o jerarquía para acosar sexualmente a otra, está abusando de su poder y violando los principios éticos y de integridad que deberían regir en esos contextos. Además, el acoso sexual puede </w:t>
      </w:r>
      <w:r w:rsidR="00AC662D" w:rsidRPr="009459B0">
        <w:rPr>
          <w:rFonts w:ascii="Palatino Linotype" w:eastAsia="Palatino Linotype" w:hAnsi="Palatino Linotype" w:cs="Palatino Linotype"/>
          <w:sz w:val="24"/>
          <w:szCs w:val="24"/>
        </w:rPr>
        <w:lastRenderedPageBreak/>
        <w:t>tener consecuencias negativas para la víctima, como afectar su bienestar emocional, su salud mental y su desempeño laboral.</w:t>
      </w:r>
    </w:p>
    <w:p w14:paraId="123E88AC" w14:textId="77777777" w:rsidR="00AC662D" w:rsidRPr="009459B0" w:rsidRDefault="00AC662D" w:rsidP="009459B0">
      <w:pPr>
        <w:spacing w:after="0" w:line="360" w:lineRule="auto"/>
        <w:jc w:val="both"/>
        <w:rPr>
          <w:rFonts w:ascii="Palatino Linotype" w:eastAsia="Palatino Linotype" w:hAnsi="Palatino Linotype" w:cs="Palatino Linotype"/>
          <w:sz w:val="24"/>
          <w:szCs w:val="24"/>
        </w:rPr>
      </w:pPr>
    </w:p>
    <w:p w14:paraId="040DE3D6" w14:textId="77777777" w:rsidR="00AC662D" w:rsidRPr="009459B0" w:rsidRDefault="00AC662D" w:rsidP="009459B0">
      <w:pPr>
        <w:spacing w:after="0" w:line="360" w:lineRule="auto"/>
        <w:jc w:val="both"/>
        <w:rPr>
          <w:rFonts w:ascii="Palatino Linotype" w:eastAsia="Palatino Linotype" w:hAnsi="Palatino Linotype" w:cs="Palatino Linotype"/>
          <w:sz w:val="24"/>
          <w:szCs w:val="24"/>
        </w:rPr>
      </w:pPr>
      <w:r w:rsidRPr="009459B0">
        <w:rPr>
          <w:rFonts w:ascii="Palatino Linotype" w:eastAsia="Palatino Linotype" w:hAnsi="Palatino Linotype" w:cs="Palatino Linotype"/>
          <w:sz w:val="24"/>
          <w:szCs w:val="24"/>
        </w:rPr>
        <w:t xml:space="preserve">En muchos países, existen leyes y regulaciones que prohíben el acoso sexual en el ámbito laboral y en otras esferas de la vida social. Estas normas buscan prevenir y sancionar el acoso sexual, y también pueden abordar el acoso como una forma de corrupción. </w:t>
      </w:r>
      <w:r w:rsidR="008A7670">
        <w:rPr>
          <w:rFonts w:ascii="Palatino Linotype" w:eastAsia="Palatino Linotype" w:hAnsi="Palatino Linotype" w:cs="Palatino Linotype"/>
          <w:sz w:val="24"/>
          <w:szCs w:val="24"/>
        </w:rPr>
        <w:t>Por tanto,</w:t>
      </w:r>
      <w:r w:rsidRPr="009459B0">
        <w:rPr>
          <w:rFonts w:ascii="Palatino Linotype" w:eastAsia="Palatino Linotype" w:hAnsi="Palatino Linotype" w:cs="Palatino Linotype"/>
          <w:sz w:val="24"/>
          <w:szCs w:val="24"/>
        </w:rPr>
        <w:t xml:space="preserve"> en el caso de funcionarios públicos que utilizan su posición para obtener favores sexuales o ejercer control indebido sobre otras personas, se considera una forma de corrupción.</w:t>
      </w:r>
    </w:p>
    <w:p w14:paraId="23EA48CF" w14:textId="77777777" w:rsidR="00AC662D" w:rsidRPr="009459B0" w:rsidRDefault="00AC662D" w:rsidP="009459B0">
      <w:pPr>
        <w:spacing w:after="0" w:line="360" w:lineRule="auto"/>
        <w:jc w:val="both"/>
        <w:rPr>
          <w:rFonts w:ascii="Palatino Linotype" w:eastAsia="Palatino Linotype" w:hAnsi="Palatino Linotype" w:cs="Palatino Linotype"/>
          <w:sz w:val="24"/>
          <w:szCs w:val="24"/>
        </w:rPr>
      </w:pPr>
    </w:p>
    <w:p w14:paraId="6DF7EC49" w14:textId="77777777" w:rsidR="000C6EE3" w:rsidRDefault="00AC662D" w:rsidP="000C6EE3">
      <w:pPr>
        <w:spacing w:after="0" w:line="360" w:lineRule="auto"/>
        <w:jc w:val="both"/>
        <w:rPr>
          <w:rFonts w:ascii="Palatino Linotype" w:eastAsia="Palatino Linotype" w:hAnsi="Palatino Linotype" w:cs="Palatino Linotype"/>
          <w:sz w:val="24"/>
          <w:szCs w:val="24"/>
        </w:rPr>
      </w:pPr>
      <w:r w:rsidRPr="009459B0">
        <w:rPr>
          <w:rFonts w:ascii="Palatino Linotype" w:eastAsia="Palatino Linotype" w:hAnsi="Palatino Linotype" w:cs="Palatino Linotype"/>
          <w:sz w:val="24"/>
          <w:szCs w:val="24"/>
        </w:rPr>
        <w:t>Es importante fomentar la conciencia sobre el acoso sexual y la corrupción en todos los niveles de la sociedad, promoviendo políticas y prácticas que prevengan y sancionen estos comportamientos. Esto incluye el fortalecimiento de mecanismos de denuncia, la capacitación en materia de igualdad de género y el fomento de entornos laborales seguros y libres de acoso; luego entonces es que –se insiste– si debió analizarse la actualización a las excepciones a la reserva, y ordenarse la entrega de los procedimientos en trámite, al tratarse de una falta grave relacionado con actos de corrupción.</w:t>
      </w:r>
    </w:p>
    <w:p w14:paraId="5B30AA79" w14:textId="77777777" w:rsidR="008A7670" w:rsidRDefault="008A7670" w:rsidP="000C6EE3">
      <w:pPr>
        <w:spacing w:after="0" w:line="360" w:lineRule="auto"/>
        <w:jc w:val="both"/>
        <w:rPr>
          <w:rFonts w:ascii="Palatino Linotype" w:eastAsia="Palatino Linotype" w:hAnsi="Palatino Linotype" w:cs="Palatino Linotype"/>
          <w:sz w:val="24"/>
          <w:szCs w:val="24"/>
        </w:rPr>
      </w:pPr>
    </w:p>
    <w:p w14:paraId="7508CAD5" w14:textId="77777777" w:rsidR="008A7670" w:rsidRDefault="008A7670" w:rsidP="008A767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w:t>
      </w:r>
      <w:r w:rsidRPr="008A7670">
        <w:rPr>
          <w:rFonts w:ascii="Palatino Linotype" w:eastAsia="Palatino Linotype" w:hAnsi="Palatino Linotype" w:cs="Palatino Linotype"/>
          <w:sz w:val="24"/>
          <w:szCs w:val="24"/>
        </w:rPr>
        <w:t xml:space="preserve">os encontramos ante un escenario en el que la lucha contra el acoso sexual y por razón de sexo en el puesto de trabajo se ha intensificado y su protección jurídica es imprescindible. Y más aún que sea efectiva, de tal manera que debe encaminarse a </w:t>
      </w:r>
      <w:r w:rsidRPr="008A7670">
        <w:rPr>
          <w:rFonts w:ascii="Palatino Linotype" w:eastAsia="Palatino Linotype" w:hAnsi="Palatino Linotype" w:cs="Palatino Linotype"/>
          <w:sz w:val="24"/>
          <w:szCs w:val="24"/>
        </w:rPr>
        <w:lastRenderedPageBreak/>
        <w:t xml:space="preserve">establecer mecanismos preventivos, visibilizar y monitorizar este tipo de comportamientos </w:t>
      </w:r>
      <w:proofErr w:type="gramStart"/>
      <w:r w:rsidRPr="008A7670">
        <w:rPr>
          <w:rFonts w:ascii="Palatino Linotype" w:eastAsia="Palatino Linotype" w:hAnsi="Palatino Linotype" w:cs="Palatino Linotype"/>
          <w:sz w:val="24"/>
          <w:szCs w:val="24"/>
        </w:rPr>
        <w:t>y</w:t>
      </w:r>
      <w:proofErr w:type="gramEnd"/>
      <w:r w:rsidRPr="008A7670">
        <w:rPr>
          <w:rFonts w:ascii="Palatino Linotype" w:eastAsia="Palatino Linotype" w:hAnsi="Palatino Linotype" w:cs="Palatino Linotype"/>
          <w:sz w:val="24"/>
          <w:szCs w:val="24"/>
        </w:rPr>
        <w:t xml:space="preserve"> en cualquier caso, garantizar que la denuncia de la conducta agresora no estigmatice a la víctima ni reduzca sus posibilidades de progreso económico y/o profesional.</w:t>
      </w:r>
    </w:p>
    <w:p w14:paraId="6D5A3647" w14:textId="77777777" w:rsidR="008A7670" w:rsidRPr="008A7670" w:rsidRDefault="008A7670" w:rsidP="008A7670">
      <w:pPr>
        <w:spacing w:after="0" w:line="360" w:lineRule="auto"/>
        <w:jc w:val="both"/>
        <w:rPr>
          <w:rFonts w:ascii="Palatino Linotype" w:eastAsia="Palatino Linotype" w:hAnsi="Palatino Linotype" w:cs="Palatino Linotype"/>
          <w:sz w:val="24"/>
          <w:szCs w:val="24"/>
        </w:rPr>
      </w:pPr>
    </w:p>
    <w:p w14:paraId="38E12706" w14:textId="77777777" w:rsidR="008A7670" w:rsidRDefault="008A7670" w:rsidP="008A7670">
      <w:pPr>
        <w:spacing w:after="0" w:line="360" w:lineRule="auto"/>
        <w:jc w:val="both"/>
        <w:rPr>
          <w:rFonts w:ascii="Palatino Linotype" w:eastAsia="Palatino Linotype" w:hAnsi="Palatino Linotype" w:cs="Palatino Linotype"/>
          <w:sz w:val="24"/>
          <w:szCs w:val="24"/>
        </w:rPr>
      </w:pPr>
      <w:r w:rsidRPr="008A7670">
        <w:rPr>
          <w:rFonts w:ascii="Palatino Linotype" w:eastAsia="Palatino Linotype" w:hAnsi="Palatino Linotype" w:cs="Palatino Linotype"/>
          <w:sz w:val="24"/>
          <w:szCs w:val="24"/>
        </w:rPr>
        <w:t xml:space="preserve">Desde una perspectiva laboral-internacional, la Organización Internacional del Trabajo </w:t>
      </w:r>
      <w:r>
        <w:rPr>
          <w:rFonts w:ascii="Palatino Linotype" w:eastAsia="Palatino Linotype" w:hAnsi="Palatino Linotype" w:cs="Palatino Linotype"/>
          <w:sz w:val="24"/>
          <w:szCs w:val="24"/>
        </w:rPr>
        <w:t xml:space="preserve">ha </w:t>
      </w:r>
      <w:proofErr w:type="gramStart"/>
      <w:r>
        <w:rPr>
          <w:rFonts w:ascii="Palatino Linotype" w:eastAsia="Palatino Linotype" w:hAnsi="Palatino Linotype" w:cs="Palatino Linotype"/>
          <w:sz w:val="24"/>
          <w:szCs w:val="24"/>
        </w:rPr>
        <w:t xml:space="preserve">sentado </w:t>
      </w:r>
      <w:r w:rsidRPr="008A7670">
        <w:rPr>
          <w:rFonts w:ascii="Palatino Linotype" w:eastAsia="Palatino Linotype" w:hAnsi="Palatino Linotype" w:cs="Palatino Linotype"/>
          <w:sz w:val="24"/>
          <w:szCs w:val="24"/>
        </w:rPr>
        <w:t xml:space="preserve"> las</w:t>
      </w:r>
      <w:proofErr w:type="gramEnd"/>
      <w:r w:rsidRPr="008A7670">
        <w:rPr>
          <w:rFonts w:ascii="Palatino Linotype" w:eastAsia="Palatino Linotype" w:hAnsi="Palatino Linotype" w:cs="Palatino Linotype"/>
          <w:sz w:val="24"/>
          <w:szCs w:val="24"/>
        </w:rPr>
        <w:t xml:space="preserve"> bases de la lucha contra la violencia en el trabajo, y concretamente, respecto al acoso sexual y por razón de sexo. En este sentido, el último Convenio adoptado en el seno de la citada institución sobre esta materia, a saber, el Convenio núm. 190 sobre la violencia y el acoso (2019) es aparentemente relevante</w:t>
      </w:r>
      <w:r>
        <w:rPr>
          <w:rFonts w:ascii="Palatino Linotype" w:eastAsia="Palatino Linotype" w:hAnsi="Palatino Linotype" w:cs="Palatino Linotype"/>
          <w:sz w:val="24"/>
          <w:szCs w:val="24"/>
        </w:rPr>
        <w:t>.</w:t>
      </w:r>
    </w:p>
    <w:p w14:paraId="30A2D3F1" w14:textId="77777777" w:rsidR="000C6EE3" w:rsidRPr="000C6EE3" w:rsidRDefault="008A7670" w:rsidP="000C6EE3">
      <w:pPr>
        <w:spacing w:after="0" w:line="360" w:lineRule="auto"/>
        <w:jc w:val="both"/>
        <w:rPr>
          <w:rFonts w:ascii="Palatino Linotype" w:eastAsia="Palatino Linotype" w:hAnsi="Palatino Linotype" w:cs="Palatino Linotype"/>
          <w:sz w:val="24"/>
          <w:szCs w:val="24"/>
        </w:rPr>
      </w:pPr>
      <w:r w:rsidRPr="008A7670">
        <w:rPr>
          <w:rFonts w:ascii="Palatino Linotype" w:eastAsia="Palatino Linotype" w:hAnsi="Palatino Linotype" w:cs="Palatino Linotype"/>
          <w:sz w:val="24"/>
          <w:szCs w:val="24"/>
        </w:rPr>
        <w:t xml:space="preserve"> </w:t>
      </w:r>
    </w:p>
    <w:p w14:paraId="71A99851"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t xml:space="preserve">En este tenor la Organización Internacional del Trabajo (OIT) define el acoso laboral como “Cualquier incidente en el cual la persona es abusada, maltratada en circunstancias relacionadas con su trabajo.” Pudiéndose presentar como maltrato, persecución, discriminación, entorpecimiento e inequidad laboral, limitar canales de comunicación o desprotección laboral y atenta contra la estabilidad laboral, contra el derecho al trabajo digno, contra la integridad y la dignidad. </w:t>
      </w:r>
    </w:p>
    <w:p w14:paraId="12455E7A" w14:textId="77777777" w:rsidR="000C6EE3" w:rsidRPr="000C6EE3" w:rsidRDefault="000C6EE3" w:rsidP="000C6EE3">
      <w:pPr>
        <w:spacing w:after="0" w:line="360" w:lineRule="auto"/>
        <w:jc w:val="both"/>
        <w:rPr>
          <w:rFonts w:ascii="Palatino Linotype" w:eastAsia="Palatino Linotype" w:hAnsi="Palatino Linotype" w:cs="Palatino Linotype"/>
          <w:sz w:val="24"/>
          <w:szCs w:val="24"/>
        </w:rPr>
      </w:pPr>
    </w:p>
    <w:p w14:paraId="0A463C53"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t xml:space="preserve">Respecto a la afectación a la dignidad, las conductas hostiles, humillantes y discriminatorias lesionan la dignidad humana y constituyen formas de </w:t>
      </w:r>
      <w:proofErr w:type="gramStart"/>
      <w:r w:rsidRPr="000C6EE3">
        <w:rPr>
          <w:rFonts w:ascii="Palatino Linotype" w:eastAsia="Palatino Linotype" w:hAnsi="Palatino Linotype" w:cs="Palatino Linotype"/>
          <w:sz w:val="24"/>
          <w:szCs w:val="24"/>
        </w:rPr>
        <w:t>agresión  que</w:t>
      </w:r>
      <w:proofErr w:type="gramEnd"/>
      <w:r w:rsidRPr="000C6EE3">
        <w:rPr>
          <w:rFonts w:ascii="Palatino Linotype" w:eastAsia="Palatino Linotype" w:hAnsi="Palatino Linotype" w:cs="Palatino Linotype"/>
          <w:sz w:val="24"/>
          <w:szCs w:val="24"/>
        </w:rPr>
        <w:t xml:space="preserve"> no solo deteriora el clima de trabajo, sino que son formas disimuladas pero altamente eficaces de despido o destitución sin causas sobre las víctimas.</w:t>
      </w:r>
    </w:p>
    <w:p w14:paraId="4384F300" w14:textId="77777777" w:rsidR="000C6EE3" w:rsidRPr="000C6EE3" w:rsidRDefault="000C6EE3" w:rsidP="000C6EE3">
      <w:pPr>
        <w:spacing w:after="0" w:line="360" w:lineRule="auto"/>
        <w:jc w:val="both"/>
        <w:rPr>
          <w:rFonts w:ascii="Palatino Linotype" w:eastAsia="Palatino Linotype" w:hAnsi="Palatino Linotype" w:cs="Palatino Linotype"/>
          <w:sz w:val="24"/>
          <w:szCs w:val="24"/>
        </w:rPr>
      </w:pPr>
    </w:p>
    <w:p w14:paraId="5E6B1F57"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t xml:space="preserve">Por su parte, la Corte Interamericana de Derechos Humanos se ha pronunciado en materia de estabilidad laboral tal cual se recoge en los instrumentos o corpus iuris interamericano en el Caso Lagos del Campo vs. Perú además de la especial de la libertad de expresión en el ámbito laboral, siendo este fallo sumamente relevante al establecer parámetros legales con respecto a los temas tratados de impacto directo para los sistemas normativos nacionales. </w:t>
      </w:r>
    </w:p>
    <w:p w14:paraId="4E9E2C5D" w14:textId="77777777" w:rsidR="008A7670" w:rsidRPr="000C6EE3" w:rsidRDefault="008A7670" w:rsidP="000C6EE3">
      <w:pPr>
        <w:spacing w:after="0" w:line="360" w:lineRule="auto"/>
        <w:jc w:val="both"/>
        <w:rPr>
          <w:rFonts w:ascii="Palatino Linotype" w:eastAsia="Palatino Linotype" w:hAnsi="Palatino Linotype" w:cs="Palatino Linotype"/>
          <w:sz w:val="24"/>
          <w:szCs w:val="24"/>
        </w:rPr>
      </w:pPr>
    </w:p>
    <w:p w14:paraId="2518CADF"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t xml:space="preserve">En este tema se estarían vulnerando derecho a la estabilidad laboral (artículo 26 de la Convención Americana sobre Derechos Humanos - CADH) el derecho a la libertad de expresión (artículos 13 y 8 de la Convención), y el derecho al acceso a la justicia (artículos 8 y 25 de la Convención). Cabe señalar que los artículos 8 (Garantías Judiciales) y 25 (Protección Judicial) sientan las bases del denominado “debido proceso”, entendido como el derecho intrínseco que tiene todo ser humano a participar de manera efectiva y eficaz, en todas las decisiones que puedan afectar sus derechos; la eficacia y eficiencia mencionada denotan que no basta con el respeto de meras fórmulas rituales para tener por satisfecho este derecho, sino que se trata de una garantía que sólo se cumple cuando puede ejercerse el derecho de defensa de manera certera y efectiva. A este respecto, y atendiendo al caso que nos ocupa de que la vulneración no se dio únicamente en el rubro de acoso laboral, sin que trascendió a ser acoso sexual en donde además de lo mencionado anteriormente hay un ejercicio abusivo del poder, intimidación, amenaza o insinuación sexual, sin consentimiento, </w:t>
      </w:r>
      <w:r w:rsidRPr="000C6EE3">
        <w:rPr>
          <w:rFonts w:ascii="Palatino Linotype" w:eastAsia="Palatino Linotype" w:hAnsi="Palatino Linotype" w:cs="Palatino Linotype"/>
          <w:sz w:val="24"/>
          <w:szCs w:val="24"/>
        </w:rPr>
        <w:lastRenderedPageBreak/>
        <w:t>que conlleva a la víctima a un estado de indefensión, riesgo, degradación o humillación, para hablar sobre debido proceso en la investigación se debe tomar en cuenta lo siguiente: el derecho a la presunción de inocencia (artículo 8.2 de la CADH) establece el derecho de toda persona a que “se presuma su inocencia hasta entonces no se establezca legalmente su culpabilidad” implica el que esta sea tratada en plena igualdad a las garantías mínimas de ser asistido, de tener comunicación previa y detallada sobre la acusación formulada, a contar con tiempo y los medios adecuados para su defensa, a interrogar a los testigos presentes, a no ser obligado a declarar contra sí misma, a recurrir el fallo; situación que no se vulnera al garantizar el derecho a la verdad de la víctima o posibles víctimas, además de que implica la posibilidad cierta de toda persona, para hacer valer una o más pretensiones para la protección de sus derechos.</w:t>
      </w:r>
    </w:p>
    <w:p w14:paraId="432B93BF" w14:textId="77777777" w:rsidR="000C6EE3" w:rsidRPr="000C6EE3" w:rsidRDefault="000C6EE3" w:rsidP="000C6EE3">
      <w:pPr>
        <w:spacing w:after="0" w:line="360" w:lineRule="auto"/>
        <w:jc w:val="both"/>
        <w:rPr>
          <w:rFonts w:ascii="Palatino Linotype" w:eastAsia="Palatino Linotype" w:hAnsi="Palatino Linotype" w:cs="Palatino Linotype"/>
          <w:sz w:val="24"/>
          <w:szCs w:val="24"/>
        </w:rPr>
      </w:pPr>
    </w:p>
    <w:p w14:paraId="79CFCBD8"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t>Aunado a lo anterior, y como parte del debido proceso en la sustanciación de faltas graves a las Leyes y más aún cuando estas faltas pueden ser constitutivas de delito y establecidas como violaciones a los derechos humanos por leyes diversas o conforme a los estándares internacionales en la materia, lo relativo al plazo razonable al estar derechos humanos en juego no dependerá de  la complejidad de la causa, sino con la urgencia y la debida diligencia reforzada que debe estar presente cuando se trata de violencia contra las mujeres y más si es de índole sexual.</w:t>
      </w:r>
    </w:p>
    <w:p w14:paraId="33CC05EB" w14:textId="77777777" w:rsidR="000C6EE3" w:rsidRPr="000C6EE3" w:rsidRDefault="000C6EE3" w:rsidP="000C6EE3">
      <w:pPr>
        <w:spacing w:after="0" w:line="360" w:lineRule="auto"/>
        <w:jc w:val="both"/>
        <w:rPr>
          <w:rFonts w:ascii="Palatino Linotype" w:eastAsia="Palatino Linotype" w:hAnsi="Palatino Linotype" w:cs="Palatino Linotype"/>
          <w:sz w:val="24"/>
          <w:szCs w:val="24"/>
        </w:rPr>
      </w:pPr>
    </w:p>
    <w:p w14:paraId="350BEA4E"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lastRenderedPageBreak/>
        <w:t>Derivado de lo anterior y conforme a lo establecido en el Artículo 1º. Constitucional que en su segundo y tercer párrafo dice:</w:t>
      </w:r>
    </w:p>
    <w:p w14:paraId="25287553" w14:textId="77777777" w:rsidR="000C6EE3" w:rsidRPr="000C6EE3" w:rsidRDefault="000C6EE3" w:rsidP="000C6EE3">
      <w:pPr>
        <w:spacing w:after="0" w:line="360" w:lineRule="auto"/>
        <w:jc w:val="both"/>
        <w:rPr>
          <w:rFonts w:ascii="Palatino Linotype" w:eastAsia="Palatino Linotype" w:hAnsi="Palatino Linotype" w:cs="Palatino Linotype"/>
          <w:sz w:val="24"/>
          <w:szCs w:val="24"/>
        </w:rPr>
      </w:pPr>
    </w:p>
    <w:p w14:paraId="1C29B377" w14:textId="77777777" w:rsidR="000C6EE3" w:rsidRPr="000C6EE3" w:rsidRDefault="000C6EE3" w:rsidP="000C6EE3">
      <w:pPr>
        <w:spacing w:after="0" w:line="360" w:lineRule="auto"/>
        <w:jc w:val="both"/>
        <w:rPr>
          <w:rFonts w:ascii="Palatino Linotype" w:eastAsia="Palatino Linotype" w:hAnsi="Palatino Linotype" w:cs="Palatino Linotype"/>
          <w:i/>
          <w:sz w:val="24"/>
          <w:szCs w:val="24"/>
        </w:rPr>
      </w:pPr>
      <w:r w:rsidRPr="000C6EE3">
        <w:rPr>
          <w:rFonts w:ascii="Palatino Linotype" w:eastAsia="Palatino Linotype" w:hAnsi="Palatino Linotype" w:cs="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14:paraId="06D6AC8F" w14:textId="77777777" w:rsidR="000C6EE3" w:rsidRPr="000C6EE3" w:rsidRDefault="000C6EE3" w:rsidP="000C6EE3">
      <w:pPr>
        <w:spacing w:after="0" w:line="360" w:lineRule="auto"/>
        <w:jc w:val="both"/>
        <w:rPr>
          <w:rFonts w:ascii="Palatino Linotype" w:eastAsia="Palatino Linotype" w:hAnsi="Palatino Linotype" w:cs="Palatino Linotype"/>
          <w:sz w:val="24"/>
          <w:szCs w:val="24"/>
        </w:rPr>
      </w:pPr>
    </w:p>
    <w:p w14:paraId="74A692A2"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55442E5" w14:textId="77777777" w:rsidR="000C6EE3" w:rsidRPr="000C6EE3" w:rsidRDefault="000C6EE3" w:rsidP="000C6EE3">
      <w:pPr>
        <w:spacing w:after="0" w:line="360" w:lineRule="auto"/>
        <w:jc w:val="both"/>
        <w:rPr>
          <w:rFonts w:ascii="Palatino Linotype" w:eastAsia="Palatino Linotype" w:hAnsi="Palatino Linotype" w:cs="Palatino Linotype"/>
          <w:sz w:val="24"/>
          <w:szCs w:val="24"/>
        </w:rPr>
      </w:pPr>
    </w:p>
    <w:p w14:paraId="7C971059" w14:textId="77777777" w:rsidR="000C6EE3" w:rsidRDefault="000C6EE3" w:rsidP="000C6EE3">
      <w:pPr>
        <w:spacing w:after="0" w:line="360" w:lineRule="auto"/>
        <w:jc w:val="both"/>
        <w:rPr>
          <w:rFonts w:ascii="Palatino Linotype" w:eastAsia="Palatino Linotype" w:hAnsi="Palatino Linotype" w:cs="Palatino Linotype"/>
          <w:sz w:val="24"/>
          <w:szCs w:val="24"/>
        </w:rPr>
      </w:pPr>
      <w:r w:rsidRPr="000C6EE3">
        <w:rPr>
          <w:rFonts w:ascii="Palatino Linotype" w:eastAsia="Palatino Linotype" w:hAnsi="Palatino Linotype" w:cs="Palatino Linotype"/>
          <w:sz w:val="24"/>
          <w:szCs w:val="24"/>
        </w:rPr>
        <w:t xml:space="preserve">Y al ser la interpretación conforme o control de convencionalidad vinculante para todas las autoridades según lo establece la Corte Interamericana de Derechos Humanos debiendo ser realizado de oficio por todas las autoridades, se requiere ponderar y determinar que en este caso prevalece el derecho de la víctima al fallar las autoridades en la sustanciación, en la garantía de derechos, excediendo el plazo razonable, por lo cual la información debe ser entregada. </w:t>
      </w:r>
    </w:p>
    <w:p w14:paraId="4A5B1946" w14:textId="77777777" w:rsidR="008A7670" w:rsidRPr="000C6EE3" w:rsidRDefault="008A7670" w:rsidP="000C6EE3">
      <w:pPr>
        <w:spacing w:after="0" w:line="360" w:lineRule="auto"/>
        <w:jc w:val="both"/>
        <w:rPr>
          <w:rFonts w:ascii="Palatino Linotype" w:eastAsia="Palatino Linotype" w:hAnsi="Palatino Linotype" w:cs="Palatino Linotype"/>
          <w:sz w:val="24"/>
          <w:szCs w:val="24"/>
        </w:rPr>
      </w:pPr>
    </w:p>
    <w:p w14:paraId="23E55E7C" w14:textId="77777777" w:rsidR="008A7670" w:rsidRDefault="008A7670" w:rsidP="008A767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w:t>
      </w:r>
      <w:r w:rsidRPr="000C6EE3">
        <w:rPr>
          <w:rFonts w:ascii="Palatino Linotype" w:eastAsia="Palatino Linotype" w:hAnsi="Palatino Linotype" w:cs="Palatino Linotype"/>
          <w:sz w:val="24"/>
          <w:szCs w:val="24"/>
        </w:rPr>
        <w:t xml:space="preserve">la Ley de Acceso de las Mujeres a una Vida Libre de Violencia se establece la violencia laboral en el capítulo II en donde se establece que esta es aquella ejercida </w:t>
      </w:r>
      <w:r w:rsidRPr="000C6EE3">
        <w:rPr>
          <w:rFonts w:ascii="Palatino Linotype" w:eastAsia="Palatino Linotype" w:hAnsi="Palatino Linotype" w:cs="Palatino Linotype"/>
          <w:sz w:val="24"/>
          <w:szCs w:val="24"/>
        </w:rPr>
        <w:lastRenderedPageBreak/>
        <w:t>por las personas que tienen un vínculo laboral, docente o análogo con la víctima, independientemente de la relación jerárquica; lo cual quiere decir que puede ser ejercida de forma vertical, horizontal, ascendente o descendente;  pudiendo consistir en un acto u omisión, abuso de poder, que provoque algún tipo de daño a la autoestima, salud, integridad, libertad y seguridad de la víctima, e impida el libre desarrollo de la personalidad y vulnere sus derechos humanos.</w:t>
      </w:r>
    </w:p>
    <w:p w14:paraId="31667C89" w14:textId="77777777" w:rsidR="007E60DA" w:rsidRDefault="007E60DA" w:rsidP="008A7670">
      <w:pPr>
        <w:spacing w:after="0" w:line="360" w:lineRule="auto"/>
        <w:jc w:val="both"/>
        <w:rPr>
          <w:rFonts w:ascii="Palatino Linotype" w:eastAsia="Palatino Linotype" w:hAnsi="Palatino Linotype" w:cs="Palatino Linotype"/>
          <w:sz w:val="24"/>
          <w:szCs w:val="24"/>
        </w:rPr>
      </w:pPr>
    </w:p>
    <w:p w14:paraId="43C4642B" w14:textId="77777777" w:rsidR="00886305" w:rsidRPr="0017138C" w:rsidRDefault="00886305" w:rsidP="0017138C">
      <w:pPr>
        <w:spacing w:after="0" w:line="360" w:lineRule="auto"/>
        <w:jc w:val="both"/>
        <w:rPr>
          <w:rFonts w:ascii="Palatino Linotype" w:eastAsia="Palatino Linotype" w:hAnsi="Palatino Linotype" w:cs="Palatino Linotype"/>
          <w:sz w:val="24"/>
          <w:szCs w:val="24"/>
        </w:rPr>
      </w:pPr>
      <w:r w:rsidRPr="0017138C">
        <w:rPr>
          <w:rFonts w:ascii="Palatino Linotype" w:eastAsia="Palatino Linotype" w:hAnsi="Palatino Linotype" w:cs="Palatino Linotype"/>
          <w:sz w:val="24"/>
          <w:szCs w:val="24"/>
        </w:rPr>
        <w:t xml:space="preserve">Asimismo, </w:t>
      </w:r>
      <w:r w:rsidR="0017138C" w:rsidRPr="0017138C">
        <w:rPr>
          <w:rFonts w:ascii="Palatino Linotype" w:eastAsia="Palatino Linotype" w:hAnsi="Palatino Linotype" w:cs="Palatino Linotype"/>
          <w:sz w:val="24"/>
          <w:szCs w:val="24"/>
        </w:rPr>
        <w:t xml:space="preserve">ordena clasificar como confidencial el </w:t>
      </w:r>
      <w:r w:rsidR="0017138C" w:rsidRPr="0017138C">
        <w:rPr>
          <w:rFonts w:ascii="Palatino Linotype" w:eastAsia="Palatino Linotype" w:hAnsi="Palatino Linotype" w:cs="Palatino Linotype"/>
          <w:b/>
          <w:sz w:val="24"/>
          <w:szCs w:val="24"/>
        </w:rPr>
        <w:t>pronunciamiento en sentido afirmativo o negativo respecto de la existencia o no existencia de procedimientos de responsabilidad iniciados por faltas graves donde se haya determinado la absolución</w:t>
      </w:r>
      <w:r w:rsidR="0017138C" w:rsidRPr="0017138C">
        <w:rPr>
          <w:rFonts w:ascii="Palatino Linotype" w:eastAsia="Palatino Linotype" w:hAnsi="Palatino Linotype" w:cs="Palatino Linotype"/>
          <w:sz w:val="24"/>
          <w:szCs w:val="24"/>
        </w:rPr>
        <w:t>,</w:t>
      </w:r>
      <w:r w:rsidR="0019740B">
        <w:rPr>
          <w:rFonts w:ascii="Palatino Linotype" w:eastAsia="Palatino Linotype" w:hAnsi="Palatino Linotype" w:cs="Palatino Linotype"/>
          <w:sz w:val="24"/>
          <w:szCs w:val="24"/>
        </w:rPr>
        <w:t xml:space="preserve"> se</w:t>
      </w:r>
      <w:r w:rsidR="0017138C" w:rsidRPr="0017138C">
        <w:rPr>
          <w:rFonts w:ascii="Palatino Linotype" w:eastAsia="Palatino Linotype" w:hAnsi="Palatino Linotype" w:cs="Palatino Linotype"/>
          <w:sz w:val="24"/>
          <w:szCs w:val="24"/>
        </w:rPr>
        <w:t xml:space="preserve"> </w:t>
      </w:r>
      <w:r w:rsidR="0019740B">
        <w:rPr>
          <w:rFonts w:ascii="Palatino Linotype" w:eastAsia="Palatino Linotype" w:hAnsi="Palatino Linotype" w:cs="Palatino Linotype"/>
          <w:sz w:val="24"/>
          <w:szCs w:val="24"/>
        </w:rPr>
        <w:t xml:space="preserve">indica </w:t>
      </w:r>
      <w:r w:rsidR="0017138C" w:rsidRPr="0017138C">
        <w:rPr>
          <w:rFonts w:ascii="Palatino Linotype" w:eastAsia="Palatino Linotype" w:hAnsi="Palatino Linotype" w:cs="Palatino Linotype"/>
          <w:sz w:val="24"/>
          <w:szCs w:val="24"/>
        </w:rPr>
        <w:t xml:space="preserve">que </w:t>
      </w:r>
      <w:r w:rsidRPr="0017138C">
        <w:rPr>
          <w:rFonts w:ascii="Palatino Linotype" w:eastAsia="Palatino Linotype" w:hAnsi="Palatino Linotype" w:cs="Palatino Linotype"/>
          <w:sz w:val="24"/>
          <w:szCs w:val="24"/>
        </w:rPr>
        <w:t xml:space="preserve"> podría generar un juicio a priori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60439BA3" w14:textId="77777777" w:rsidR="00886305" w:rsidRPr="0017138C" w:rsidRDefault="00886305" w:rsidP="00886305">
      <w:pPr>
        <w:spacing w:before="240" w:after="240" w:line="360" w:lineRule="auto"/>
        <w:jc w:val="both"/>
        <w:rPr>
          <w:rFonts w:ascii="Palatino Linotype" w:eastAsia="Palatino Linotype" w:hAnsi="Palatino Linotype" w:cs="Palatino Linotype"/>
          <w:sz w:val="24"/>
          <w:szCs w:val="24"/>
        </w:rPr>
      </w:pPr>
      <w:r w:rsidRPr="0017138C">
        <w:rPr>
          <w:rFonts w:ascii="Palatino Linotype" w:eastAsia="Palatino Linotype" w:hAnsi="Palatino Linotype" w:cs="Palatino Linotype"/>
          <w:sz w:val="24"/>
          <w:szCs w:val="24"/>
        </w:rPr>
        <w:t>Sin embargo</w:t>
      </w:r>
      <w:r w:rsidR="001D197C">
        <w:rPr>
          <w:rFonts w:ascii="Palatino Linotype" w:eastAsia="Palatino Linotype" w:hAnsi="Palatino Linotype" w:cs="Palatino Linotype"/>
          <w:sz w:val="24"/>
          <w:szCs w:val="24"/>
        </w:rPr>
        <w:t>,</w:t>
      </w:r>
      <w:r w:rsidRPr="0017138C">
        <w:rPr>
          <w:rFonts w:ascii="Palatino Linotype" w:eastAsia="Palatino Linotype" w:hAnsi="Palatino Linotype" w:cs="Palatino Linotype"/>
          <w:sz w:val="24"/>
          <w:szCs w:val="24"/>
        </w:rPr>
        <w:t xml:space="preserve"> contrario al criterio </w:t>
      </w:r>
      <w:proofErr w:type="gramStart"/>
      <w:r w:rsidRPr="0017138C">
        <w:rPr>
          <w:rFonts w:ascii="Palatino Linotype" w:eastAsia="Palatino Linotype" w:hAnsi="Palatino Linotype" w:cs="Palatino Linotype"/>
          <w:sz w:val="24"/>
          <w:szCs w:val="24"/>
        </w:rPr>
        <w:t>mayoritario,  no</w:t>
      </w:r>
      <w:proofErr w:type="gramEnd"/>
      <w:r w:rsidRPr="0017138C">
        <w:rPr>
          <w:rFonts w:ascii="Palatino Linotype" w:eastAsia="Palatino Linotype" w:hAnsi="Palatino Linotype" w:cs="Palatino Linotype"/>
          <w:sz w:val="24"/>
          <w:szCs w:val="24"/>
        </w:rPr>
        <w:t xml:space="preserve"> se comparte la clasificación como confidencial del nombre y cargo del servidor público, ya que no se aprecia que la información solicitada afecte la esfera privada del  servidor público, genere una percepción negativa de esta, ocasionando un perjuicio en su honor, intimidad y buena imagen,  o que dañe su vida privada y profesional.</w:t>
      </w:r>
    </w:p>
    <w:p w14:paraId="1CB6AA23" w14:textId="77777777" w:rsidR="00886305" w:rsidRPr="0017138C" w:rsidRDefault="00886305" w:rsidP="00886305">
      <w:pPr>
        <w:autoSpaceDE w:val="0"/>
        <w:autoSpaceDN w:val="0"/>
        <w:adjustRightInd w:val="0"/>
        <w:spacing w:line="360" w:lineRule="auto"/>
        <w:ind w:right="49"/>
        <w:jc w:val="both"/>
        <w:rPr>
          <w:rFonts w:ascii="Palatino Linotype" w:eastAsia="Palatino Linotype" w:hAnsi="Palatino Linotype" w:cs="Palatino Linotype"/>
          <w:sz w:val="24"/>
          <w:szCs w:val="24"/>
        </w:rPr>
      </w:pPr>
      <w:r w:rsidRPr="0017138C">
        <w:rPr>
          <w:rFonts w:ascii="Palatino Linotype" w:eastAsia="Palatino Linotype" w:hAnsi="Palatino Linotype" w:cs="Palatino Linotype"/>
          <w:sz w:val="24"/>
          <w:szCs w:val="24"/>
        </w:rPr>
        <w:lastRenderedPageBreak/>
        <w:t xml:space="preserve">Se sostiene tal criterio, toda vez que las determinaciones en donde la conducta investigada no fue contraria a derecho; en las que se logra apreciar los elementos y las circunstancias que llevaron a concluir que a los servidores públicos, no les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26A9C61A" w14:textId="77777777" w:rsidR="00886305" w:rsidRPr="0017138C" w:rsidRDefault="00886305" w:rsidP="00886305">
      <w:pPr>
        <w:autoSpaceDE w:val="0"/>
        <w:autoSpaceDN w:val="0"/>
        <w:adjustRightInd w:val="0"/>
        <w:spacing w:line="360" w:lineRule="auto"/>
        <w:ind w:right="49"/>
        <w:jc w:val="both"/>
        <w:rPr>
          <w:rFonts w:ascii="Palatino Linotype" w:eastAsia="Palatino Linotype" w:hAnsi="Palatino Linotype" w:cs="Palatino Linotype"/>
          <w:sz w:val="24"/>
          <w:szCs w:val="24"/>
        </w:rPr>
      </w:pPr>
      <w:r w:rsidRPr="0017138C">
        <w:rPr>
          <w:rFonts w:ascii="Palatino Linotype" w:eastAsia="Palatino Linotype" w:hAnsi="Palatino Linotype" w:cs="Palatino Linotype"/>
          <w:sz w:val="24"/>
          <w:szCs w:val="24"/>
        </w:rPr>
        <w:t>Lo anterior tomando en consideración la trascendencia de las conductas investigadas en tales procedimientos, toda vez que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5A218E90" w14:textId="77777777" w:rsidR="00886305" w:rsidRPr="0017138C" w:rsidRDefault="00886305" w:rsidP="00886305">
      <w:pPr>
        <w:autoSpaceDE w:val="0"/>
        <w:autoSpaceDN w:val="0"/>
        <w:adjustRightInd w:val="0"/>
        <w:spacing w:line="360" w:lineRule="auto"/>
        <w:ind w:right="49"/>
        <w:jc w:val="both"/>
        <w:rPr>
          <w:rFonts w:ascii="Palatino Linotype" w:eastAsia="Palatino Linotype" w:hAnsi="Palatino Linotype" w:cs="Palatino Linotype"/>
          <w:sz w:val="24"/>
          <w:szCs w:val="24"/>
        </w:rPr>
      </w:pPr>
    </w:p>
    <w:p w14:paraId="54671037" w14:textId="77777777" w:rsidR="00886305" w:rsidRPr="0017138C" w:rsidRDefault="00886305" w:rsidP="00886305">
      <w:pPr>
        <w:autoSpaceDE w:val="0"/>
        <w:autoSpaceDN w:val="0"/>
        <w:adjustRightInd w:val="0"/>
        <w:spacing w:line="360" w:lineRule="auto"/>
        <w:ind w:right="49"/>
        <w:jc w:val="both"/>
        <w:rPr>
          <w:rFonts w:ascii="Palatino Linotype" w:eastAsia="Palatino Linotype" w:hAnsi="Palatino Linotype" w:cs="Palatino Linotype"/>
          <w:sz w:val="24"/>
          <w:szCs w:val="24"/>
        </w:rPr>
      </w:pPr>
      <w:r w:rsidRPr="0017138C">
        <w:rPr>
          <w:rFonts w:ascii="Palatino Linotype" w:eastAsia="Palatino Linotype" w:hAnsi="Palatino Linotype" w:cs="Palatino Linotype"/>
          <w:sz w:val="24"/>
          <w:szCs w:val="24"/>
        </w:rPr>
        <w:t xml:space="preserve">Es de hacer notar que varias de las anteriores conductas se encuentran previstas en la Convención de las Naciones Unidas Contra la Corrupción, y que de la misma manera se tratan de delitos en materia de corrupción, los cuales se encuentran reglamentados </w:t>
      </w:r>
      <w:r w:rsidRPr="0017138C">
        <w:rPr>
          <w:rFonts w:ascii="Palatino Linotype" w:eastAsia="Palatino Linotype" w:hAnsi="Palatino Linotype" w:cs="Palatino Linotype"/>
          <w:sz w:val="24"/>
          <w:szCs w:val="24"/>
        </w:rPr>
        <w:lastRenderedPageBreak/>
        <w:t>por el Título Décimo del Código Penal Federal, y que van del artículo 212 al artículo 224.</w:t>
      </w:r>
    </w:p>
    <w:p w14:paraId="10E5E906" w14:textId="77777777" w:rsidR="00886305" w:rsidRDefault="00886305" w:rsidP="00886305">
      <w:pPr>
        <w:pStyle w:val="NormalWeb"/>
        <w:spacing w:before="0" w:beforeAutospacing="0" w:after="0" w:afterAutospacing="0" w:line="360" w:lineRule="auto"/>
        <w:jc w:val="both"/>
        <w:rPr>
          <w:rFonts w:ascii="Palatino Linotype" w:eastAsia="Palatino Linotype" w:hAnsi="Palatino Linotype" w:cs="Palatino Linotype"/>
          <w:lang w:val="es-MX" w:eastAsia="en-US"/>
        </w:rPr>
      </w:pPr>
      <w:r w:rsidRPr="0017138C">
        <w:rPr>
          <w:rFonts w:ascii="Palatino Linotype" w:eastAsia="Palatino Linotype" w:hAnsi="Palatino Linotype" w:cs="Palatino Linotype"/>
          <w:lang w:val="es-MX" w:eastAsia="en-US"/>
        </w:rPr>
        <w:t xml:space="preserve">Además, proporcionar dicha información, no genera una afectación a su honor, intimidad o buena imagen, pues contrario a esto, a través de la resolución, es posible conocer que la actuación del servidor público, fue apegada a la normatividad aplicable, esto es, que ha ejercido su cargo, de manera honesta, responsable y conforme a lo establecido en las diversas disposiciones. </w:t>
      </w:r>
    </w:p>
    <w:p w14:paraId="5F2932E4" w14:textId="77777777" w:rsidR="001D197C" w:rsidRDefault="001D197C" w:rsidP="00886305">
      <w:pPr>
        <w:pStyle w:val="NormalWeb"/>
        <w:spacing w:before="0" w:beforeAutospacing="0" w:after="0" w:afterAutospacing="0" w:line="360" w:lineRule="auto"/>
        <w:jc w:val="both"/>
        <w:rPr>
          <w:rFonts w:ascii="Palatino Linotype" w:eastAsia="Palatino Linotype" w:hAnsi="Palatino Linotype" w:cs="Palatino Linotype"/>
          <w:lang w:val="es-MX" w:eastAsia="en-US"/>
        </w:rPr>
      </w:pPr>
    </w:p>
    <w:p w14:paraId="4A923902" w14:textId="77777777" w:rsidR="007E60DA" w:rsidRDefault="007E60DA" w:rsidP="007E60DA">
      <w:pPr>
        <w:spacing w:after="0" w:line="360" w:lineRule="auto"/>
        <w:ind w:right="1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Respecto de lo anterior, es que no se comparte en su totalidad el estudio de referencia, en virtud que se considera debió analizarse la actualización a las excepciones a la reserva, y ordenarse la </w:t>
      </w:r>
      <w:r>
        <w:rPr>
          <w:rFonts w:ascii="Palatino Linotype" w:eastAsia="Palatino Linotype" w:hAnsi="Palatino Linotype" w:cs="Palatino Linotype"/>
          <w:b/>
          <w:color w:val="000000"/>
          <w:sz w:val="24"/>
          <w:szCs w:val="24"/>
        </w:rPr>
        <w:t>entrega de los procedimientos en trámite, al tratarse de una falta grave aunado a que también las  conductas de acoso constituyen actos de corrupción,</w:t>
      </w:r>
      <w:r>
        <w:rPr>
          <w:rFonts w:ascii="Palatino Linotype" w:eastAsia="Palatino Linotype" w:hAnsi="Palatino Linotype" w:cs="Palatino Linotype"/>
          <w:color w:val="000000"/>
          <w:sz w:val="24"/>
          <w:szCs w:val="24"/>
        </w:rPr>
        <w:t xml:space="preserve"> toda vez que  la misma implica: el mal uso o el abuso del poder público para beneficio personal y privado; y también  por la clasificación del nombre cargo, presunta falta cometida, y área de adscripción del Servidor Público absuelto, al considerar que no causa un perjuicio a su vida privada, sino que transparenta la gestión pública y la rendición de cuentas.</w:t>
      </w:r>
    </w:p>
    <w:p w14:paraId="66A1D5F2" w14:textId="77777777" w:rsidR="007E60DA" w:rsidRPr="0017138C" w:rsidRDefault="007E60DA" w:rsidP="00886305">
      <w:pPr>
        <w:pStyle w:val="NormalWeb"/>
        <w:spacing w:before="0" w:beforeAutospacing="0" w:after="0" w:afterAutospacing="0" w:line="360" w:lineRule="auto"/>
        <w:jc w:val="both"/>
        <w:rPr>
          <w:rFonts w:ascii="Palatino Linotype" w:eastAsia="Palatino Linotype" w:hAnsi="Palatino Linotype" w:cs="Palatino Linotype"/>
          <w:lang w:val="es-MX" w:eastAsia="en-US"/>
        </w:rPr>
      </w:pPr>
    </w:p>
    <w:p w14:paraId="6999850B" w14:textId="77777777" w:rsidR="00B775D8" w:rsidRPr="0017138C" w:rsidRDefault="00B775D8" w:rsidP="009459B0">
      <w:pPr>
        <w:pStyle w:val="Textoindependiente"/>
        <w:spacing w:line="360" w:lineRule="auto"/>
        <w:rPr>
          <w:lang w:val="es-MX"/>
        </w:rPr>
      </w:pPr>
      <w:r w:rsidRPr="0017138C">
        <w:rPr>
          <w:lang w:val="es-MX"/>
        </w:rPr>
        <w:t>Lo anterior expone razones suficientes para la emisión y presentación del presente</w:t>
      </w:r>
      <w:r w:rsidR="0041486C" w:rsidRPr="0017138C">
        <w:rPr>
          <w:lang w:val="es-MX"/>
        </w:rPr>
        <w:t xml:space="preserve"> </w:t>
      </w:r>
      <w:r w:rsidRPr="0017138C">
        <w:rPr>
          <w:lang w:val="es-MX"/>
        </w:rPr>
        <w:t>Voto Particular.---------------------------------------------------------------------------------------------------------------------------------------------------------------------------------------------------------------------------------------------------------------------------------------------------------------------------</w:t>
      </w:r>
      <w:r w:rsidR="00727414" w:rsidRPr="0017138C">
        <w:rPr>
          <w:lang w:val="es-MX"/>
        </w:rPr>
        <w:t>------</w:t>
      </w:r>
      <w:r w:rsidRPr="0017138C">
        <w:rPr>
          <w:lang w:val="es-MX"/>
        </w:rPr>
        <w:lastRenderedPageBreak/>
        <w:tab/>
      </w:r>
    </w:p>
    <w:p w14:paraId="4191F8EC" w14:textId="77777777" w:rsidR="00B775D8" w:rsidRPr="0017138C" w:rsidRDefault="00B775D8" w:rsidP="009459B0">
      <w:pPr>
        <w:spacing w:after="0" w:line="360" w:lineRule="auto"/>
        <w:jc w:val="both"/>
        <w:rPr>
          <w:rFonts w:ascii="Palatino Linotype" w:eastAsia="Palatino Linotype" w:hAnsi="Palatino Linotype" w:cs="Palatino Linotype"/>
          <w:sz w:val="24"/>
          <w:szCs w:val="24"/>
        </w:rPr>
      </w:pPr>
    </w:p>
    <w:p w14:paraId="18074E3A" w14:textId="77777777" w:rsidR="00B775D8" w:rsidRPr="0017138C" w:rsidRDefault="00B775D8" w:rsidP="009459B0">
      <w:pPr>
        <w:spacing w:after="0" w:line="360" w:lineRule="auto"/>
        <w:jc w:val="both"/>
        <w:rPr>
          <w:rFonts w:ascii="Palatino Linotype" w:eastAsia="Palatino Linotype" w:hAnsi="Palatino Linotype" w:cs="Palatino Linotype"/>
          <w:sz w:val="24"/>
          <w:szCs w:val="24"/>
        </w:rPr>
      </w:pPr>
    </w:p>
    <w:p w14:paraId="6B50CE66" w14:textId="77777777" w:rsidR="001D197C" w:rsidRPr="002A43BC" w:rsidRDefault="001D197C" w:rsidP="001D197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MARÍA DEL ROSARIO MEJÍA AYALA</w:t>
      </w:r>
    </w:p>
    <w:p w14:paraId="160B1C43" w14:textId="77777777" w:rsidR="00F12682" w:rsidRPr="009459B0" w:rsidRDefault="001D197C" w:rsidP="001D197C">
      <w:pPr>
        <w:pBdr>
          <w:top w:val="nil"/>
          <w:left w:val="nil"/>
          <w:bottom w:val="nil"/>
          <w:right w:val="nil"/>
          <w:between w:val="nil"/>
          <w:bar w:val="nil"/>
        </w:pBdr>
        <w:spacing w:after="0" w:line="360" w:lineRule="auto"/>
        <w:jc w:val="center"/>
        <w:rPr>
          <w:rFonts w:ascii="Palatino Linotype" w:hAnsi="Palatino Linotype"/>
          <w:sz w:val="24"/>
          <w:szCs w:val="24"/>
        </w:rPr>
      </w:pPr>
      <w:r>
        <w:rPr>
          <w:rFonts w:ascii="Palatino Linotype" w:eastAsia="Arial" w:hAnsi="Palatino Linotype" w:cs="Arial"/>
          <w:b/>
          <w:color w:val="000000" w:themeColor="text1"/>
          <w:sz w:val="24"/>
          <w:szCs w:val="24"/>
          <w:bdr w:val="nil"/>
          <w:lang w:eastAsia="es-MX"/>
        </w:rPr>
        <w:t>COMISIONADA</w:t>
      </w:r>
    </w:p>
    <w:p w14:paraId="4347FDE6" w14:textId="77777777" w:rsidR="00F12682" w:rsidRPr="009459B0" w:rsidRDefault="00F12682" w:rsidP="009459B0">
      <w:pPr>
        <w:spacing w:after="0" w:line="360" w:lineRule="auto"/>
        <w:rPr>
          <w:rFonts w:ascii="Palatino Linotype" w:hAnsi="Palatino Linotype"/>
          <w:sz w:val="24"/>
          <w:szCs w:val="24"/>
        </w:rPr>
      </w:pPr>
    </w:p>
    <w:p w14:paraId="3BE425F0" w14:textId="77777777" w:rsidR="00F12682" w:rsidRPr="009459B0" w:rsidRDefault="00F12682" w:rsidP="009459B0">
      <w:pPr>
        <w:spacing w:after="0" w:line="360" w:lineRule="auto"/>
        <w:rPr>
          <w:rFonts w:ascii="Palatino Linotype" w:hAnsi="Palatino Linotype"/>
          <w:sz w:val="24"/>
          <w:szCs w:val="24"/>
        </w:rPr>
      </w:pPr>
    </w:p>
    <w:p w14:paraId="3A9049AB" w14:textId="77777777" w:rsidR="00F12682" w:rsidRPr="009459B0" w:rsidRDefault="00F12682" w:rsidP="009459B0">
      <w:pPr>
        <w:spacing w:after="0" w:line="360" w:lineRule="auto"/>
        <w:rPr>
          <w:rFonts w:ascii="Palatino Linotype" w:hAnsi="Palatino Linotype"/>
          <w:sz w:val="24"/>
          <w:szCs w:val="24"/>
        </w:rPr>
      </w:pPr>
    </w:p>
    <w:p w14:paraId="4C670B06" w14:textId="77777777" w:rsidR="00F12682" w:rsidRPr="009459B0" w:rsidRDefault="00F12682" w:rsidP="009459B0">
      <w:pPr>
        <w:spacing w:after="0" w:line="360" w:lineRule="auto"/>
        <w:rPr>
          <w:rFonts w:ascii="Palatino Linotype" w:hAnsi="Palatino Linotype"/>
          <w:sz w:val="24"/>
          <w:szCs w:val="24"/>
        </w:rPr>
      </w:pPr>
    </w:p>
    <w:p w14:paraId="281EC038" w14:textId="77777777" w:rsidR="00F12682" w:rsidRPr="009459B0" w:rsidRDefault="00F12682" w:rsidP="009459B0">
      <w:pPr>
        <w:spacing w:after="0" w:line="360" w:lineRule="auto"/>
        <w:rPr>
          <w:rFonts w:ascii="Palatino Linotype" w:hAnsi="Palatino Linotype"/>
          <w:sz w:val="24"/>
          <w:szCs w:val="24"/>
        </w:rPr>
      </w:pPr>
    </w:p>
    <w:p w14:paraId="3EC0F26B" w14:textId="77777777" w:rsidR="00F12682" w:rsidRPr="009459B0" w:rsidRDefault="00F12682" w:rsidP="009459B0">
      <w:pPr>
        <w:spacing w:after="0" w:line="360" w:lineRule="auto"/>
        <w:rPr>
          <w:rFonts w:ascii="Palatino Linotype" w:hAnsi="Palatino Linotype"/>
          <w:sz w:val="24"/>
          <w:szCs w:val="24"/>
        </w:rPr>
      </w:pPr>
    </w:p>
    <w:p w14:paraId="0B20D70E" w14:textId="77777777" w:rsidR="00F12682" w:rsidRPr="009459B0" w:rsidRDefault="00F12682" w:rsidP="009459B0">
      <w:pPr>
        <w:spacing w:after="0" w:line="360" w:lineRule="auto"/>
        <w:rPr>
          <w:rFonts w:ascii="Palatino Linotype" w:hAnsi="Palatino Linotype"/>
          <w:sz w:val="24"/>
          <w:szCs w:val="24"/>
        </w:rPr>
      </w:pPr>
    </w:p>
    <w:p w14:paraId="05E6E1F2" w14:textId="77777777" w:rsidR="00F12682" w:rsidRPr="009459B0" w:rsidRDefault="00F12682" w:rsidP="009459B0">
      <w:pPr>
        <w:spacing w:after="0" w:line="360" w:lineRule="auto"/>
        <w:rPr>
          <w:rFonts w:ascii="Palatino Linotype" w:hAnsi="Palatino Linotype"/>
          <w:sz w:val="24"/>
          <w:szCs w:val="24"/>
        </w:rPr>
      </w:pPr>
    </w:p>
    <w:p w14:paraId="0576BAB0" w14:textId="77777777" w:rsidR="00F12682" w:rsidRPr="009459B0" w:rsidRDefault="00F12682" w:rsidP="009459B0">
      <w:pPr>
        <w:spacing w:after="0" w:line="360" w:lineRule="auto"/>
        <w:rPr>
          <w:rFonts w:ascii="Palatino Linotype" w:hAnsi="Palatino Linotype"/>
          <w:sz w:val="24"/>
          <w:szCs w:val="24"/>
        </w:rPr>
      </w:pPr>
    </w:p>
    <w:p w14:paraId="36E4A723" w14:textId="77777777" w:rsidR="00F12682" w:rsidRPr="009459B0" w:rsidRDefault="00F12682" w:rsidP="009459B0">
      <w:pPr>
        <w:spacing w:after="0" w:line="360" w:lineRule="auto"/>
        <w:rPr>
          <w:rFonts w:ascii="Palatino Linotype" w:hAnsi="Palatino Linotype"/>
          <w:sz w:val="24"/>
          <w:szCs w:val="24"/>
        </w:rPr>
      </w:pPr>
    </w:p>
    <w:p w14:paraId="7CECC234" w14:textId="77777777" w:rsidR="00F12682" w:rsidRPr="009459B0" w:rsidRDefault="00F12682" w:rsidP="009459B0">
      <w:pPr>
        <w:spacing w:after="0" w:line="360" w:lineRule="auto"/>
        <w:rPr>
          <w:rFonts w:ascii="Palatino Linotype" w:hAnsi="Palatino Linotype"/>
          <w:sz w:val="24"/>
          <w:szCs w:val="24"/>
        </w:rPr>
      </w:pPr>
    </w:p>
    <w:p w14:paraId="21E33296" w14:textId="77777777" w:rsidR="00F12682" w:rsidRPr="009459B0" w:rsidRDefault="00F12682" w:rsidP="009459B0">
      <w:pPr>
        <w:spacing w:after="0" w:line="360" w:lineRule="auto"/>
        <w:rPr>
          <w:rFonts w:ascii="Palatino Linotype" w:hAnsi="Palatino Linotype"/>
          <w:sz w:val="24"/>
          <w:szCs w:val="24"/>
        </w:rPr>
      </w:pPr>
    </w:p>
    <w:p w14:paraId="24187B56" w14:textId="77777777" w:rsidR="00F12682" w:rsidRPr="009459B0" w:rsidRDefault="00F12682" w:rsidP="009459B0">
      <w:pPr>
        <w:spacing w:after="0" w:line="360" w:lineRule="auto"/>
        <w:rPr>
          <w:rFonts w:ascii="Palatino Linotype" w:hAnsi="Palatino Linotype"/>
          <w:sz w:val="24"/>
          <w:szCs w:val="24"/>
        </w:rPr>
      </w:pPr>
    </w:p>
    <w:p w14:paraId="5A4059B9" w14:textId="77777777" w:rsidR="00F12682" w:rsidRPr="009459B0" w:rsidRDefault="00F12682" w:rsidP="009459B0">
      <w:pPr>
        <w:spacing w:after="0" w:line="360" w:lineRule="auto"/>
        <w:rPr>
          <w:rFonts w:ascii="Palatino Linotype" w:hAnsi="Palatino Linotype"/>
          <w:sz w:val="24"/>
          <w:szCs w:val="24"/>
        </w:rPr>
      </w:pPr>
    </w:p>
    <w:p w14:paraId="71BEF2FC" w14:textId="77777777" w:rsidR="00F12682" w:rsidRPr="009459B0" w:rsidRDefault="00F12682" w:rsidP="009459B0">
      <w:pPr>
        <w:spacing w:after="0" w:line="360" w:lineRule="auto"/>
        <w:rPr>
          <w:rFonts w:ascii="Palatino Linotype" w:hAnsi="Palatino Linotype"/>
          <w:sz w:val="24"/>
          <w:szCs w:val="24"/>
        </w:rPr>
      </w:pPr>
    </w:p>
    <w:p w14:paraId="457C9326" w14:textId="77777777" w:rsidR="00F12682" w:rsidRPr="009459B0" w:rsidRDefault="00F12682" w:rsidP="009459B0">
      <w:pPr>
        <w:spacing w:after="0" w:line="360" w:lineRule="auto"/>
        <w:rPr>
          <w:rFonts w:ascii="Palatino Linotype" w:hAnsi="Palatino Linotype"/>
          <w:sz w:val="24"/>
          <w:szCs w:val="24"/>
        </w:rPr>
      </w:pPr>
    </w:p>
    <w:p w14:paraId="5725FE55" w14:textId="77777777" w:rsidR="00F12682" w:rsidRPr="009459B0" w:rsidRDefault="00F12682" w:rsidP="009459B0">
      <w:pPr>
        <w:spacing w:after="0" w:line="360" w:lineRule="auto"/>
        <w:rPr>
          <w:rFonts w:ascii="Palatino Linotype" w:hAnsi="Palatino Linotype"/>
          <w:sz w:val="24"/>
          <w:szCs w:val="24"/>
        </w:rPr>
      </w:pPr>
    </w:p>
    <w:p w14:paraId="679AE170" w14:textId="77777777" w:rsidR="00F12682" w:rsidRPr="009459B0" w:rsidRDefault="00F12682" w:rsidP="009459B0">
      <w:pPr>
        <w:spacing w:after="0" w:line="360" w:lineRule="auto"/>
        <w:rPr>
          <w:rFonts w:ascii="Palatino Linotype" w:hAnsi="Palatino Linotype"/>
          <w:sz w:val="24"/>
          <w:szCs w:val="24"/>
        </w:rPr>
      </w:pPr>
    </w:p>
    <w:p w14:paraId="3BC7685E" w14:textId="77777777" w:rsidR="00F12682" w:rsidRPr="009459B0" w:rsidRDefault="00F12682" w:rsidP="009459B0">
      <w:pPr>
        <w:spacing w:after="0" w:line="360" w:lineRule="auto"/>
        <w:rPr>
          <w:rFonts w:ascii="Palatino Linotype" w:hAnsi="Palatino Linotype"/>
          <w:sz w:val="24"/>
          <w:szCs w:val="24"/>
        </w:rPr>
      </w:pPr>
    </w:p>
    <w:p w14:paraId="6BFBC074" w14:textId="77777777" w:rsidR="00F12682" w:rsidRPr="009459B0" w:rsidRDefault="00F12682" w:rsidP="009459B0">
      <w:pPr>
        <w:spacing w:after="0" w:line="360" w:lineRule="auto"/>
        <w:rPr>
          <w:rFonts w:ascii="Palatino Linotype" w:hAnsi="Palatino Linotype"/>
          <w:sz w:val="24"/>
          <w:szCs w:val="24"/>
        </w:rPr>
      </w:pPr>
    </w:p>
    <w:sectPr w:rsidR="00F12682" w:rsidRPr="009459B0"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330B" w14:textId="77777777" w:rsidR="005061E8" w:rsidRDefault="005061E8" w:rsidP="00907451">
      <w:pPr>
        <w:spacing w:after="0" w:line="240" w:lineRule="auto"/>
      </w:pPr>
      <w:r>
        <w:separator/>
      </w:r>
    </w:p>
  </w:endnote>
  <w:endnote w:type="continuationSeparator" w:id="0">
    <w:p w14:paraId="6A76E3AA" w14:textId="77777777" w:rsidR="005061E8" w:rsidRDefault="005061E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0217" w14:textId="77777777" w:rsidR="0041486C" w:rsidRPr="00986599" w:rsidRDefault="0041486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010D9">
      <w:rPr>
        <w:rFonts w:ascii="Arial" w:hAnsi="Arial" w:cs="Arial"/>
        <w:b/>
        <w:bCs/>
        <w:noProof/>
        <w:sz w:val="20"/>
        <w:szCs w:val="20"/>
      </w:rPr>
      <w:t>16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010D9">
      <w:rPr>
        <w:rFonts w:ascii="Arial" w:hAnsi="Arial" w:cs="Arial"/>
        <w:b/>
        <w:bCs/>
        <w:noProof/>
        <w:sz w:val="20"/>
        <w:szCs w:val="20"/>
      </w:rPr>
      <w:t>16</w:t>
    </w:r>
    <w:r w:rsidRPr="00986599">
      <w:rPr>
        <w:rFonts w:ascii="Arial" w:hAnsi="Arial" w:cs="Arial"/>
        <w:b/>
        <w:bCs/>
        <w:sz w:val="20"/>
        <w:szCs w:val="20"/>
      </w:rPr>
      <w:fldChar w:fldCharType="end"/>
    </w:r>
  </w:p>
  <w:p w14:paraId="4F74DBDC" w14:textId="77777777" w:rsidR="0041486C" w:rsidRDefault="0041486C" w:rsidP="007F0307">
    <w:pPr>
      <w:pStyle w:val="Piedepgina"/>
      <w:jc w:val="right"/>
    </w:pPr>
  </w:p>
  <w:p w14:paraId="512366E7" w14:textId="77777777" w:rsidR="0041486C" w:rsidRDefault="0041486C"/>
  <w:p w14:paraId="562F9FE8" w14:textId="77777777" w:rsidR="0041486C" w:rsidRDefault="004148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1D82" w14:textId="77777777" w:rsidR="005061E8" w:rsidRDefault="005061E8" w:rsidP="00907451">
      <w:pPr>
        <w:spacing w:after="0" w:line="240" w:lineRule="auto"/>
      </w:pPr>
      <w:r>
        <w:separator/>
      </w:r>
    </w:p>
  </w:footnote>
  <w:footnote w:type="continuationSeparator" w:id="0">
    <w:p w14:paraId="070C4840" w14:textId="77777777" w:rsidR="005061E8" w:rsidRDefault="005061E8" w:rsidP="00907451">
      <w:pPr>
        <w:spacing w:after="0" w:line="240" w:lineRule="auto"/>
      </w:pPr>
      <w:r>
        <w:continuationSeparator/>
      </w:r>
    </w:p>
  </w:footnote>
  <w:footnote w:id="1">
    <w:p w14:paraId="1777B76B" w14:textId="77777777" w:rsidR="0017138C" w:rsidRPr="0017138C" w:rsidRDefault="0017138C" w:rsidP="0017138C">
      <w:pPr>
        <w:shd w:val="clear" w:color="auto" w:fill="FFFFFF"/>
        <w:spacing w:after="0" w:line="240" w:lineRule="auto"/>
        <w:jc w:val="both"/>
        <w:rPr>
          <w:rFonts w:ascii="Palatino Linotype" w:eastAsia="Palatino Linotype" w:hAnsi="Palatino Linotype" w:cstheme="majorHAnsi"/>
          <w:color w:val="000000"/>
          <w:sz w:val="18"/>
          <w:szCs w:val="18"/>
        </w:rPr>
      </w:pPr>
      <w:r w:rsidRPr="0017138C">
        <w:rPr>
          <w:rFonts w:ascii="Palatino Linotype" w:eastAsia="Palatino Linotype" w:hAnsi="Palatino Linotype" w:cstheme="majorHAnsi"/>
          <w:color w:val="000000"/>
          <w:sz w:val="18"/>
          <w:szCs w:val="18"/>
        </w:rPr>
        <w:footnoteRef/>
      </w:r>
      <w:r w:rsidRPr="0017138C">
        <w:rPr>
          <w:rFonts w:ascii="Palatino Linotype" w:eastAsia="Palatino Linotype" w:hAnsi="Palatino Linotype" w:cstheme="majorHAnsi"/>
          <w:color w:val="000000"/>
          <w:sz w:val="18"/>
          <w:szCs w:val="18"/>
        </w:rPr>
        <w:t xml:space="preserve"> 1 Real Academia Española, Corrupción, http://dle.rae.es/srv/fetch?id=B0dY4l3 .</w:t>
      </w:r>
    </w:p>
  </w:footnote>
  <w:footnote w:id="2">
    <w:p w14:paraId="66C44907" w14:textId="77777777" w:rsidR="001D197C" w:rsidRDefault="001D197C" w:rsidP="001D197C">
      <w:pPr>
        <w:shd w:val="clear" w:color="auto" w:fill="FFFFFF"/>
        <w:spacing w:after="0" w:line="240" w:lineRule="auto"/>
        <w:jc w:val="both"/>
        <w:rPr>
          <w:rFonts w:ascii="Palatino Linotype" w:eastAsia="Palatino Linotype" w:hAnsi="Palatino Linotype" w:cstheme="majorHAnsi"/>
          <w:color w:val="000000"/>
          <w:sz w:val="18"/>
          <w:szCs w:val="18"/>
        </w:rPr>
      </w:pPr>
      <w:r>
        <w:rPr>
          <w:rFonts w:ascii="Palatino Linotype" w:eastAsia="Palatino Linotype" w:hAnsi="Palatino Linotype"/>
          <w:color w:val="000000"/>
        </w:rPr>
        <w:footnoteRef/>
      </w:r>
      <w:r>
        <w:rPr>
          <w:rFonts w:ascii="Palatino Linotype" w:eastAsia="Palatino Linotype" w:hAnsi="Palatino Linotype" w:cstheme="majorHAnsi"/>
          <w:color w:val="000000"/>
          <w:sz w:val="18"/>
          <w:szCs w:val="18"/>
        </w:rPr>
        <w:t xml:space="preserve"> La eficacia de las políticas frente al acoso sexual y sexista en la universidad marco teórico", ALVAREZ DEL CLVILLO, Antonio (coord Análisis de la realidad del acoso sexual y sexista en la universidad y propuestos de mejora un estudio de caso.), Valencia, Tirant lo Blanch, 2020, pp. 22-23</w:t>
      </w:r>
    </w:p>
  </w:footnote>
  <w:footnote w:id="3">
    <w:p w14:paraId="1332847C" w14:textId="77777777" w:rsidR="001D197C" w:rsidRDefault="001D197C" w:rsidP="001D197C">
      <w:pPr>
        <w:shd w:val="clear" w:color="auto" w:fill="FFFFFF"/>
        <w:spacing w:after="0" w:line="240" w:lineRule="auto"/>
        <w:jc w:val="both"/>
        <w:rPr>
          <w:rFonts w:ascii="Palatino Linotype" w:eastAsia="Palatino Linotype" w:hAnsi="Palatino Linotype" w:cstheme="majorHAnsi"/>
          <w:color w:val="000000"/>
          <w:sz w:val="18"/>
          <w:szCs w:val="18"/>
        </w:rPr>
      </w:pPr>
      <w:r>
        <w:rPr>
          <w:rFonts w:ascii="Palatino Linotype" w:eastAsia="Palatino Linotype" w:hAnsi="Palatino Linotype" w:cstheme="majorHAnsi"/>
          <w:color w:val="000000"/>
          <w:sz w:val="18"/>
          <w:szCs w:val="18"/>
        </w:rPr>
        <w:footnoteRef/>
      </w:r>
      <w:r>
        <w:rPr>
          <w:rFonts w:ascii="Palatino Linotype" w:eastAsia="Palatino Linotype" w:hAnsi="Palatino Linotype" w:cstheme="majorHAnsi"/>
          <w:color w:val="000000"/>
          <w:sz w:val="18"/>
          <w:szCs w:val="18"/>
        </w:rPr>
        <w:t xml:space="preserve"> “Derecho, historia y corrupción con perspectiva de género”, Espuny Tomàs, María Jesús,  Vallès Muñío Daniel y Velo i Fabregat Elisabet (coordinadores), El acoso sexual como acto corrupto en clave de género: Una visión internacional de su protección en el empleo / David Gutiérrez Colominas (pp. 219-234). Editorial: Dykinson,  Madrid, España, fecha de la edición: 2021, Edición: 1ª 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684E" w14:textId="77777777" w:rsidR="0041486C" w:rsidRDefault="0041486C">
    <w:pPr>
      <w:pStyle w:val="Encabezado"/>
    </w:pPr>
    <w:r>
      <w:rPr>
        <w:noProof/>
        <w:lang w:val="es-MX" w:eastAsia="es-MX"/>
      </w:rPr>
      <mc:AlternateContent>
        <mc:Choice Requires="wps">
          <w:drawing>
            <wp:anchor distT="0" distB="0" distL="114300" distR="114300" simplePos="0" relativeHeight="251656704" behindDoc="1" locked="0" layoutInCell="0" allowOverlap="1" wp14:anchorId="7B89BF4D" wp14:editId="6E7CEB9A">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F4C830" w14:textId="77777777"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72382A9C" w14:textId="77777777" w:rsidR="0041486C" w:rsidRDefault="0041486C"/>
  <w:p w14:paraId="6FC79E4D" w14:textId="77777777" w:rsidR="0041486C" w:rsidRDefault="004148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41486C" w:rsidRPr="003E102C" w14:paraId="4C6738B0" w14:textId="77777777" w:rsidTr="00256959">
      <w:trPr>
        <w:trHeight w:val="1832"/>
      </w:trPr>
      <w:tc>
        <w:tcPr>
          <w:tcW w:w="2835" w:type="dxa"/>
          <w:vAlign w:val="bottom"/>
        </w:tcPr>
        <w:p w14:paraId="1B31533D" w14:textId="77777777" w:rsidR="0041486C" w:rsidRDefault="0041486C" w:rsidP="00282741">
          <w:pPr>
            <w:pStyle w:val="Encabezado"/>
            <w:tabs>
              <w:tab w:val="center" w:pos="2614"/>
            </w:tabs>
            <w:ind w:left="-255"/>
          </w:pPr>
          <w:r>
            <w:rPr>
              <w:noProof/>
              <w:sz w:val="10"/>
              <w:szCs w:val="10"/>
              <w:lang w:val="es-MX" w:eastAsia="es-MX"/>
            </w:rPr>
            <w:drawing>
              <wp:inline distT="0" distB="0" distL="0" distR="0" wp14:anchorId="496762D0" wp14:editId="1E46A6BF">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4E530142" w14:textId="77777777" w:rsidR="0041486C" w:rsidRDefault="0041486C" w:rsidP="00282741">
          <w:pPr>
            <w:pStyle w:val="Encabezado"/>
            <w:tabs>
              <w:tab w:val="center" w:pos="2614"/>
            </w:tabs>
          </w:pPr>
        </w:p>
      </w:tc>
      <w:tc>
        <w:tcPr>
          <w:tcW w:w="6521" w:type="dxa"/>
          <w:vAlign w:val="center"/>
        </w:tcPr>
        <w:p w14:paraId="6164205C" w14:textId="77777777" w:rsidR="0041486C" w:rsidRPr="003E102C" w:rsidRDefault="0041486C"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14:paraId="593A4C07" w14:textId="77777777" w:rsidR="0041486C" w:rsidRDefault="0041486C" w:rsidP="00154BEE">
          <w:pPr>
            <w:pStyle w:val="Encabezado"/>
            <w:ind w:left="-108" w:right="-250"/>
            <w:jc w:val="both"/>
            <w:rPr>
              <w:rFonts w:ascii="Palatino Linotype" w:eastAsia="Palatino Linotype" w:hAnsi="Palatino Linotype" w:cs="Palatino Linotype"/>
            </w:rPr>
          </w:pPr>
          <w:r w:rsidRPr="003E102C">
            <w:rPr>
              <w:rFonts w:ascii="Palatino Linotype" w:hAnsi="Palatino Linotype" w:cs="Tahoma"/>
              <w:b/>
            </w:rPr>
            <w:t xml:space="preserve">Recurso de Revisión: </w:t>
          </w:r>
          <w:r w:rsidR="00AC662D" w:rsidRPr="00AC662D">
            <w:rPr>
              <w:rFonts w:ascii="Palatino Linotype" w:hAnsi="Palatino Linotype" w:cs="Tahoma"/>
              <w:b/>
            </w:rPr>
            <w:t>15044/INFOEM/IP/RR/20</w:t>
          </w:r>
          <w:r w:rsidR="000152EB">
            <w:rPr>
              <w:rFonts w:ascii="Palatino Linotype" w:hAnsi="Palatino Linotype" w:cs="Tahoma"/>
              <w:b/>
            </w:rPr>
            <w:t>2</w:t>
          </w:r>
          <w:r w:rsidR="00AC662D" w:rsidRPr="00AC662D">
            <w:rPr>
              <w:rFonts w:ascii="Palatino Linotype" w:hAnsi="Palatino Linotype" w:cs="Tahoma"/>
              <w:b/>
            </w:rPr>
            <w:t>22</w:t>
          </w:r>
          <w:r w:rsidR="00AC662D">
            <w:rPr>
              <w:rFonts w:ascii="Palatino Linotype" w:hAnsi="Palatino Linotype" w:cs="Tahoma"/>
              <w:b/>
            </w:rPr>
            <w:br/>
          </w:r>
          <w:r>
            <w:rPr>
              <w:rFonts w:ascii="Palatino Linotype" w:hAnsi="Palatino Linotype" w:cs="Tahoma"/>
              <w:b/>
            </w:rPr>
            <w:t>Sujeto Obligado:</w:t>
          </w:r>
          <w:r>
            <w:rPr>
              <w:rFonts w:ascii="Palatino Linotype" w:eastAsia="Palatino Linotype" w:hAnsi="Palatino Linotype" w:cs="Palatino Linotype"/>
              <w:b/>
            </w:rPr>
            <w:t xml:space="preserve"> </w:t>
          </w:r>
          <w:r w:rsidR="00AC662D" w:rsidRPr="00AC662D">
            <w:rPr>
              <w:rFonts w:ascii="Palatino Linotype" w:eastAsia="Palatino Linotype" w:hAnsi="Palatino Linotype" w:cs="Palatino Linotype"/>
            </w:rPr>
            <w:t>Ayuntamiento de Toluca</w:t>
          </w:r>
        </w:p>
        <w:p w14:paraId="2C8383E2" w14:textId="77777777" w:rsidR="0041486C" w:rsidRPr="00EA5189" w:rsidRDefault="0041486C" w:rsidP="008770CD">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sidR="008770CD">
            <w:rPr>
              <w:rFonts w:ascii="Palatino Linotype" w:eastAsia="Palatino Linotype" w:hAnsi="Palatino Linotype" w:cs="Palatino Linotype"/>
            </w:rPr>
            <w:t>Guadalupe Ramírez Peña</w:t>
          </w:r>
        </w:p>
      </w:tc>
    </w:tr>
  </w:tbl>
  <w:p w14:paraId="2EF68BA2" w14:textId="77777777" w:rsidR="0041486C" w:rsidRDefault="0041486C" w:rsidP="001F7B38">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345634BA"/>
    <w:lvl w:ilvl="0" w:tplc="50A2BCFA">
      <w:start w:val="1"/>
      <w:numFmt w:val="decimal"/>
      <w:lvlText w:val="%1."/>
      <w:lvlJc w:val="left"/>
      <w:pPr>
        <w:ind w:left="5039"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DC64492">
      <w:start w:val="5"/>
      <w:numFmt w:val="upperRoman"/>
      <w:lvlText w:val="%4."/>
      <w:lvlJc w:val="left"/>
      <w:pPr>
        <w:ind w:left="3240" w:hanging="72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2831B0"/>
    <w:multiLevelType w:val="hybridMultilevel"/>
    <w:tmpl w:val="2F509C7A"/>
    <w:lvl w:ilvl="0" w:tplc="79427BD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C00D3C"/>
    <w:multiLevelType w:val="multilevel"/>
    <w:tmpl w:val="DB724C5C"/>
    <w:lvl w:ilvl="0">
      <w:start w:val="1"/>
      <w:numFmt w:val="decimal"/>
      <w:lvlText w:val="%1."/>
      <w:lvlJc w:val="left"/>
      <w:pPr>
        <w:ind w:left="3054" w:hanging="360"/>
      </w:pPr>
      <w:rPr>
        <w:b/>
      </w:r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8"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F44EF2"/>
    <w:multiLevelType w:val="multilevel"/>
    <w:tmpl w:val="B2EC7B6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1" w15:restartNumberingAfterBreak="0">
    <w:nsid w:val="71AA457B"/>
    <w:multiLevelType w:val="multilevel"/>
    <w:tmpl w:val="6F9651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99657325">
    <w:abstractNumId w:val="5"/>
  </w:num>
  <w:num w:numId="2" w16cid:durableId="1562666913">
    <w:abstractNumId w:val="10"/>
  </w:num>
  <w:num w:numId="3" w16cid:durableId="390034836">
    <w:abstractNumId w:val="8"/>
  </w:num>
  <w:num w:numId="4" w16cid:durableId="1181361926">
    <w:abstractNumId w:val="14"/>
  </w:num>
  <w:num w:numId="5" w16cid:durableId="147404272">
    <w:abstractNumId w:val="0"/>
  </w:num>
  <w:num w:numId="6" w16cid:durableId="1869565303">
    <w:abstractNumId w:val="2"/>
  </w:num>
  <w:num w:numId="7" w16cid:durableId="957220569">
    <w:abstractNumId w:val="3"/>
  </w:num>
  <w:num w:numId="8" w16cid:durableId="490757895">
    <w:abstractNumId w:val="13"/>
  </w:num>
  <w:num w:numId="9" w16cid:durableId="1171605807">
    <w:abstractNumId w:val="12"/>
  </w:num>
  <w:num w:numId="10" w16cid:durableId="545605919">
    <w:abstractNumId w:val="1"/>
  </w:num>
  <w:num w:numId="11" w16cid:durableId="533154414">
    <w:abstractNumId w:val="11"/>
  </w:num>
  <w:num w:numId="12" w16cid:durableId="101729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2656605">
    <w:abstractNumId w:val="4"/>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522329">
    <w:abstractNumId w:val="9"/>
  </w:num>
  <w:num w:numId="15" w16cid:durableId="3783564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00F7F"/>
    <w:rsid w:val="000014FF"/>
    <w:rsid w:val="00003415"/>
    <w:rsid w:val="00003CE8"/>
    <w:rsid w:val="00012664"/>
    <w:rsid w:val="000128A8"/>
    <w:rsid w:val="00012E0B"/>
    <w:rsid w:val="000152E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C6EE3"/>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4BEE"/>
    <w:rsid w:val="00155046"/>
    <w:rsid w:val="0015586F"/>
    <w:rsid w:val="00164C93"/>
    <w:rsid w:val="00164DA6"/>
    <w:rsid w:val="00165971"/>
    <w:rsid w:val="00170FF9"/>
    <w:rsid w:val="0017138C"/>
    <w:rsid w:val="00172F76"/>
    <w:rsid w:val="001822F4"/>
    <w:rsid w:val="001833AB"/>
    <w:rsid w:val="001858A4"/>
    <w:rsid w:val="0019740B"/>
    <w:rsid w:val="001A6A2D"/>
    <w:rsid w:val="001A7C78"/>
    <w:rsid w:val="001B1F85"/>
    <w:rsid w:val="001C4652"/>
    <w:rsid w:val="001C4C0D"/>
    <w:rsid w:val="001C6C98"/>
    <w:rsid w:val="001D197C"/>
    <w:rsid w:val="001D5D9B"/>
    <w:rsid w:val="001D7256"/>
    <w:rsid w:val="001E169C"/>
    <w:rsid w:val="001E3B4A"/>
    <w:rsid w:val="001F02F2"/>
    <w:rsid w:val="001F14E1"/>
    <w:rsid w:val="001F7B38"/>
    <w:rsid w:val="002029D7"/>
    <w:rsid w:val="002073F9"/>
    <w:rsid w:val="0021233A"/>
    <w:rsid w:val="00212E59"/>
    <w:rsid w:val="00215353"/>
    <w:rsid w:val="00217360"/>
    <w:rsid w:val="00222385"/>
    <w:rsid w:val="002243CB"/>
    <w:rsid w:val="00232C29"/>
    <w:rsid w:val="00235BA8"/>
    <w:rsid w:val="00250084"/>
    <w:rsid w:val="002502DA"/>
    <w:rsid w:val="0025033B"/>
    <w:rsid w:val="00253645"/>
    <w:rsid w:val="00255951"/>
    <w:rsid w:val="00256959"/>
    <w:rsid w:val="002618A9"/>
    <w:rsid w:val="002814FD"/>
    <w:rsid w:val="00282741"/>
    <w:rsid w:val="002839ED"/>
    <w:rsid w:val="00286E04"/>
    <w:rsid w:val="0029054D"/>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E6B86"/>
    <w:rsid w:val="003F2744"/>
    <w:rsid w:val="004010D9"/>
    <w:rsid w:val="00406CA5"/>
    <w:rsid w:val="0041486C"/>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656EB"/>
    <w:rsid w:val="004702A0"/>
    <w:rsid w:val="004802D1"/>
    <w:rsid w:val="00482614"/>
    <w:rsid w:val="00485ADE"/>
    <w:rsid w:val="0048769D"/>
    <w:rsid w:val="0049111C"/>
    <w:rsid w:val="004967C2"/>
    <w:rsid w:val="004A7024"/>
    <w:rsid w:val="004A749E"/>
    <w:rsid w:val="004B4084"/>
    <w:rsid w:val="004C07CA"/>
    <w:rsid w:val="004C39D6"/>
    <w:rsid w:val="004D5A8F"/>
    <w:rsid w:val="004E721D"/>
    <w:rsid w:val="004F3213"/>
    <w:rsid w:val="004F5134"/>
    <w:rsid w:val="00500CC7"/>
    <w:rsid w:val="005012F9"/>
    <w:rsid w:val="005017F3"/>
    <w:rsid w:val="00503956"/>
    <w:rsid w:val="00505F5A"/>
    <w:rsid w:val="005061E8"/>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36B80"/>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15F8B"/>
    <w:rsid w:val="0072288B"/>
    <w:rsid w:val="007252AA"/>
    <w:rsid w:val="00727414"/>
    <w:rsid w:val="00733946"/>
    <w:rsid w:val="00737BBE"/>
    <w:rsid w:val="00741B33"/>
    <w:rsid w:val="00743BDE"/>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0DA"/>
    <w:rsid w:val="007E6322"/>
    <w:rsid w:val="007E79CA"/>
    <w:rsid w:val="007F0307"/>
    <w:rsid w:val="007F2434"/>
    <w:rsid w:val="00807896"/>
    <w:rsid w:val="00807B02"/>
    <w:rsid w:val="00812BA8"/>
    <w:rsid w:val="00812CB2"/>
    <w:rsid w:val="00817AA2"/>
    <w:rsid w:val="00824149"/>
    <w:rsid w:val="0082523E"/>
    <w:rsid w:val="00825FB4"/>
    <w:rsid w:val="00835381"/>
    <w:rsid w:val="0084099F"/>
    <w:rsid w:val="00855FCC"/>
    <w:rsid w:val="008612B2"/>
    <w:rsid w:val="0086476F"/>
    <w:rsid w:val="00867FE5"/>
    <w:rsid w:val="00871E3F"/>
    <w:rsid w:val="00874A70"/>
    <w:rsid w:val="0087565F"/>
    <w:rsid w:val="008770CD"/>
    <w:rsid w:val="00883ABB"/>
    <w:rsid w:val="00886305"/>
    <w:rsid w:val="00887103"/>
    <w:rsid w:val="00892DF4"/>
    <w:rsid w:val="00895041"/>
    <w:rsid w:val="00897E24"/>
    <w:rsid w:val="008A4206"/>
    <w:rsid w:val="008A7670"/>
    <w:rsid w:val="008B2413"/>
    <w:rsid w:val="008C6097"/>
    <w:rsid w:val="008C6673"/>
    <w:rsid w:val="008C72F2"/>
    <w:rsid w:val="008D108C"/>
    <w:rsid w:val="008E2933"/>
    <w:rsid w:val="008E3980"/>
    <w:rsid w:val="008E3E2C"/>
    <w:rsid w:val="008E41C5"/>
    <w:rsid w:val="008E5E16"/>
    <w:rsid w:val="008F1DDB"/>
    <w:rsid w:val="008F1E42"/>
    <w:rsid w:val="008F24F5"/>
    <w:rsid w:val="00902BEC"/>
    <w:rsid w:val="00907451"/>
    <w:rsid w:val="00921613"/>
    <w:rsid w:val="00922792"/>
    <w:rsid w:val="00927D8F"/>
    <w:rsid w:val="00935EDE"/>
    <w:rsid w:val="00943ECF"/>
    <w:rsid w:val="009459B0"/>
    <w:rsid w:val="009530AD"/>
    <w:rsid w:val="009549EF"/>
    <w:rsid w:val="00954DE7"/>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B5B"/>
    <w:rsid w:val="009A5DD7"/>
    <w:rsid w:val="009B0AA8"/>
    <w:rsid w:val="009B77B1"/>
    <w:rsid w:val="009B7800"/>
    <w:rsid w:val="009C1A8B"/>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53B5"/>
    <w:rsid w:val="00AA5B7B"/>
    <w:rsid w:val="00AA5FEA"/>
    <w:rsid w:val="00AC0126"/>
    <w:rsid w:val="00AC5703"/>
    <w:rsid w:val="00AC662D"/>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55FC9"/>
    <w:rsid w:val="00B60059"/>
    <w:rsid w:val="00B62F6E"/>
    <w:rsid w:val="00B63363"/>
    <w:rsid w:val="00B64C32"/>
    <w:rsid w:val="00B71BFC"/>
    <w:rsid w:val="00B74B7A"/>
    <w:rsid w:val="00B74B82"/>
    <w:rsid w:val="00B74BEB"/>
    <w:rsid w:val="00B75F92"/>
    <w:rsid w:val="00B775D8"/>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16D7B"/>
    <w:rsid w:val="00F20E02"/>
    <w:rsid w:val="00F335B7"/>
    <w:rsid w:val="00F3690F"/>
    <w:rsid w:val="00F43FDE"/>
    <w:rsid w:val="00F466F2"/>
    <w:rsid w:val="00F46B79"/>
    <w:rsid w:val="00F50A38"/>
    <w:rsid w:val="00F54751"/>
    <w:rsid w:val="00F62FE1"/>
    <w:rsid w:val="00F65507"/>
    <w:rsid w:val="00F76B05"/>
    <w:rsid w:val="00F861BA"/>
    <w:rsid w:val="00F97255"/>
    <w:rsid w:val="00F974AA"/>
    <w:rsid w:val="00FA32E0"/>
    <w:rsid w:val="00FB130A"/>
    <w:rsid w:val="00FC4E42"/>
    <w:rsid w:val="00FC4F24"/>
    <w:rsid w:val="00FC6D9F"/>
    <w:rsid w:val="00FD322D"/>
    <w:rsid w:val="00FD3336"/>
    <w:rsid w:val="00FD3A3F"/>
    <w:rsid w:val="00FD6386"/>
    <w:rsid w:val="00FD7A44"/>
    <w:rsid w:val="00FE653C"/>
    <w:rsid w:val="00FF1B56"/>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70273"/>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pPr>
      <w:spacing w:line="256" w:lineRule="auto"/>
    </w:pPr>
  </w:style>
  <w:style w:type="paragraph" w:styleId="Ttulo1">
    <w:name w:val="heading 1"/>
    <w:basedOn w:val="Normal"/>
    <w:link w:val="Ttulo1Car"/>
    <w:uiPriority w:val="9"/>
    <w:qFormat/>
    <w:rsid w:val="008863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775D8"/>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B775D8"/>
    <w:rPr>
      <w:rFonts w:ascii="Palatino Linotype" w:eastAsia="Palatino Linotype" w:hAnsi="Palatino Linotype" w:cs="Palatino Linotype"/>
      <w:sz w:val="24"/>
      <w:szCs w:val="24"/>
      <w:lang w:val="es-ES"/>
    </w:rPr>
  </w:style>
  <w:style w:type="character" w:customStyle="1" w:styleId="Ttulo1Car">
    <w:name w:val="Título 1 Car"/>
    <w:basedOn w:val="Fuentedeprrafopredeter"/>
    <w:link w:val="Ttulo1"/>
    <w:uiPriority w:val="9"/>
    <w:rsid w:val="00886305"/>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886305"/>
    <w:rPr>
      <w:i/>
      <w:iCs/>
    </w:rPr>
  </w:style>
  <w:style w:type="paragraph" w:styleId="Listaconvietas3">
    <w:name w:val="List Bullet 3"/>
    <w:basedOn w:val="Normal"/>
    <w:uiPriority w:val="99"/>
    <w:semiHidden/>
    <w:unhideWhenUsed/>
    <w:rsid w:val="007E60DA"/>
    <w:pPr>
      <w:numPr>
        <w:numId w:val="14"/>
      </w:numPr>
      <w:spacing w:after="0" w:line="240" w:lineRule="auto"/>
      <w:contextualSpacing/>
    </w:pPr>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546">
      <w:bodyDiv w:val="1"/>
      <w:marLeft w:val="0"/>
      <w:marRight w:val="0"/>
      <w:marTop w:val="0"/>
      <w:marBottom w:val="0"/>
      <w:divBdr>
        <w:top w:val="none" w:sz="0" w:space="0" w:color="auto"/>
        <w:left w:val="none" w:sz="0" w:space="0" w:color="auto"/>
        <w:bottom w:val="none" w:sz="0" w:space="0" w:color="auto"/>
        <w:right w:val="none" w:sz="0" w:space="0" w:color="auto"/>
      </w:divBdr>
    </w:div>
    <w:div w:id="101073879">
      <w:bodyDiv w:val="1"/>
      <w:marLeft w:val="0"/>
      <w:marRight w:val="0"/>
      <w:marTop w:val="0"/>
      <w:marBottom w:val="0"/>
      <w:divBdr>
        <w:top w:val="none" w:sz="0" w:space="0" w:color="auto"/>
        <w:left w:val="none" w:sz="0" w:space="0" w:color="auto"/>
        <w:bottom w:val="none" w:sz="0" w:space="0" w:color="auto"/>
        <w:right w:val="none" w:sz="0" w:space="0" w:color="auto"/>
      </w:divBdr>
    </w:div>
    <w:div w:id="128866467">
      <w:bodyDiv w:val="1"/>
      <w:marLeft w:val="0"/>
      <w:marRight w:val="0"/>
      <w:marTop w:val="0"/>
      <w:marBottom w:val="0"/>
      <w:divBdr>
        <w:top w:val="none" w:sz="0" w:space="0" w:color="auto"/>
        <w:left w:val="none" w:sz="0" w:space="0" w:color="auto"/>
        <w:bottom w:val="none" w:sz="0" w:space="0" w:color="auto"/>
        <w:right w:val="none" w:sz="0" w:space="0" w:color="auto"/>
      </w:divBdr>
    </w:div>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49905976">
      <w:bodyDiv w:val="1"/>
      <w:marLeft w:val="0"/>
      <w:marRight w:val="0"/>
      <w:marTop w:val="0"/>
      <w:marBottom w:val="0"/>
      <w:divBdr>
        <w:top w:val="none" w:sz="0" w:space="0" w:color="auto"/>
        <w:left w:val="none" w:sz="0" w:space="0" w:color="auto"/>
        <w:bottom w:val="none" w:sz="0" w:space="0" w:color="auto"/>
        <w:right w:val="none" w:sz="0" w:space="0" w:color="auto"/>
      </w:divBdr>
    </w:div>
    <w:div w:id="204831887">
      <w:bodyDiv w:val="1"/>
      <w:marLeft w:val="0"/>
      <w:marRight w:val="0"/>
      <w:marTop w:val="0"/>
      <w:marBottom w:val="0"/>
      <w:divBdr>
        <w:top w:val="none" w:sz="0" w:space="0" w:color="auto"/>
        <w:left w:val="none" w:sz="0" w:space="0" w:color="auto"/>
        <w:bottom w:val="none" w:sz="0" w:space="0" w:color="auto"/>
        <w:right w:val="none" w:sz="0" w:space="0" w:color="auto"/>
      </w:divBdr>
    </w:div>
    <w:div w:id="253712390">
      <w:bodyDiv w:val="1"/>
      <w:marLeft w:val="0"/>
      <w:marRight w:val="0"/>
      <w:marTop w:val="0"/>
      <w:marBottom w:val="0"/>
      <w:divBdr>
        <w:top w:val="none" w:sz="0" w:space="0" w:color="auto"/>
        <w:left w:val="none" w:sz="0" w:space="0" w:color="auto"/>
        <w:bottom w:val="none" w:sz="0" w:space="0" w:color="auto"/>
        <w:right w:val="none" w:sz="0" w:space="0" w:color="auto"/>
      </w:divBdr>
    </w:div>
    <w:div w:id="345134263">
      <w:bodyDiv w:val="1"/>
      <w:marLeft w:val="0"/>
      <w:marRight w:val="0"/>
      <w:marTop w:val="0"/>
      <w:marBottom w:val="0"/>
      <w:divBdr>
        <w:top w:val="none" w:sz="0" w:space="0" w:color="auto"/>
        <w:left w:val="none" w:sz="0" w:space="0" w:color="auto"/>
        <w:bottom w:val="none" w:sz="0" w:space="0" w:color="auto"/>
        <w:right w:val="none" w:sz="0" w:space="0" w:color="auto"/>
      </w:divBdr>
    </w:div>
    <w:div w:id="354964941">
      <w:bodyDiv w:val="1"/>
      <w:marLeft w:val="0"/>
      <w:marRight w:val="0"/>
      <w:marTop w:val="0"/>
      <w:marBottom w:val="0"/>
      <w:divBdr>
        <w:top w:val="none" w:sz="0" w:space="0" w:color="auto"/>
        <w:left w:val="none" w:sz="0" w:space="0" w:color="auto"/>
        <w:bottom w:val="none" w:sz="0" w:space="0" w:color="auto"/>
        <w:right w:val="none" w:sz="0" w:space="0" w:color="auto"/>
      </w:divBdr>
    </w:div>
    <w:div w:id="358168692">
      <w:bodyDiv w:val="1"/>
      <w:marLeft w:val="0"/>
      <w:marRight w:val="0"/>
      <w:marTop w:val="0"/>
      <w:marBottom w:val="0"/>
      <w:divBdr>
        <w:top w:val="none" w:sz="0" w:space="0" w:color="auto"/>
        <w:left w:val="none" w:sz="0" w:space="0" w:color="auto"/>
        <w:bottom w:val="none" w:sz="0" w:space="0" w:color="auto"/>
        <w:right w:val="none" w:sz="0" w:space="0" w:color="auto"/>
      </w:divBdr>
    </w:div>
    <w:div w:id="467549231">
      <w:bodyDiv w:val="1"/>
      <w:marLeft w:val="0"/>
      <w:marRight w:val="0"/>
      <w:marTop w:val="0"/>
      <w:marBottom w:val="0"/>
      <w:divBdr>
        <w:top w:val="none" w:sz="0" w:space="0" w:color="auto"/>
        <w:left w:val="none" w:sz="0" w:space="0" w:color="auto"/>
        <w:bottom w:val="none" w:sz="0" w:space="0" w:color="auto"/>
        <w:right w:val="none" w:sz="0" w:space="0" w:color="auto"/>
      </w:divBdr>
    </w:div>
    <w:div w:id="570579523">
      <w:bodyDiv w:val="1"/>
      <w:marLeft w:val="0"/>
      <w:marRight w:val="0"/>
      <w:marTop w:val="0"/>
      <w:marBottom w:val="0"/>
      <w:divBdr>
        <w:top w:val="none" w:sz="0" w:space="0" w:color="auto"/>
        <w:left w:val="none" w:sz="0" w:space="0" w:color="auto"/>
        <w:bottom w:val="none" w:sz="0" w:space="0" w:color="auto"/>
        <w:right w:val="none" w:sz="0" w:space="0" w:color="auto"/>
      </w:divBdr>
    </w:div>
    <w:div w:id="697388780">
      <w:bodyDiv w:val="1"/>
      <w:marLeft w:val="0"/>
      <w:marRight w:val="0"/>
      <w:marTop w:val="0"/>
      <w:marBottom w:val="0"/>
      <w:divBdr>
        <w:top w:val="none" w:sz="0" w:space="0" w:color="auto"/>
        <w:left w:val="none" w:sz="0" w:space="0" w:color="auto"/>
        <w:bottom w:val="none" w:sz="0" w:space="0" w:color="auto"/>
        <w:right w:val="none" w:sz="0" w:space="0" w:color="auto"/>
      </w:divBdr>
    </w:div>
    <w:div w:id="697899410">
      <w:bodyDiv w:val="1"/>
      <w:marLeft w:val="0"/>
      <w:marRight w:val="0"/>
      <w:marTop w:val="0"/>
      <w:marBottom w:val="0"/>
      <w:divBdr>
        <w:top w:val="none" w:sz="0" w:space="0" w:color="auto"/>
        <w:left w:val="none" w:sz="0" w:space="0" w:color="auto"/>
        <w:bottom w:val="none" w:sz="0" w:space="0" w:color="auto"/>
        <w:right w:val="none" w:sz="0" w:space="0" w:color="auto"/>
      </w:divBdr>
      <w:divsChild>
        <w:div w:id="924613723">
          <w:marLeft w:val="0"/>
          <w:marRight w:val="0"/>
          <w:marTop w:val="0"/>
          <w:marBottom w:val="0"/>
          <w:divBdr>
            <w:top w:val="none" w:sz="0" w:space="0" w:color="auto"/>
            <w:left w:val="none" w:sz="0" w:space="0" w:color="auto"/>
            <w:bottom w:val="none" w:sz="0" w:space="0" w:color="auto"/>
            <w:right w:val="none" w:sz="0" w:space="0" w:color="auto"/>
          </w:divBdr>
          <w:divsChild>
            <w:div w:id="1099327366">
              <w:marLeft w:val="0"/>
              <w:marRight w:val="0"/>
              <w:marTop w:val="0"/>
              <w:marBottom w:val="450"/>
              <w:divBdr>
                <w:top w:val="none" w:sz="0" w:space="0" w:color="auto"/>
                <w:left w:val="none" w:sz="0" w:space="0" w:color="auto"/>
                <w:bottom w:val="none" w:sz="0" w:space="0" w:color="auto"/>
                <w:right w:val="none" w:sz="0" w:space="0" w:color="auto"/>
              </w:divBdr>
              <w:divsChild>
                <w:div w:id="562764099">
                  <w:marLeft w:val="0"/>
                  <w:marRight w:val="0"/>
                  <w:marTop w:val="0"/>
                  <w:marBottom w:val="0"/>
                  <w:divBdr>
                    <w:top w:val="none" w:sz="0" w:space="0" w:color="auto"/>
                    <w:left w:val="none" w:sz="0" w:space="0" w:color="auto"/>
                    <w:bottom w:val="none" w:sz="0" w:space="0" w:color="auto"/>
                    <w:right w:val="none" w:sz="0" w:space="0" w:color="auto"/>
                  </w:divBdr>
                  <w:divsChild>
                    <w:div w:id="1080367730">
                      <w:marLeft w:val="0"/>
                      <w:marRight w:val="0"/>
                      <w:marTop w:val="0"/>
                      <w:marBottom w:val="0"/>
                      <w:divBdr>
                        <w:top w:val="none" w:sz="0" w:space="0" w:color="auto"/>
                        <w:left w:val="none" w:sz="0" w:space="0" w:color="auto"/>
                        <w:bottom w:val="none" w:sz="0" w:space="0" w:color="auto"/>
                        <w:right w:val="none" w:sz="0" w:space="0" w:color="auto"/>
                      </w:divBdr>
                      <w:divsChild>
                        <w:div w:id="20121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03438">
      <w:bodyDiv w:val="1"/>
      <w:marLeft w:val="0"/>
      <w:marRight w:val="0"/>
      <w:marTop w:val="0"/>
      <w:marBottom w:val="0"/>
      <w:divBdr>
        <w:top w:val="none" w:sz="0" w:space="0" w:color="auto"/>
        <w:left w:val="none" w:sz="0" w:space="0" w:color="auto"/>
        <w:bottom w:val="none" w:sz="0" w:space="0" w:color="auto"/>
        <w:right w:val="none" w:sz="0" w:space="0" w:color="auto"/>
      </w:divBdr>
    </w:div>
    <w:div w:id="781995062">
      <w:bodyDiv w:val="1"/>
      <w:marLeft w:val="0"/>
      <w:marRight w:val="0"/>
      <w:marTop w:val="0"/>
      <w:marBottom w:val="0"/>
      <w:divBdr>
        <w:top w:val="none" w:sz="0" w:space="0" w:color="auto"/>
        <w:left w:val="none" w:sz="0" w:space="0" w:color="auto"/>
        <w:bottom w:val="none" w:sz="0" w:space="0" w:color="auto"/>
        <w:right w:val="none" w:sz="0" w:space="0" w:color="auto"/>
      </w:divBdr>
    </w:div>
    <w:div w:id="782531011">
      <w:bodyDiv w:val="1"/>
      <w:marLeft w:val="0"/>
      <w:marRight w:val="0"/>
      <w:marTop w:val="0"/>
      <w:marBottom w:val="0"/>
      <w:divBdr>
        <w:top w:val="none" w:sz="0" w:space="0" w:color="auto"/>
        <w:left w:val="none" w:sz="0" w:space="0" w:color="auto"/>
        <w:bottom w:val="none" w:sz="0" w:space="0" w:color="auto"/>
        <w:right w:val="none" w:sz="0" w:space="0" w:color="auto"/>
      </w:divBdr>
    </w:div>
    <w:div w:id="785198492">
      <w:bodyDiv w:val="1"/>
      <w:marLeft w:val="0"/>
      <w:marRight w:val="0"/>
      <w:marTop w:val="0"/>
      <w:marBottom w:val="0"/>
      <w:divBdr>
        <w:top w:val="none" w:sz="0" w:space="0" w:color="auto"/>
        <w:left w:val="none" w:sz="0" w:space="0" w:color="auto"/>
        <w:bottom w:val="none" w:sz="0" w:space="0" w:color="auto"/>
        <w:right w:val="none" w:sz="0" w:space="0" w:color="auto"/>
      </w:divBdr>
    </w:div>
    <w:div w:id="899678840">
      <w:bodyDiv w:val="1"/>
      <w:marLeft w:val="0"/>
      <w:marRight w:val="0"/>
      <w:marTop w:val="0"/>
      <w:marBottom w:val="0"/>
      <w:divBdr>
        <w:top w:val="none" w:sz="0" w:space="0" w:color="auto"/>
        <w:left w:val="none" w:sz="0" w:space="0" w:color="auto"/>
        <w:bottom w:val="none" w:sz="0" w:space="0" w:color="auto"/>
        <w:right w:val="none" w:sz="0" w:space="0" w:color="auto"/>
      </w:divBdr>
    </w:div>
    <w:div w:id="1001005227">
      <w:bodyDiv w:val="1"/>
      <w:marLeft w:val="0"/>
      <w:marRight w:val="0"/>
      <w:marTop w:val="0"/>
      <w:marBottom w:val="0"/>
      <w:divBdr>
        <w:top w:val="none" w:sz="0" w:space="0" w:color="auto"/>
        <w:left w:val="none" w:sz="0" w:space="0" w:color="auto"/>
        <w:bottom w:val="none" w:sz="0" w:space="0" w:color="auto"/>
        <w:right w:val="none" w:sz="0" w:space="0" w:color="auto"/>
      </w:divBdr>
    </w:div>
    <w:div w:id="1032419716">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216239908">
      <w:bodyDiv w:val="1"/>
      <w:marLeft w:val="0"/>
      <w:marRight w:val="0"/>
      <w:marTop w:val="0"/>
      <w:marBottom w:val="0"/>
      <w:divBdr>
        <w:top w:val="none" w:sz="0" w:space="0" w:color="auto"/>
        <w:left w:val="none" w:sz="0" w:space="0" w:color="auto"/>
        <w:bottom w:val="none" w:sz="0" w:space="0" w:color="auto"/>
        <w:right w:val="none" w:sz="0" w:space="0" w:color="auto"/>
      </w:divBdr>
    </w:div>
    <w:div w:id="1222446112">
      <w:bodyDiv w:val="1"/>
      <w:marLeft w:val="0"/>
      <w:marRight w:val="0"/>
      <w:marTop w:val="0"/>
      <w:marBottom w:val="0"/>
      <w:divBdr>
        <w:top w:val="none" w:sz="0" w:space="0" w:color="auto"/>
        <w:left w:val="none" w:sz="0" w:space="0" w:color="auto"/>
        <w:bottom w:val="none" w:sz="0" w:space="0" w:color="auto"/>
        <w:right w:val="none" w:sz="0" w:space="0" w:color="auto"/>
      </w:divBdr>
    </w:div>
    <w:div w:id="1340043952">
      <w:bodyDiv w:val="1"/>
      <w:marLeft w:val="0"/>
      <w:marRight w:val="0"/>
      <w:marTop w:val="0"/>
      <w:marBottom w:val="0"/>
      <w:divBdr>
        <w:top w:val="none" w:sz="0" w:space="0" w:color="auto"/>
        <w:left w:val="none" w:sz="0" w:space="0" w:color="auto"/>
        <w:bottom w:val="none" w:sz="0" w:space="0" w:color="auto"/>
        <w:right w:val="none" w:sz="0" w:space="0" w:color="auto"/>
      </w:divBdr>
    </w:div>
    <w:div w:id="1363824849">
      <w:bodyDiv w:val="1"/>
      <w:marLeft w:val="0"/>
      <w:marRight w:val="0"/>
      <w:marTop w:val="0"/>
      <w:marBottom w:val="0"/>
      <w:divBdr>
        <w:top w:val="none" w:sz="0" w:space="0" w:color="auto"/>
        <w:left w:val="none" w:sz="0" w:space="0" w:color="auto"/>
        <w:bottom w:val="none" w:sz="0" w:space="0" w:color="auto"/>
        <w:right w:val="none" w:sz="0" w:space="0" w:color="auto"/>
      </w:divBdr>
    </w:div>
    <w:div w:id="1377698898">
      <w:bodyDiv w:val="1"/>
      <w:marLeft w:val="0"/>
      <w:marRight w:val="0"/>
      <w:marTop w:val="0"/>
      <w:marBottom w:val="0"/>
      <w:divBdr>
        <w:top w:val="none" w:sz="0" w:space="0" w:color="auto"/>
        <w:left w:val="none" w:sz="0" w:space="0" w:color="auto"/>
        <w:bottom w:val="none" w:sz="0" w:space="0" w:color="auto"/>
        <w:right w:val="none" w:sz="0" w:space="0" w:color="auto"/>
      </w:divBdr>
    </w:div>
    <w:div w:id="1393654378">
      <w:bodyDiv w:val="1"/>
      <w:marLeft w:val="0"/>
      <w:marRight w:val="0"/>
      <w:marTop w:val="0"/>
      <w:marBottom w:val="0"/>
      <w:divBdr>
        <w:top w:val="none" w:sz="0" w:space="0" w:color="auto"/>
        <w:left w:val="none" w:sz="0" w:space="0" w:color="auto"/>
        <w:bottom w:val="none" w:sz="0" w:space="0" w:color="auto"/>
        <w:right w:val="none" w:sz="0" w:space="0" w:color="auto"/>
      </w:divBdr>
    </w:div>
    <w:div w:id="1477140216">
      <w:bodyDiv w:val="1"/>
      <w:marLeft w:val="0"/>
      <w:marRight w:val="0"/>
      <w:marTop w:val="0"/>
      <w:marBottom w:val="0"/>
      <w:divBdr>
        <w:top w:val="none" w:sz="0" w:space="0" w:color="auto"/>
        <w:left w:val="none" w:sz="0" w:space="0" w:color="auto"/>
        <w:bottom w:val="none" w:sz="0" w:space="0" w:color="auto"/>
        <w:right w:val="none" w:sz="0" w:space="0" w:color="auto"/>
      </w:divBdr>
    </w:div>
    <w:div w:id="1657881733">
      <w:bodyDiv w:val="1"/>
      <w:marLeft w:val="0"/>
      <w:marRight w:val="0"/>
      <w:marTop w:val="0"/>
      <w:marBottom w:val="0"/>
      <w:divBdr>
        <w:top w:val="none" w:sz="0" w:space="0" w:color="auto"/>
        <w:left w:val="none" w:sz="0" w:space="0" w:color="auto"/>
        <w:bottom w:val="none" w:sz="0" w:space="0" w:color="auto"/>
        <w:right w:val="none" w:sz="0" w:space="0" w:color="auto"/>
      </w:divBdr>
    </w:div>
    <w:div w:id="1659765872">
      <w:bodyDiv w:val="1"/>
      <w:marLeft w:val="0"/>
      <w:marRight w:val="0"/>
      <w:marTop w:val="0"/>
      <w:marBottom w:val="0"/>
      <w:divBdr>
        <w:top w:val="none" w:sz="0" w:space="0" w:color="auto"/>
        <w:left w:val="none" w:sz="0" w:space="0" w:color="auto"/>
        <w:bottom w:val="none" w:sz="0" w:space="0" w:color="auto"/>
        <w:right w:val="none" w:sz="0" w:space="0" w:color="auto"/>
      </w:divBdr>
    </w:div>
    <w:div w:id="1746026636">
      <w:bodyDiv w:val="1"/>
      <w:marLeft w:val="0"/>
      <w:marRight w:val="0"/>
      <w:marTop w:val="0"/>
      <w:marBottom w:val="0"/>
      <w:divBdr>
        <w:top w:val="none" w:sz="0" w:space="0" w:color="auto"/>
        <w:left w:val="none" w:sz="0" w:space="0" w:color="auto"/>
        <w:bottom w:val="none" w:sz="0" w:space="0" w:color="auto"/>
        <w:right w:val="none" w:sz="0" w:space="0" w:color="auto"/>
      </w:divBdr>
    </w:div>
    <w:div w:id="1836070157">
      <w:bodyDiv w:val="1"/>
      <w:marLeft w:val="0"/>
      <w:marRight w:val="0"/>
      <w:marTop w:val="0"/>
      <w:marBottom w:val="0"/>
      <w:divBdr>
        <w:top w:val="none" w:sz="0" w:space="0" w:color="auto"/>
        <w:left w:val="none" w:sz="0" w:space="0" w:color="auto"/>
        <w:bottom w:val="none" w:sz="0" w:space="0" w:color="auto"/>
        <w:right w:val="none" w:sz="0" w:space="0" w:color="auto"/>
      </w:divBdr>
    </w:div>
    <w:div w:id="1882857534">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 w:id="20118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77DCFD8-DF8C-4D99-B102-48078FD9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3179</Words>
  <Characters>17488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Infoem600</cp:lastModifiedBy>
  <cp:revision>10</cp:revision>
  <cp:lastPrinted>2023-06-20T01:40:00Z</cp:lastPrinted>
  <dcterms:created xsi:type="dcterms:W3CDTF">2023-06-19T23:38:00Z</dcterms:created>
  <dcterms:modified xsi:type="dcterms:W3CDTF">2024-02-02T20:12:00Z</dcterms:modified>
</cp:coreProperties>
</file>