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2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24" w:line="360" w:lineRule="auto"/>
        <w:ind w:right="117" w:firstLine="708.6614173228347"/>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TERCERA SESIÓN ORDINARIA DEL VEINTINUEVE DE NOVIEMBRE DE DOS MIL VEINTITRÉS, EN EL RECURSO DE REVISIÓN 05624/INFOEM/IP/RR/2023.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Comisionada Guadalupe Ramírez Peña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05624/INFOEM/IP/RR/2023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pronunciada por el Pleno de este Instituto ante el proyecto presentado por la suscrita el cual fue engrosado conforme al criterio mayoritario del Pleno, el cual se formuló, conforme al tenor siguiente: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1"/>
        <w:numPr>
          <w:ilvl w:val="0"/>
          <w:numId w:val="2"/>
        </w:numPr>
        <w:tabs>
          <w:tab w:val="left" w:leader="none" w:pos="824"/>
        </w:tabs>
        <w:spacing w:after="0" w:before="0" w:line="240" w:lineRule="auto"/>
        <w:ind w:left="823" w:right="0" w:hanging="284"/>
        <w:jc w:val="both"/>
        <w:rPr/>
      </w:pPr>
      <w:r w:rsidDel="00000000" w:rsidR="00000000" w:rsidRPr="00000000">
        <w:rPr>
          <w:rtl w:val="0"/>
        </w:rPr>
        <w:t xml:space="preserve">Antecedentes.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360" w:lineRule="auto"/>
        <w:ind w:left="682" w:right="117" w:firstLine="0"/>
        <w:jc w:val="both"/>
        <w:rPr>
          <w:sz w:val="24"/>
          <w:szCs w:val="24"/>
        </w:rPr>
      </w:pPr>
      <w:r w:rsidDel="00000000" w:rsidR="00000000" w:rsidRPr="00000000">
        <w:rPr>
          <w:sz w:val="24"/>
          <w:szCs w:val="24"/>
          <w:rtl w:val="0"/>
        </w:rPr>
        <w:t xml:space="preserve">En el asunto que nos ocupa, la </w:t>
      </w:r>
      <w:r w:rsidDel="00000000" w:rsidR="00000000" w:rsidRPr="00000000">
        <w:rPr>
          <w:b w:val="1"/>
          <w:sz w:val="24"/>
          <w:szCs w:val="24"/>
          <w:rtl w:val="0"/>
        </w:rPr>
        <w:t xml:space="preserve">parte Recurrente </w:t>
      </w:r>
      <w:r w:rsidDel="00000000" w:rsidR="00000000" w:rsidRPr="00000000">
        <w:rPr>
          <w:sz w:val="24"/>
          <w:szCs w:val="24"/>
          <w:rtl w:val="0"/>
        </w:rPr>
        <w:t xml:space="preserve">solicitó al </w:t>
      </w:r>
      <w:r w:rsidDel="00000000" w:rsidR="00000000" w:rsidRPr="00000000">
        <w:rPr>
          <w:b w:val="1"/>
          <w:sz w:val="24"/>
          <w:szCs w:val="24"/>
          <w:rtl w:val="0"/>
        </w:rPr>
        <w:t xml:space="preserve">Sujeto Obligado</w:t>
      </w:r>
      <w:r w:rsidDel="00000000" w:rsidR="00000000" w:rsidRPr="00000000">
        <w:rPr>
          <w:sz w:val="24"/>
          <w:szCs w:val="24"/>
          <w:rtl w:val="0"/>
        </w:rPr>
        <w:t xml:space="preserve">, le proporcionara lo siguiente: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spacing w:before="0" w:line="278.00000000000006" w:lineRule="auto"/>
        <w:ind w:left="1248" w:right="758" w:firstLine="0"/>
        <w:jc w:val="left"/>
        <w:rPr>
          <w:i w:val="1"/>
          <w:sz w:val="22"/>
          <w:szCs w:val="22"/>
        </w:rPr>
      </w:pPr>
      <w:r w:rsidDel="00000000" w:rsidR="00000000" w:rsidRPr="00000000">
        <w:rPr>
          <w:i w:val="1"/>
          <w:sz w:val="22"/>
          <w:szCs w:val="22"/>
          <w:rtl w:val="0"/>
        </w:rPr>
        <w:t xml:space="preserve">“SOLICITO LA CONCILIACIÓN DE NOMINA DEL MES DE JUNIO DEL 2023” (Sic)</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en su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adjuntó el siguiente archivo electrónico: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7">
      <w:pPr>
        <w:spacing w:before="93" w:lineRule="auto"/>
        <w:ind w:left="0" w:right="120" w:firstLine="0"/>
        <w:jc w:val="right"/>
        <w:rPr>
          <w:rFonts w:ascii="Arial" w:cs="Arial" w:eastAsia="Arial" w:hAnsi="Arial"/>
          <w:b w:val="1"/>
          <w:sz w:val="20"/>
          <w:szCs w:val="20"/>
        </w:rPr>
        <w:sectPr>
          <w:pgSz w:h="15840" w:w="12240" w:orient="portrait"/>
          <w:pgMar w:bottom="0" w:top="580" w:left="1020" w:right="1580" w:header="360" w:footer="360"/>
          <w:pgNumType w:start="1"/>
        </w:sectPr>
      </w:pPr>
      <w:r w:rsidDel="00000000" w:rsidR="00000000" w:rsidRPr="00000000">
        <w:rPr>
          <w:rFonts w:ascii="Arial" w:cs="Arial" w:eastAsia="Arial" w:hAnsi="Arial"/>
          <w:b w:val="1"/>
          <w:sz w:val="20"/>
          <w:szCs w:val="20"/>
          <w:rtl w:val="0"/>
        </w:rPr>
        <w:t xml:space="preserve">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248" w:right="10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“Oficio de Atención a Solicitud 00655 ZINACANT- 2023.pdf”: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signado por la Directora de Administración, quien medularmente refiere que no es posible atender el requerimiento de información por ahora, ya que los informes trimestrales de las entidades fiscalizables estatales y municipales, se deberán realizar conforme a los Lineamientos aplicables en la materia, así como en la fecha programada para su entrega, siendo ésta el 11 de agosto de este año.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8" w:right="102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anterior, de conformidad con el Acuerdo 08/2023, por el que se emite la Calendarización para la Entrega del Segundo Informe Trimestral de las Entidades Fiscalizables del Estado de México, del Ejercicio Fiscal 2023, por parte del Órgano Superior de Fiscalización del Estado de México.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conocida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interpuso el medio de impugnación citado al rubro, manifestado como motivo de inconformidad, lo siguiente: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1"/>
        <w:numPr>
          <w:ilvl w:val="1"/>
          <w:numId w:val="2"/>
        </w:numPr>
        <w:tabs>
          <w:tab w:val="left" w:leader="none" w:pos="1509"/>
        </w:tabs>
        <w:spacing w:after="0" w:before="0" w:line="240" w:lineRule="auto"/>
        <w:ind w:left="1508" w:right="0" w:hanging="260.99999999999994"/>
        <w:jc w:val="both"/>
        <w:rPr/>
      </w:pPr>
      <w:r w:rsidDel="00000000" w:rsidR="00000000" w:rsidRPr="00000000">
        <w:rPr>
          <w:rtl w:val="0"/>
        </w:rPr>
        <w:t xml:space="preserve">Acto impugnado: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Rule="auto"/>
        <w:ind w:left="1248" w:right="0" w:firstLine="0"/>
        <w:jc w:val="both"/>
        <w:rPr>
          <w:i w:val="1"/>
          <w:sz w:val="22"/>
          <w:szCs w:val="22"/>
        </w:rPr>
      </w:pPr>
      <w:r w:rsidDel="00000000" w:rsidR="00000000" w:rsidRPr="00000000">
        <w:rPr>
          <w:i w:val="1"/>
          <w:sz w:val="22"/>
          <w:szCs w:val="22"/>
          <w:rtl w:val="0"/>
        </w:rPr>
        <w:t xml:space="preserve">“la respuesta” (Sic)</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numPr>
          <w:ilvl w:val="1"/>
          <w:numId w:val="2"/>
        </w:numPr>
        <w:tabs>
          <w:tab w:val="left" w:leader="none" w:pos="1535"/>
        </w:tabs>
        <w:spacing w:after="0" w:before="0" w:line="240" w:lineRule="auto"/>
        <w:ind w:left="1534" w:right="0" w:hanging="287"/>
        <w:jc w:val="both"/>
        <w:rPr>
          <w:b w:val="0"/>
        </w:rPr>
      </w:pPr>
      <w:r w:rsidDel="00000000" w:rsidR="00000000" w:rsidRPr="00000000">
        <w:rPr>
          <w:rtl w:val="0"/>
        </w:rPr>
        <w:t xml:space="preserve">Razones o motivos de inconformidad</w:t>
      </w:r>
      <w:r w:rsidDel="00000000" w:rsidR="00000000" w:rsidRPr="00000000">
        <w:rPr>
          <w:b w:val="0"/>
          <w:rtl w:val="0"/>
        </w:rPr>
        <w:t xml:space="preserve">:</w:t>
      </w:r>
    </w:p>
    <w:p w:rsidR="00000000" w:rsidDel="00000000" w:rsidP="00000000" w:rsidRDefault="00000000" w:rsidRPr="00000000" w14:paraId="00000028">
      <w:pPr>
        <w:spacing w:before="163" w:lineRule="auto"/>
        <w:ind w:left="1248" w:right="0" w:firstLine="0"/>
        <w:jc w:val="both"/>
        <w:rPr>
          <w:i w:val="1"/>
          <w:sz w:val="22"/>
          <w:szCs w:val="22"/>
        </w:rPr>
      </w:pPr>
      <w:r w:rsidDel="00000000" w:rsidR="00000000" w:rsidRPr="00000000">
        <w:rPr>
          <w:i w:val="1"/>
          <w:sz w:val="22"/>
          <w:szCs w:val="22"/>
          <w:rtl w:val="0"/>
        </w:rPr>
        <w:t xml:space="preserve">“NO ATIENDEN MI SOLICITUD” (Sic)</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interpuesto el recurso de revisión, de las constancias que obran en el expediente en el SAIMEX, se advierte que las partes fueron omisas en remitir sus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informes justificados o manifestaciones en el tiempo procesal establecido para tal efecto, por lo que se tuvo por precluido su derecho y se procedió a la emisión de la resolución.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1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la suscrita Comisionada Ponente consideró que los motivos de inconformidad aducidos por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determinó revocar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ordenando lo siguiente: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9">
      <w:pPr>
        <w:spacing w:before="1" w:line="276" w:lineRule="auto"/>
        <w:ind w:left="1248" w:right="1106" w:firstLine="0"/>
        <w:jc w:val="both"/>
        <w:rPr>
          <w:i w:val="1"/>
          <w:sz w:val="22"/>
          <w:szCs w:val="22"/>
        </w:rPr>
      </w:pPr>
      <w:r w:rsidDel="00000000" w:rsidR="00000000" w:rsidRPr="00000000">
        <w:rPr>
          <w:i w:val="1"/>
          <w:sz w:val="22"/>
          <w:szCs w:val="22"/>
          <w:rtl w:val="0"/>
        </w:rPr>
        <w:t xml:space="preserve">“Primero. Resultan fundadas las razones o motivos de inconformidad hechos valer por la parte Recurrente en el recurso de revisión 05624/INFOEM/IP/RR/2023; por lo que, en términos del Considerando Cuarto de esta resolución, se REVOCA la respuesta emitida por el Sujeto Obligado.</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B">
      <w:pPr>
        <w:spacing w:before="0" w:line="276" w:lineRule="auto"/>
        <w:ind w:left="1248" w:right="1107" w:firstLine="0"/>
        <w:jc w:val="both"/>
        <w:rPr>
          <w:i w:val="1"/>
          <w:sz w:val="22"/>
          <w:szCs w:val="22"/>
        </w:rPr>
      </w:pPr>
      <w:r w:rsidDel="00000000" w:rsidR="00000000" w:rsidRPr="00000000">
        <w:rPr>
          <w:i w:val="1"/>
          <w:sz w:val="22"/>
          <w:szCs w:val="22"/>
          <w:rtl w:val="0"/>
        </w:rPr>
        <w:t xml:space="preserve">Segundo. Se Ordena al Sujeto Obligado haga entrega, en versión pública a la parte Recurrente, vía SAIMEX, en términos de los Considerandos Cuarto y Quinto de la presente resolución, lo siguiente: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D">
      <w:pPr>
        <w:spacing w:before="0" w:line="276" w:lineRule="auto"/>
        <w:ind w:left="1248" w:right="1111" w:firstLine="0"/>
        <w:jc w:val="both"/>
        <w:rPr>
          <w:i w:val="1"/>
          <w:sz w:val="22"/>
          <w:szCs w:val="22"/>
        </w:rPr>
      </w:pPr>
      <w:r w:rsidDel="00000000" w:rsidR="00000000" w:rsidRPr="00000000">
        <w:rPr>
          <w:i w:val="1"/>
          <w:sz w:val="22"/>
          <w:szCs w:val="22"/>
          <w:rtl w:val="0"/>
        </w:rPr>
        <w:t xml:space="preserve">-Conciliación de nómina del Ayuntamiento de Zinacantepec, correspondiente al mes de junio de 2023.</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F">
      <w:pPr>
        <w:spacing w:before="0" w:line="276" w:lineRule="auto"/>
        <w:ind w:left="1248" w:right="1108" w:firstLine="0"/>
        <w:jc w:val="both"/>
        <w:rPr>
          <w:i w:val="1"/>
          <w:sz w:val="22"/>
          <w:szCs w:val="22"/>
        </w:rPr>
      </w:pPr>
      <w:r w:rsidDel="00000000" w:rsidR="00000000" w:rsidRPr="00000000">
        <w:rPr>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1">
      <w:pPr>
        <w:spacing w:before="0" w:lineRule="auto"/>
        <w:ind w:left="1248" w:right="0" w:firstLine="0"/>
        <w:jc w:val="left"/>
        <w:rPr>
          <w:i w:val="1"/>
          <w:sz w:val="22"/>
          <w:szCs w:val="22"/>
        </w:rPr>
      </w:pPr>
      <w:r w:rsidDel="00000000" w:rsidR="00000000" w:rsidRPr="00000000">
        <w:rPr>
          <w:b w:val="1"/>
          <w:i w:val="1"/>
          <w:sz w:val="22"/>
          <w:szCs w:val="22"/>
          <w:rtl w:val="0"/>
        </w:rPr>
        <w:t xml:space="preserve">…</w:t>
      </w:r>
      <w:r w:rsidDel="00000000" w:rsidR="00000000" w:rsidRPr="00000000">
        <w:rPr>
          <w:i w:val="1"/>
          <w:sz w:val="22"/>
          <w:szCs w:val="22"/>
          <w:rtl w:val="0"/>
        </w:rPr>
        <w:t xml:space="preserv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numPr>
          <w:ilvl w:val="0"/>
          <w:numId w:val="2"/>
        </w:numPr>
        <w:tabs>
          <w:tab w:val="left" w:leader="none" w:pos="1402"/>
        </w:tabs>
        <w:spacing w:after="0" w:before="0" w:line="240" w:lineRule="auto"/>
        <w:ind w:left="1402" w:right="0" w:hanging="437"/>
        <w:jc w:val="left"/>
        <w:rPr/>
      </w:pPr>
      <w:r w:rsidDel="00000000" w:rsidR="00000000" w:rsidRPr="00000000">
        <w:rPr>
          <w:rtl w:val="0"/>
        </w:rPr>
        <w:t xml:space="preserve">Razones del Voto Particular.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orden de ideas, 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6">
      <w:pPr>
        <w:spacing w:before="0" w:line="360" w:lineRule="auto"/>
        <w:ind w:left="682" w:right="115"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7">
      <w:pPr>
        <w:spacing w:before="1" w:lineRule="auto"/>
        <w:ind w:left="1534" w:right="1019"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78">
      <w:pPr>
        <w:spacing w:before="2"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79">
      <w:pPr>
        <w:spacing w:before="0" w:lineRule="auto"/>
        <w:ind w:left="1534" w:right="1019" w:firstLine="0"/>
        <w:jc w:val="both"/>
        <w:rPr>
          <w:b w:val="1"/>
          <w:i w:val="1"/>
          <w:sz w:val="22"/>
          <w:szCs w:val="22"/>
        </w:rPr>
      </w:pPr>
      <w:r w:rsidDel="00000000" w:rsidR="00000000" w:rsidRPr="00000000">
        <w:rPr>
          <w:b w:val="1"/>
          <w:i w:val="1"/>
          <w:sz w:val="22"/>
          <w:szCs w:val="22"/>
          <w:u w:val="single"/>
          <w:rtl w:val="0"/>
        </w:rPr>
        <w:t xml:space="preserve">II. Aquella cuya revelación pueda ser utilizada para actualizar o</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potenciar una amenaza a la seguridad pública o a las instituciones del</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Estado de México ;</w:t>
      </w:r>
      <w:r w:rsidDel="00000000" w:rsidR="00000000" w:rsidRPr="00000000">
        <w:rPr>
          <w:b w:val="1"/>
          <w:i w:val="1"/>
          <w:sz w:val="22"/>
          <w:szCs w:val="22"/>
          <w:rtl w:val="0"/>
        </w:rPr>
        <w:t xml:space="preserv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spacing w:before="0" w:lineRule="auto"/>
        <w:ind w:left="1534" w:right="0" w:firstLine="0"/>
        <w:jc w:val="left"/>
        <w:rPr>
          <w:b w:val="1"/>
          <w:sz w:val="22"/>
          <w:szCs w:val="22"/>
        </w:rPr>
      </w:pPr>
      <w:r w:rsidDel="00000000" w:rsidR="00000000" w:rsidRPr="00000000">
        <w:rPr>
          <w:b w:val="1"/>
          <w:sz w:val="22"/>
          <w:szCs w:val="22"/>
          <w:rtl w:val="0"/>
        </w:rPr>
        <w:t xml:space="preserve">“Ley General de Transparencia y Acceso a la Información Pública: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spacing w:before="0" w:line="276" w:lineRule="auto"/>
        <w:ind w:left="1248" w:right="758" w:firstLine="0"/>
        <w:jc w:val="left"/>
        <w:rPr>
          <w:i w:val="1"/>
          <w:sz w:val="22"/>
          <w:szCs w:val="22"/>
        </w:rPr>
      </w:pPr>
      <w:r w:rsidDel="00000000" w:rsidR="00000000" w:rsidRPr="00000000">
        <w:rPr>
          <w:b w:val="1"/>
          <w:i w:val="1"/>
          <w:sz w:val="22"/>
          <w:szCs w:val="22"/>
          <w:rtl w:val="0"/>
        </w:rPr>
        <w:t xml:space="preserve">Artículo 113</w:t>
      </w:r>
      <w:r w:rsidDel="00000000" w:rsidR="00000000" w:rsidRPr="00000000">
        <w:rPr>
          <w:i w:val="1"/>
          <w:sz w:val="22"/>
          <w:szCs w:val="22"/>
          <w:rtl w:val="0"/>
        </w:rPr>
        <w:t xml:space="preserve">. Como información reservada podrá clasificarse aquella cuya publicación:</w:t>
      </w:r>
    </w:p>
    <w:p w:rsidR="00000000" w:rsidDel="00000000" w:rsidP="00000000" w:rsidRDefault="00000000" w:rsidRPr="00000000" w14:paraId="00000080">
      <w:pPr>
        <w:spacing w:before="121" w:line="273" w:lineRule="auto"/>
        <w:ind w:left="1248" w:right="758" w:firstLine="0"/>
        <w:jc w:val="left"/>
        <w:rPr>
          <w:i w:val="1"/>
          <w:sz w:val="22"/>
          <w:szCs w:val="22"/>
        </w:rPr>
      </w:pPr>
      <w:r w:rsidDel="00000000" w:rsidR="00000000" w:rsidRPr="00000000">
        <w:rPr>
          <w:b w:val="1"/>
          <w:i w:val="1"/>
          <w:sz w:val="22"/>
          <w:szCs w:val="22"/>
          <w:rtl w:val="0"/>
        </w:rPr>
        <w:t xml:space="preserve">I. Comprometa la seguridad nacional, la seguridad pública o la defensa nacional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81">
      <w:pPr>
        <w:spacing w:before="126" w:line="276" w:lineRule="auto"/>
        <w:ind w:left="1248" w:right="758" w:firstLine="0"/>
        <w:jc w:val="left"/>
        <w:rPr>
          <w:b w:val="1"/>
          <w:sz w:val="22"/>
          <w:szCs w:val="22"/>
        </w:rPr>
      </w:pPr>
      <w:r w:rsidDel="00000000" w:rsidR="00000000" w:rsidRPr="00000000">
        <w:rPr>
          <w:b w:val="1"/>
          <w:sz w:val="22"/>
          <w:szCs w:val="22"/>
          <w:rtl w:val="0"/>
        </w:rPr>
        <w:t xml:space="preserve">“Ley de Transparencia y Acceso a la Información Pública del Estado de México y Municipios: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2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0">
      <w:pPr>
        <w:spacing w:before="31" w:line="276" w:lineRule="auto"/>
        <w:ind w:left="1248" w:right="1018" w:firstLine="0"/>
        <w:jc w:val="both"/>
        <w:rPr>
          <w:i w:val="1"/>
          <w:sz w:val="22"/>
          <w:szCs w:val="22"/>
        </w:rPr>
      </w:pPr>
      <w:r w:rsidDel="00000000" w:rsidR="00000000" w:rsidRPr="00000000">
        <w:rPr>
          <w:b w:val="1"/>
          <w:i w:val="1"/>
          <w:sz w:val="22"/>
          <w:szCs w:val="22"/>
          <w:rtl w:val="0"/>
        </w:rPr>
        <w:t xml:space="preserve">Artículo 140</w:t>
      </w:r>
      <w:r w:rsidDel="00000000" w:rsidR="00000000" w:rsidRPr="00000000">
        <w:rPr>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1">
      <w:pPr>
        <w:spacing w:before="123" w:line="273" w:lineRule="auto"/>
        <w:ind w:left="1248" w:right="1017" w:firstLine="0"/>
        <w:jc w:val="both"/>
        <w:rPr>
          <w:i w:val="1"/>
          <w:sz w:val="22"/>
          <w:szCs w:val="22"/>
        </w:rPr>
      </w:pPr>
      <w:r w:rsidDel="00000000" w:rsidR="00000000" w:rsidRPr="00000000">
        <w:rPr>
          <w:b w:val="1"/>
          <w:i w:val="1"/>
          <w:sz w:val="22"/>
          <w:szCs w:val="22"/>
          <w:rtl w:val="0"/>
        </w:rPr>
        <w:t xml:space="preserve">I. Comprometa la seguridad pública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5">
      <w:pPr>
        <w:spacing w:before="0" w:line="360" w:lineRule="auto"/>
        <w:ind w:left="682" w:right="119"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considerarse como reservada aquella que revele datos que pudieran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aprovechados para conocer la capacidad de reacción de las instituciones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encargadas de la seguridad 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8"/>
        </w:tabs>
        <w:spacing w:after="0" w:before="0" w:line="360" w:lineRule="auto"/>
        <w:ind w:left="965"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61"/>
        </w:tabs>
        <w:spacing w:after="0" w:before="0" w:line="360" w:lineRule="auto"/>
        <w:ind w:left="1248" w:right="11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22"/>
        </w:tabs>
        <w:spacing w:after="0" w:before="0" w:line="360" w:lineRule="auto"/>
        <w:ind w:left="1248"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6"/>
        </w:tabs>
        <w:spacing w:after="0" w:before="24" w:line="360" w:lineRule="auto"/>
        <w:ind w:left="965"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25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1"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2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0.05pt;margin-top:-0.05pt;width:484.85pt;height:756.3pt;mso-position-horizontal-relative:margin;mso-position-vertical-relative:text;z-index:-16008192;mso-position-horizontal:absolute;mso-position-vertical:absolute;" coordsize="9697,15126" coordorigin="1666,571">
            <v:shape style="position:absolute;left:1665;top:570;width:9697;height:15126" stroked="false" type="#_x0000_t75">
              <v:imagedata r:id="rId1" o:title=""/>
            </v:shape>
            <v:shape style="position:absolute;left:1701;top:2688;width:8787;height:8588" stroked="false" type="#_x0000_t75">
              <v:imagedata r:id="rId2" o:title=""/>
            </v:shape>
          </v:group>
        </w:pict>
      </w:r>
      <w:r w:rsidDel="00000000" w:rsidR="00000000" w:rsidRPr="00000000"/>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5.15pt;margin-top:-0.05pt;width:490.05pt;height:756.3pt;mso-position-horizontal-relative:margin;mso-position-vertical-relative:text;z-index:-16007168;mso-position-horizontal:absolute;mso-position-vertical:absolute;" coordsize="9801,15126" coordorigin="1562,571">
            <v:shape style="position:absolute;left:1665;top:570;width:9697;height:15126" stroked="false" type="#_x0000_t75">
              <v:imagedata r:id="rId3" o:title=""/>
            </v:shape>
            <v:shape style="position:absolute;left:1562;top:2239;width:8777;height:11132" stroked="false" type="#_x0000_t75">
              <v:imagedata r:id="rId4" o:title=""/>
            </v:shape>
          </v:group>
        </w:pict>
      </w:r>
      <w:r w:rsidDel="00000000" w:rsidR="00000000" w:rsidRPr="00000000"/>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1057839</wp:posOffset>
            </wp:positionH>
            <wp:positionV relativeFrom="page">
              <wp:posOffset>362380</wp:posOffset>
            </wp:positionV>
            <wp:extent cx="6157407" cy="9604578"/>
            <wp:effectExtent b="0" l="0" r="0" t="0"/>
            <wp:wrapNone/>
            <wp:docPr id="3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7407"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05624/INFOEM/IP/RR/2023</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A">
      <w:pPr>
        <w:spacing w:before="24" w:line="360" w:lineRule="auto"/>
        <w:ind w:left="682" w:right="256" w:firstLine="0"/>
        <w:jc w:val="both"/>
        <w:rPr>
          <w:sz w:val="24"/>
          <w:szCs w:val="24"/>
        </w:rPr>
      </w:pPr>
      <w:r w:rsidDel="00000000" w:rsidR="00000000" w:rsidRPr="00000000">
        <w:rPr>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b w:val="1"/>
          <w:sz w:val="24"/>
          <w:szCs w:val="24"/>
          <w:u w:val="single"/>
          <w:rtl w:val="0"/>
        </w:rPr>
        <w:t xml:space="preserve">facilitaría a las células delictivas el neutralizar las acciones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implementadas o por implementar para la preservación de la paz pública,</w:t>
      </w:r>
      <w:r w:rsidDel="00000000" w:rsidR="00000000" w:rsidRPr="00000000">
        <w:rPr>
          <w:b w:val="1"/>
          <w:sz w:val="24"/>
          <w:szCs w:val="24"/>
          <w:rtl w:val="0"/>
        </w:rPr>
        <w:t xml:space="preserve"> </w:t>
      </w:r>
      <w:r w:rsidDel="00000000" w:rsidR="00000000" w:rsidRPr="00000000">
        <w:rPr>
          <w:b w:val="1"/>
          <w:sz w:val="24"/>
          <w:szCs w:val="24"/>
          <w:u w:val="single"/>
          <w:rtl w:val="0"/>
        </w:rPr>
        <w:t xml:space="preserve">afectando así su estado de fuerza, o bien les permita</w:t>
      </w:r>
      <w:r w:rsidDel="00000000" w:rsidR="00000000" w:rsidRPr="00000000">
        <w:rPr>
          <w:b w:val="1"/>
          <w:sz w:val="24"/>
          <w:szCs w:val="24"/>
          <w:rtl w:val="0"/>
        </w:rPr>
        <w:t xml:space="preserve"> </w:t>
      </w:r>
      <w:r w:rsidDel="00000000" w:rsidR="00000000" w:rsidRPr="00000000">
        <w:rPr>
          <w:sz w:val="24"/>
          <w:szCs w:val="24"/>
          <w:rtl w:val="0"/>
        </w:rPr>
        <w:t xml:space="preserve">realizar actos para amenazar,</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25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26"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045199" y="0"/>
                              <a:ext cx="929639" cy="135255"/>
                            </a:xfrm>
                            <a:custGeom>
                              <a:rect b="b" l="l" r="r" t="t"/>
                              <a:pathLst>
                                <a:path extrusionOk="0" h="135255" w="929639">
                                  <a:moveTo>
                                    <a:pt x="0" y="0"/>
                                  </a:moveTo>
                                  <a:lnTo>
                                    <a:pt x="0" y="135255"/>
                                  </a:lnTo>
                                  <a:lnTo>
                                    <a:pt x="929639" y="135255"/>
                                  </a:lnTo>
                                  <a:lnTo>
                                    <a:pt x="929639" y="0"/>
                                  </a:lnTo>
                                  <a:close/>
                                </a:path>
                              </a:pathLst>
                            </a:custGeom>
                            <a:solidFill>
                              <a:srgbClr val="FFFFFF"/>
                            </a:solid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14 de 14</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2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3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486757" cy="700944"/>
                    </a:xfrm>
                    <a:prstGeom prst="rect"/>
                    <a:ln/>
                  </pic:spPr>
                </pic:pic>
              </a:graphicData>
            </a:graphic>
          </wp:inline>
        </w:drawing>
      </w:r>
      <w:r w:rsidDel="00000000" w:rsidR="00000000" w:rsidRPr="00000000">
        <w:rPr>
          <w:rtl w:val="0"/>
        </w:rPr>
      </w:r>
      <w:r w:rsidDel="00000000" w:rsidR="00000000" w:rsidRPr="00000000"/>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spacing w:before="42"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5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65" w:hanging="293"/>
      </w:pPr>
      <w:rPr>
        <w:rFonts w:ascii="Palatino Linotype" w:cs="Palatino Linotype" w:eastAsia="Palatino Linotype" w:hAnsi="Palatino Linotype"/>
        <w:sz w:val="24"/>
        <w:szCs w:val="24"/>
      </w:rPr>
    </w:lvl>
    <w:lvl w:ilvl="1">
      <w:start w:val="1"/>
      <w:numFmt w:val="lowerLetter"/>
      <w:lvlText w:val="%2)"/>
      <w:lvlJc w:val="left"/>
      <w:pPr>
        <w:ind w:left="1248" w:hanging="312"/>
      </w:pPr>
      <w:rPr>
        <w:rFonts w:ascii="Palatino Linotype" w:cs="Palatino Linotype" w:eastAsia="Palatino Linotype" w:hAnsi="Palatino Linotype"/>
        <w:sz w:val="24"/>
        <w:szCs w:val="24"/>
      </w:rPr>
    </w:lvl>
    <w:lvl w:ilvl="2">
      <w:start w:val="0"/>
      <w:numFmt w:val="bullet"/>
      <w:lvlText w:val="•"/>
      <w:lvlJc w:val="left"/>
      <w:pPr>
        <w:ind w:left="2173" w:hanging="311.9999999999998"/>
      </w:pPr>
      <w:rPr/>
    </w:lvl>
    <w:lvl w:ilvl="3">
      <w:start w:val="0"/>
      <w:numFmt w:val="bullet"/>
      <w:lvlText w:val="•"/>
      <w:lvlJc w:val="left"/>
      <w:pPr>
        <w:ind w:left="3106" w:hanging="311.99999999999955"/>
      </w:pPr>
      <w:rPr/>
    </w:lvl>
    <w:lvl w:ilvl="4">
      <w:start w:val="0"/>
      <w:numFmt w:val="bullet"/>
      <w:lvlText w:val="•"/>
      <w:lvlJc w:val="left"/>
      <w:pPr>
        <w:ind w:left="4040" w:hanging="312"/>
      </w:pPr>
      <w:rPr/>
    </w:lvl>
    <w:lvl w:ilvl="5">
      <w:start w:val="0"/>
      <w:numFmt w:val="bullet"/>
      <w:lvlText w:val="•"/>
      <w:lvlJc w:val="left"/>
      <w:pPr>
        <w:ind w:left="4973" w:hanging="312"/>
      </w:pPr>
      <w:rPr/>
    </w:lvl>
    <w:lvl w:ilvl="6">
      <w:start w:val="0"/>
      <w:numFmt w:val="bullet"/>
      <w:lvlText w:val="•"/>
      <w:lvlJc w:val="left"/>
      <w:pPr>
        <w:ind w:left="5906" w:hanging="312"/>
      </w:pPr>
      <w:rPr/>
    </w:lvl>
    <w:lvl w:ilvl="7">
      <w:start w:val="0"/>
      <w:numFmt w:val="bullet"/>
      <w:lvlText w:val="•"/>
      <w:lvlJc w:val="left"/>
      <w:pPr>
        <w:ind w:left="6840" w:hanging="312"/>
      </w:pPr>
      <w:rPr/>
    </w:lvl>
    <w:lvl w:ilvl="8">
      <w:start w:val="0"/>
      <w:numFmt w:val="bullet"/>
      <w:lvlText w:val="•"/>
      <w:lvlJc w:val="left"/>
      <w:pPr>
        <w:ind w:left="7773" w:hanging="312.0000000000009"/>
      </w:pPr>
      <w:rPr/>
    </w:lvl>
  </w:abstractNum>
  <w:abstractNum w:abstractNumId="2">
    <w:lvl w:ilvl="0">
      <w:start w:val="1"/>
      <w:numFmt w:val="upperRoman"/>
      <w:lvlText w:val="%1."/>
      <w:lvlJc w:val="left"/>
      <w:pPr>
        <w:ind w:left="823" w:hanging="284"/>
      </w:pPr>
      <w:rPr>
        <w:rFonts w:ascii="Palatino Linotype" w:cs="Palatino Linotype" w:eastAsia="Palatino Linotype" w:hAnsi="Palatino Linotype"/>
        <w:b w:val="1"/>
        <w:sz w:val="24"/>
        <w:szCs w:val="24"/>
      </w:rPr>
    </w:lvl>
    <w:lvl w:ilvl="1">
      <w:start w:val="1"/>
      <w:numFmt w:val="lowerLetter"/>
      <w:lvlText w:val="%2)"/>
      <w:lvlJc w:val="left"/>
      <w:pPr>
        <w:ind w:left="1508" w:hanging="260"/>
      </w:pPr>
      <w:rPr>
        <w:rFonts w:ascii="Palatino Linotype" w:cs="Palatino Linotype" w:eastAsia="Palatino Linotype" w:hAnsi="Palatino Linotype"/>
        <w:b w:val="1"/>
        <w:sz w:val="24"/>
        <w:szCs w:val="24"/>
      </w:rPr>
    </w:lvl>
    <w:lvl w:ilvl="2">
      <w:start w:val="2"/>
      <w:numFmt w:val="decimal"/>
      <w:lvlText w:val="%3"/>
      <w:lvlJc w:val="left"/>
      <w:pPr>
        <w:ind w:left="9018" w:hanging="166"/>
      </w:pPr>
      <w:rPr>
        <w:rFonts w:ascii="Arial" w:cs="Arial" w:eastAsia="Arial" w:hAnsi="Arial"/>
        <w:b w:val="1"/>
        <w:sz w:val="20"/>
        <w:szCs w:val="20"/>
      </w:rPr>
    </w:lvl>
    <w:lvl w:ilvl="3">
      <w:start w:val="0"/>
      <w:numFmt w:val="bullet"/>
      <w:lvlText w:val="•"/>
      <w:lvlJc w:val="left"/>
      <w:pPr>
        <w:ind w:left="9097" w:hanging="166"/>
      </w:pPr>
      <w:rPr/>
    </w:lvl>
    <w:lvl w:ilvl="4">
      <w:start w:val="0"/>
      <w:numFmt w:val="bullet"/>
      <w:lvlText w:val="•"/>
      <w:lvlJc w:val="left"/>
      <w:pPr>
        <w:ind w:left="9175" w:hanging="166"/>
      </w:pPr>
      <w:rPr/>
    </w:lvl>
    <w:lvl w:ilvl="5">
      <w:start w:val="0"/>
      <w:numFmt w:val="bullet"/>
      <w:lvlText w:val="•"/>
      <w:lvlJc w:val="left"/>
      <w:pPr>
        <w:ind w:left="9252" w:hanging="166"/>
      </w:pPr>
      <w:rPr/>
    </w:lvl>
    <w:lvl w:ilvl="6">
      <w:start w:val="0"/>
      <w:numFmt w:val="bullet"/>
      <w:lvlText w:val="•"/>
      <w:lvlJc w:val="left"/>
      <w:pPr>
        <w:ind w:left="9330" w:hanging="166"/>
      </w:pPr>
      <w:rPr/>
    </w:lvl>
    <w:lvl w:ilvl="7">
      <w:start w:val="0"/>
      <w:numFmt w:val="bullet"/>
      <w:lvlText w:val="•"/>
      <w:lvlJc w:val="left"/>
      <w:pPr>
        <w:ind w:left="9407" w:hanging="166"/>
      </w:pPr>
      <w:rPr/>
    </w:lvl>
    <w:lvl w:ilvl="8">
      <w:start w:val="0"/>
      <w:numFmt w:val="bullet"/>
      <w:lvlText w:val="•"/>
      <w:lvlJc w:val="left"/>
      <w:pPr>
        <w:ind w:left="9485" w:hanging="166"/>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82" w:hanging="437"/>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682" w:hanging="437"/>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ind w:left="9018" w:right="120" w:hanging="9019"/>
      <w:jc w:val="right"/>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1.jpg"/><Relationship Id="rId4" Type="http://schemas.openxmlformats.org/officeDocument/2006/relationships/image" Target="media/image4.jpg"/><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m2EHYkEDBJvHYAMKHBeVIJodg==">CgMxLjA4AHIhMVJ3NE9odUNpSlVKRkQ0dHZIbEdqSXloeG5mUkp5RFVy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2024-08-30T00:10:53Z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Microsoft® Word 2013</vt:lpwstr>
  </property>
  <property fmtid="{D5CDD505-2E9C-101B-9397-08002B2CF9AE}" pid="4" name="LastSaved">
    <vt:filetime>2024-08-30T00:00:00Z</vt:filetime>
  </property>
</Properties>
</file>