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B6FA5" w14:textId="794319F7" w:rsidR="005527AD" w:rsidRDefault="005527AD" w:rsidP="005527AD">
      <w:pPr>
        <w:spacing w:after="0" w:line="360" w:lineRule="auto"/>
        <w:ind w:right="49"/>
        <w:jc w:val="both"/>
        <w:rPr>
          <w:rFonts w:ascii="Palatino Linotype" w:eastAsia="Times New Roman" w:hAnsi="Palatino Linotype" w:cs="Arial"/>
          <w:b/>
          <w:color w:val="000000" w:themeColor="text1"/>
        </w:rPr>
      </w:pPr>
      <w:r w:rsidRPr="00807C88">
        <w:rPr>
          <w:rFonts w:ascii="Palatino Linotype" w:hAnsi="Palatino Linotype" w:cs="Tahoma"/>
          <w:b/>
        </w:rPr>
        <w:t xml:space="preserve">VOTO </w:t>
      </w:r>
      <w:r w:rsidR="004D466D">
        <w:rPr>
          <w:rFonts w:ascii="Palatino Linotype" w:hAnsi="Palatino Linotype" w:cs="Tahoma"/>
          <w:b/>
        </w:rPr>
        <w:t>PARTICULAR</w:t>
      </w:r>
      <w:r w:rsidRPr="00807C88">
        <w:rPr>
          <w:rFonts w:ascii="Palatino Linotype" w:hAnsi="Palatino Linotype" w:cs="Tahoma"/>
          <w:b/>
        </w:rPr>
        <w:t xml:space="preserve"> QUE FORMULA EL COMISIONADO LUIS GUSTAVO PARRA NORIEGA, A LA RESO</w:t>
      </w:r>
      <w:r w:rsidR="00201767">
        <w:rPr>
          <w:rFonts w:ascii="Palatino Linotype" w:hAnsi="Palatino Linotype" w:cs="Tahoma"/>
          <w:b/>
        </w:rPr>
        <w:t>L</w:t>
      </w:r>
      <w:r w:rsidRPr="00807C88">
        <w:rPr>
          <w:rFonts w:ascii="Palatino Linotype" w:hAnsi="Palatino Linotype" w:cs="Tahoma"/>
          <w:b/>
        </w:rPr>
        <w:t xml:space="preserve">UCIÓN DEL RECURSO DE REVISIÓN </w:t>
      </w:r>
      <w:r w:rsidR="004D466D" w:rsidRPr="004D466D">
        <w:rPr>
          <w:rFonts w:ascii="Palatino Linotype" w:hAnsi="Palatino Linotype" w:cs="Arial"/>
          <w:b/>
          <w:lang w:val="es-MX"/>
        </w:rPr>
        <w:t>03040/INFOEM/IP/RR/2023 Y ACUMULADOS</w:t>
      </w:r>
      <w:r w:rsidRPr="00807C88">
        <w:rPr>
          <w:rFonts w:ascii="Palatino Linotype" w:hAnsi="Palatino Linotype" w:cs="Tahoma"/>
          <w:b/>
        </w:rPr>
        <w:t>, PROMOVIDO EN CONTRA DE</w:t>
      </w:r>
      <w:r w:rsidR="004D466D">
        <w:rPr>
          <w:rFonts w:ascii="Palatino Linotype" w:hAnsi="Palatino Linotype" w:cs="Tahoma"/>
          <w:b/>
        </w:rPr>
        <w:t>L</w:t>
      </w:r>
      <w:r w:rsidR="00FC69EF">
        <w:rPr>
          <w:rFonts w:ascii="Palatino Linotype" w:hAnsi="Palatino Linotype" w:cs="Tahoma"/>
          <w:b/>
        </w:rPr>
        <w:t xml:space="preserve"> </w:t>
      </w:r>
      <w:r w:rsidR="004D466D" w:rsidRPr="004D466D">
        <w:rPr>
          <w:rFonts w:ascii="Palatino Linotype" w:hAnsi="Palatino Linotype" w:cs="Tahoma"/>
          <w:b/>
        </w:rPr>
        <w:t>PODER LEGISLATIVO</w:t>
      </w:r>
      <w:r w:rsidR="004D466D">
        <w:rPr>
          <w:rFonts w:ascii="Palatino Linotype" w:hAnsi="Palatino Linotype" w:cs="Tahoma"/>
          <w:b/>
        </w:rPr>
        <w:t>.</w:t>
      </w:r>
    </w:p>
    <w:p w14:paraId="5656D5D8" w14:textId="77777777" w:rsidR="005527AD" w:rsidRPr="00807C88" w:rsidRDefault="005527AD" w:rsidP="005527AD">
      <w:pPr>
        <w:spacing w:after="0" w:line="360" w:lineRule="auto"/>
        <w:ind w:right="49"/>
        <w:jc w:val="both"/>
        <w:rPr>
          <w:rFonts w:ascii="Palatino Linotype" w:hAnsi="Palatino Linotype" w:cs="Tahoma"/>
        </w:rPr>
      </w:pPr>
    </w:p>
    <w:p w14:paraId="5C56B58E" w14:textId="11359F8E" w:rsidR="005527AD" w:rsidRPr="00807C88" w:rsidRDefault="005527AD" w:rsidP="005527AD">
      <w:pPr>
        <w:spacing w:after="0" w:line="360" w:lineRule="auto"/>
        <w:ind w:right="49"/>
        <w:jc w:val="both"/>
        <w:rPr>
          <w:rFonts w:ascii="Palatino Linotype" w:hAnsi="Palatino Linotype" w:cs="Tahoma"/>
          <w:b/>
        </w:rPr>
      </w:pPr>
      <w:r w:rsidRPr="00807C88">
        <w:rPr>
          <w:rFonts w:ascii="Palatino Linotype" w:hAnsi="Palatino Linotype" w:cs="Tahoma"/>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45, 48, fracción I, de los Lineamientos para el funcionamiento del Pleno y las Comisiones del Instituto de Transparencia, Acceso a la Información Pública y Protección de Datos Personales del Estado de México y Municipios, emito el presente </w:t>
      </w:r>
      <w:r w:rsidRPr="00807C88">
        <w:rPr>
          <w:rFonts w:ascii="Palatino Linotype" w:hAnsi="Palatino Linotype" w:cs="Tahoma"/>
          <w:b/>
        </w:rPr>
        <w:t xml:space="preserve">Voto </w:t>
      </w:r>
      <w:r w:rsidR="00651552">
        <w:rPr>
          <w:rFonts w:ascii="Palatino Linotype" w:hAnsi="Palatino Linotype" w:cs="Tahoma"/>
          <w:b/>
        </w:rPr>
        <w:t>Particular</w:t>
      </w:r>
      <w:r w:rsidRPr="00807C88">
        <w:rPr>
          <w:rFonts w:ascii="Palatino Linotype" w:hAnsi="Palatino Linotype" w:cs="Tahoma"/>
        </w:rPr>
        <w:t xml:space="preserve"> por no compartir </w:t>
      </w:r>
      <w:r w:rsidR="004D466D">
        <w:rPr>
          <w:rFonts w:ascii="Palatino Linotype" w:hAnsi="Palatino Linotype" w:cs="Tahoma"/>
        </w:rPr>
        <w:t xml:space="preserve">en su totalidad </w:t>
      </w:r>
      <w:r w:rsidR="004D466D" w:rsidRPr="00807C88">
        <w:rPr>
          <w:rFonts w:ascii="Palatino Linotype" w:hAnsi="Palatino Linotype" w:cs="Tahoma"/>
        </w:rPr>
        <w:t xml:space="preserve">las </w:t>
      </w:r>
      <w:r w:rsidRPr="00807C88">
        <w:rPr>
          <w:rFonts w:ascii="Palatino Linotype" w:hAnsi="Palatino Linotype" w:cs="Tahoma"/>
        </w:rPr>
        <w:t xml:space="preserve">consideraciones que sustentan la Resolución del Recurso de Revisión </w:t>
      </w:r>
      <w:r w:rsidR="004D466D" w:rsidRPr="004D466D">
        <w:rPr>
          <w:rFonts w:ascii="Palatino Linotype" w:hAnsi="Palatino Linotype" w:cs="Arial"/>
          <w:b/>
          <w:lang w:val="es-MX"/>
        </w:rPr>
        <w:t>03040/INFOEM/IP/RR/2023 y acumulados</w:t>
      </w:r>
      <w:r w:rsidR="004D466D" w:rsidRPr="00807C88">
        <w:rPr>
          <w:rFonts w:ascii="Palatino Linotype" w:hAnsi="Palatino Linotype" w:cs="Tahoma"/>
          <w:b/>
          <w:lang w:val="es-ES_tradnl"/>
        </w:rPr>
        <w:t>.</w:t>
      </w:r>
    </w:p>
    <w:p w14:paraId="057FEC9E" w14:textId="77777777" w:rsidR="005527AD" w:rsidRPr="00807C88" w:rsidRDefault="005527AD" w:rsidP="005527AD">
      <w:pPr>
        <w:spacing w:after="0" w:line="360" w:lineRule="auto"/>
        <w:ind w:right="49"/>
        <w:jc w:val="both"/>
        <w:rPr>
          <w:rFonts w:ascii="Palatino Linotype" w:hAnsi="Palatino Linotype" w:cs="Tahoma"/>
        </w:rPr>
      </w:pPr>
    </w:p>
    <w:p w14:paraId="2E0914E6" w14:textId="39A4AD73" w:rsidR="005455F4" w:rsidRDefault="005527AD" w:rsidP="005E10F4">
      <w:pPr>
        <w:spacing w:after="0" w:line="360" w:lineRule="auto"/>
        <w:ind w:right="49"/>
        <w:jc w:val="both"/>
        <w:rPr>
          <w:rFonts w:ascii="Palatino Linotype" w:eastAsiaTheme="minorEastAsia" w:hAnsi="Palatino Linotype" w:cs="Arial"/>
          <w:color w:val="000000" w:themeColor="text1"/>
          <w:szCs w:val="20"/>
          <w:lang w:val="es-ES_tradnl"/>
        </w:rPr>
      </w:pPr>
      <w:r w:rsidRPr="00807C88">
        <w:rPr>
          <w:rFonts w:ascii="Palatino Linotype" w:hAnsi="Palatino Linotype" w:cs="Tahoma"/>
        </w:rPr>
        <w:t>Como se desprende de la Resolución en comento, el Particular solicitó</w:t>
      </w:r>
      <w:r w:rsidR="008075BF">
        <w:rPr>
          <w:rFonts w:ascii="Palatino Linotype" w:hAnsi="Palatino Linotype" w:cs="Tahoma"/>
        </w:rPr>
        <w:t xml:space="preserve"> oficios enviados y firmados por diversas áreas del Órgano Superior de Fiscalización del Estado de México de</w:t>
      </w:r>
      <w:r w:rsidR="009E63C1">
        <w:rPr>
          <w:rFonts w:ascii="Palatino Linotype" w:hAnsi="Palatino Linotype" w:cs="Tahoma"/>
        </w:rPr>
        <w:t xml:space="preserve"> </w:t>
      </w:r>
      <w:r w:rsidR="008075BF" w:rsidRPr="008075BF">
        <w:rPr>
          <w:rFonts w:ascii="Palatino Linotype" w:hAnsi="Palatino Linotype" w:cs="Tahoma"/>
        </w:rPr>
        <w:t>2021</w:t>
      </w:r>
      <w:r w:rsidR="008075BF">
        <w:rPr>
          <w:rFonts w:ascii="Palatino Linotype" w:hAnsi="Palatino Linotype" w:cs="Tahoma"/>
        </w:rPr>
        <w:t>, 2022 y 2023</w:t>
      </w:r>
      <w:r w:rsidR="00CD6925">
        <w:rPr>
          <w:rFonts w:ascii="Palatino Linotype" w:hAnsi="Palatino Linotype" w:cs="Tahoma"/>
          <w:lang w:val="es-ES_tradnl"/>
        </w:rPr>
        <w:t>;</w:t>
      </w:r>
      <w:r w:rsidR="005455F4">
        <w:rPr>
          <w:rFonts w:ascii="Palatino Linotype" w:hAnsi="Palatino Linotype" w:cs="Tahoma"/>
          <w:lang w:val="es-ES_tradnl"/>
        </w:rPr>
        <w:t xml:space="preserve"> en respuesta, </w:t>
      </w:r>
      <w:r w:rsidR="0033652D">
        <w:rPr>
          <w:rFonts w:ascii="Palatino Linotype" w:hAnsi="Palatino Linotype" w:cs="Tahoma"/>
          <w:lang w:val="es-ES_tradnl"/>
        </w:rPr>
        <w:t xml:space="preserve">se hizo </w:t>
      </w:r>
      <w:r w:rsidR="008075BF">
        <w:rPr>
          <w:rFonts w:ascii="Palatino Linotype" w:hAnsi="Palatino Linotype" w:cs="Tahoma"/>
          <w:lang w:val="es-ES_tradnl"/>
        </w:rPr>
        <w:t>entrega de los oficios solicitados</w:t>
      </w:r>
      <w:r w:rsidR="008F3A23">
        <w:rPr>
          <w:rFonts w:ascii="Palatino Linotype" w:eastAsiaTheme="minorEastAsia" w:hAnsi="Palatino Linotype" w:cs="Arial"/>
          <w:color w:val="000000" w:themeColor="text1"/>
          <w:szCs w:val="20"/>
          <w:lang w:val="es-ES_tradnl"/>
        </w:rPr>
        <w:t xml:space="preserve">; ante dicha circunstancia, </w:t>
      </w:r>
      <w:r w:rsidR="00D2553E">
        <w:rPr>
          <w:rFonts w:ascii="Palatino Linotype" w:eastAsiaTheme="minorEastAsia" w:hAnsi="Palatino Linotype" w:cs="Arial"/>
          <w:color w:val="000000" w:themeColor="text1"/>
          <w:szCs w:val="20"/>
          <w:lang w:val="es-ES_tradnl"/>
        </w:rPr>
        <w:t xml:space="preserve">el Particular se inconformó </w:t>
      </w:r>
      <w:r w:rsidR="00CD6925">
        <w:rPr>
          <w:rFonts w:ascii="Palatino Linotype" w:eastAsiaTheme="minorEastAsia" w:hAnsi="Palatino Linotype" w:cs="Arial"/>
          <w:color w:val="000000" w:themeColor="text1"/>
          <w:szCs w:val="20"/>
          <w:lang w:val="es-ES_tradnl"/>
        </w:rPr>
        <w:t xml:space="preserve">al señalar </w:t>
      </w:r>
      <w:r w:rsidR="0033652D">
        <w:rPr>
          <w:rFonts w:ascii="Palatino Linotype" w:eastAsiaTheme="minorEastAsia" w:hAnsi="Palatino Linotype" w:cs="Arial"/>
          <w:color w:val="000000" w:themeColor="text1"/>
          <w:szCs w:val="20"/>
          <w:lang w:val="es-ES_tradnl"/>
        </w:rPr>
        <w:t>en sus razones o motivos de inconformidad</w:t>
      </w:r>
      <w:r w:rsidR="008075BF">
        <w:rPr>
          <w:rFonts w:ascii="Palatino Linotype" w:eastAsiaTheme="minorEastAsia" w:hAnsi="Palatino Linotype" w:cs="Arial"/>
          <w:color w:val="000000" w:themeColor="text1"/>
          <w:szCs w:val="20"/>
          <w:lang w:val="es-ES_tradnl"/>
        </w:rPr>
        <w:t xml:space="preserve"> de la respuesta incompleta, además de</w:t>
      </w:r>
      <w:r w:rsidR="0033652D">
        <w:rPr>
          <w:rFonts w:ascii="Palatino Linotype" w:eastAsiaTheme="minorEastAsia" w:hAnsi="Palatino Linotype" w:cs="Arial"/>
          <w:color w:val="000000" w:themeColor="text1"/>
          <w:szCs w:val="20"/>
          <w:lang w:val="es-ES_tradnl"/>
        </w:rPr>
        <w:t xml:space="preserve"> lo siguiente: </w:t>
      </w:r>
      <w:r w:rsidR="0033652D" w:rsidRPr="0033652D">
        <w:rPr>
          <w:rFonts w:ascii="Palatino Linotype" w:eastAsiaTheme="minorEastAsia" w:hAnsi="Palatino Linotype" w:cs="Arial"/>
          <w:i/>
          <w:color w:val="000000" w:themeColor="text1"/>
          <w:szCs w:val="20"/>
          <w:lang w:val="es-ES_tradnl"/>
        </w:rPr>
        <w:t>“</w:t>
      </w:r>
      <w:r w:rsidR="008075BF" w:rsidRPr="008075BF">
        <w:rPr>
          <w:rStyle w:val="normaltextrun"/>
          <w:rFonts w:ascii="Palatino Linotype" w:hAnsi="Palatino Linotype"/>
          <w:i/>
          <w:iCs/>
          <w:color w:val="000000"/>
          <w:bdr w:val="none" w:sz="0" w:space="0" w:color="auto" w:frame="1"/>
        </w:rPr>
        <w:t>Sin información</w:t>
      </w:r>
      <w:r w:rsidR="0033652D" w:rsidRPr="0033652D">
        <w:rPr>
          <w:rFonts w:ascii="Palatino Linotype" w:eastAsiaTheme="minorEastAsia" w:hAnsi="Palatino Linotype" w:cs="Arial"/>
          <w:i/>
          <w:color w:val="000000" w:themeColor="text1"/>
          <w:szCs w:val="20"/>
          <w:lang w:val="es-ES_tradnl"/>
        </w:rPr>
        <w:t>”</w:t>
      </w:r>
      <w:r w:rsidR="005B34A5">
        <w:rPr>
          <w:rFonts w:ascii="Palatino Linotype" w:eastAsiaTheme="minorEastAsia" w:hAnsi="Palatino Linotype" w:cs="Arial"/>
          <w:color w:val="000000" w:themeColor="text1"/>
          <w:szCs w:val="20"/>
          <w:lang w:val="es-ES_tradnl"/>
        </w:rPr>
        <w:t>.</w:t>
      </w:r>
    </w:p>
    <w:p w14:paraId="4AE6018F" w14:textId="77777777" w:rsidR="0033652D" w:rsidRDefault="0033652D" w:rsidP="005E10F4">
      <w:pPr>
        <w:spacing w:after="0" w:line="360" w:lineRule="auto"/>
        <w:ind w:right="49"/>
        <w:jc w:val="both"/>
        <w:rPr>
          <w:rFonts w:ascii="Palatino Linotype" w:eastAsiaTheme="minorEastAsia" w:hAnsi="Palatino Linotype" w:cs="Arial"/>
          <w:color w:val="000000" w:themeColor="text1"/>
          <w:szCs w:val="20"/>
          <w:lang w:val="es-ES_tradnl"/>
        </w:rPr>
      </w:pPr>
    </w:p>
    <w:p w14:paraId="1B163CF0" w14:textId="77777777" w:rsidR="009E63C1" w:rsidRDefault="00E91F1B" w:rsidP="00F3411E">
      <w:pPr>
        <w:spacing w:after="0" w:line="360" w:lineRule="auto"/>
        <w:jc w:val="both"/>
        <w:rPr>
          <w:rFonts w:ascii="Palatino Linotype" w:hAnsi="Palatino Linotype" w:cs="Tahoma"/>
        </w:rPr>
      </w:pPr>
      <w:r w:rsidRPr="00E91F1B">
        <w:rPr>
          <w:rFonts w:ascii="Palatino Linotype" w:hAnsi="Palatino Linotype" w:cs="Tahoma"/>
        </w:rPr>
        <w:t>En esta consecución de ideas, este Organismo Garante, determinó el sobreseimiento del presente medio de impugnación al determinar la improcedencia, porque el Particular no se</w:t>
      </w:r>
      <w:r w:rsidRPr="00E91F1B">
        <w:rPr>
          <w:rFonts w:ascii="Palatino Linotype" w:hAnsi="Palatino Linotype" w:cs="Tahoma"/>
          <w:lang w:val="es-ES_tradnl"/>
        </w:rPr>
        <w:t xml:space="preserve"> </w:t>
      </w:r>
      <w:r w:rsidRPr="00E91F1B">
        <w:rPr>
          <w:rFonts w:ascii="Palatino Linotype" w:hAnsi="Palatino Linotype" w:cs="Tahoma"/>
        </w:rPr>
        <w:t xml:space="preserve">inconformó a través de argumentos que permitan la procedencia en alguno de los supuestos </w:t>
      </w:r>
      <w:r w:rsidRPr="00E91F1B">
        <w:rPr>
          <w:rFonts w:ascii="Palatino Linotype" w:hAnsi="Palatino Linotype" w:cs="Tahoma"/>
        </w:rPr>
        <w:lastRenderedPageBreak/>
        <w:t>del artículo 179 de la Ley de Transparencia, vigente en el Estado de México</w:t>
      </w:r>
      <w:r w:rsidR="009E63C1">
        <w:rPr>
          <w:rFonts w:ascii="Palatino Linotype" w:hAnsi="Palatino Linotype" w:cs="Tahoma"/>
        </w:rPr>
        <w:t xml:space="preserve">; en este sentido considero de especial interés los siguientes puntos: </w:t>
      </w:r>
    </w:p>
    <w:p w14:paraId="2A0D2FB2" w14:textId="77777777" w:rsidR="009E63C1" w:rsidRDefault="009E63C1" w:rsidP="00F3411E">
      <w:pPr>
        <w:spacing w:after="0" w:line="360" w:lineRule="auto"/>
        <w:jc w:val="both"/>
        <w:rPr>
          <w:rFonts w:ascii="Palatino Linotype" w:hAnsi="Palatino Linotype" w:cs="Tahoma"/>
        </w:rPr>
      </w:pPr>
    </w:p>
    <w:p w14:paraId="6A7147F5" w14:textId="339AA057" w:rsidR="00313980" w:rsidRPr="009E63C1" w:rsidRDefault="009E63C1" w:rsidP="009E63C1">
      <w:pPr>
        <w:pStyle w:val="Prrafodelista"/>
        <w:numPr>
          <w:ilvl w:val="0"/>
          <w:numId w:val="1"/>
        </w:numPr>
        <w:spacing w:after="0" w:line="360" w:lineRule="auto"/>
        <w:jc w:val="both"/>
        <w:rPr>
          <w:rFonts w:ascii="Palatino Linotype" w:hAnsi="Palatino Linotype" w:cs="Arial"/>
          <w:b/>
        </w:rPr>
      </w:pPr>
      <w:r>
        <w:rPr>
          <w:rFonts w:ascii="Palatino Linotype" w:hAnsi="Palatino Linotype" w:cs="Arial"/>
          <w:b/>
        </w:rPr>
        <w:t>Sobreseimiento por improcedente</w:t>
      </w:r>
    </w:p>
    <w:p w14:paraId="559FA279" w14:textId="77777777" w:rsidR="009E63C1" w:rsidRPr="009E63C1" w:rsidRDefault="009E63C1" w:rsidP="009E63C1">
      <w:pPr>
        <w:pStyle w:val="Prrafodelista"/>
        <w:spacing w:after="0" w:line="360" w:lineRule="auto"/>
        <w:ind w:left="780"/>
        <w:jc w:val="both"/>
        <w:rPr>
          <w:rFonts w:ascii="Palatino Linotype" w:hAnsi="Palatino Linotype" w:cs="Arial"/>
          <w:bCs/>
        </w:rPr>
      </w:pPr>
    </w:p>
    <w:p w14:paraId="1D376396" w14:textId="79416E4F" w:rsidR="00313980" w:rsidRDefault="00313980" w:rsidP="00F3411E">
      <w:pPr>
        <w:spacing w:after="0" w:line="360" w:lineRule="auto"/>
        <w:jc w:val="both"/>
        <w:rPr>
          <w:rFonts w:ascii="Palatino Linotype" w:hAnsi="Palatino Linotype" w:cs="Arial"/>
          <w:bCs/>
        </w:rPr>
      </w:pPr>
      <w:r w:rsidRPr="00313980">
        <w:rPr>
          <w:rFonts w:ascii="Palatino Linotype" w:hAnsi="Palatino Linotype" w:cs="Arial"/>
          <w:bCs/>
        </w:rPr>
        <w:t xml:space="preserve">Al respecto, no comparto el sentido de la resolución pues considero que el Particular esgrimió argumentos suficientes para constreñir a este Organismo Garante a entrar al estudio de las constancias para determinar en su caso a través de la información que fue aportada y de su naturaleza, para lo que es necesario el estudio específico, toda vez que desde mi perspectiva, se debió haber privilegiado el derecho humano de acceso a la información del Recurrente y entrar al fondo del estudio del recurso, con el fin de determinar si la respuesta brindada por </w:t>
      </w:r>
      <w:r w:rsidR="00FC69EF">
        <w:rPr>
          <w:rFonts w:ascii="Palatino Linotype" w:hAnsi="Palatino Linotype" w:cs="Arial"/>
          <w:bCs/>
        </w:rPr>
        <w:t>la</w:t>
      </w:r>
      <w:r w:rsidRPr="00313980">
        <w:rPr>
          <w:rFonts w:ascii="Palatino Linotype" w:hAnsi="Palatino Linotype" w:cs="Arial"/>
          <w:bCs/>
        </w:rPr>
        <w:t xml:space="preserve"> </w:t>
      </w:r>
      <w:r w:rsidR="00FC69EF" w:rsidRPr="00FC69EF">
        <w:rPr>
          <w:rFonts w:ascii="Palatino Linotype" w:hAnsi="Palatino Linotype" w:cs="Arial"/>
          <w:bCs/>
        </w:rPr>
        <w:t>Comisión Estatal de Parques Naturales y de la Fauna</w:t>
      </w:r>
      <w:r w:rsidR="00FC69EF">
        <w:rPr>
          <w:rFonts w:ascii="Palatino Linotype" w:hAnsi="Palatino Linotype" w:cs="Arial"/>
          <w:bCs/>
        </w:rPr>
        <w:t xml:space="preserve"> </w:t>
      </w:r>
      <w:r w:rsidRPr="00313980">
        <w:rPr>
          <w:rFonts w:ascii="Palatino Linotype" w:hAnsi="Palatino Linotype" w:cs="Arial"/>
          <w:bCs/>
        </w:rPr>
        <w:t>daba a</w:t>
      </w:r>
      <w:r>
        <w:rPr>
          <w:rFonts w:ascii="Palatino Linotype" w:hAnsi="Palatino Linotype" w:cs="Arial"/>
          <w:bCs/>
        </w:rPr>
        <w:t>tención puntual a lo solicitado</w:t>
      </w:r>
      <w:r w:rsidRPr="00313980">
        <w:rPr>
          <w:rFonts w:ascii="Palatino Linotype" w:hAnsi="Palatino Linotype" w:cs="Arial"/>
          <w:bCs/>
        </w:rPr>
        <w:t xml:space="preserve">. </w:t>
      </w:r>
    </w:p>
    <w:p w14:paraId="6212A610" w14:textId="77777777" w:rsidR="00313980" w:rsidRDefault="00313980" w:rsidP="00F3411E">
      <w:pPr>
        <w:spacing w:after="0" w:line="360" w:lineRule="auto"/>
        <w:jc w:val="both"/>
        <w:rPr>
          <w:rFonts w:ascii="Palatino Linotype" w:hAnsi="Palatino Linotype" w:cs="Arial"/>
          <w:bCs/>
        </w:rPr>
      </w:pPr>
    </w:p>
    <w:p w14:paraId="16E273AC" w14:textId="70F42A96" w:rsidR="00313980" w:rsidRDefault="00313980" w:rsidP="00F3411E">
      <w:pPr>
        <w:spacing w:after="0" w:line="360" w:lineRule="auto"/>
        <w:jc w:val="both"/>
        <w:rPr>
          <w:rFonts w:ascii="Palatino Linotype" w:hAnsi="Palatino Linotype" w:cs="Arial"/>
          <w:bCs/>
        </w:rPr>
      </w:pPr>
      <w:r w:rsidRPr="00313980">
        <w:rPr>
          <w:rFonts w:ascii="Palatino Linotype" w:hAnsi="Palatino Linotype" w:cs="Arial"/>
          <w:bCs/>
        </w:rPr>
        <w:t>Aunado a ello, este Organismo Garante, señaló como causal de sobreseimiento, el contemplado en el artículo 192, fracción IV, que señala que el recurso será sobreseído cuando admitido el recurso de revisión aparezca una causal de improcedencia y por ello, nos remitimos al artículo 191, fracción III, que contempla que el recurso será improcedente cuando no actualice alguno de los supuestos previstos en la Ley de Transparencia, para lo que se reproducen entonces las causales de procedencia contemplado en la ley en referencia:</w:t>
      </w:r>
    </w:p>
    <w:p w14:paraId="55D429BD" w14:textId="77777777" w:rsidR="0089744B" w:rsidRPr="001F3CE2" w:rsidRDefault="0089744B" w:rsidP="00F3411E">
      <w:pPr>
        <w:spacing w:after="0" w:line="360" w:lineRule="auto"/>
        <w:jc w:val="both"/>
        <w:rPr>
          <w:rFonts w:ascii="Palatino Linotype" w:hAnsi="Palatino Linotype" w:cs="Arial"/>
          <w:bCs/>
        </w:rPr>
      </w:pPr>
    </w:p>
    <w:p w14:paraId="1A325DDF" w14:textId="77777777" w:rsidR="00E91F1B" w:rsidRDefault="00E91F1B" w:rsidP="00E91F1B">
      <w:pPr>
        <w:spacing w:after="0" w:line="360" w:lineRule="auto"/>
        <w:ind w:left="567" w:right="567"/>
        <w:jc w:val="both"/>
        <w:rPr>
          <w:rFonts w:ascii="Palatino Linotype" w:hAnsi="Palatino Linotype" w:cs="Arial"/>
          <w:bCs/>
          <w:i/>
          <w:sz w:val="20"/>
        </w:rPr>
      </w:pPr>
      <w:r w:rsidRPr="00E91F1B">
        <w:rPr>
          <w:rFonts w:ascii="Palatino Linotype" w:hAnsi="Palatino Linotype" w:cs="Arial"/>
          <w:bCs/>
          <w:i/>
          <w:sz w:val="20"/>
        </w:rPr>
        <w:t xml:space="preserve">Artículo 179. El recurso de revisión es un medio de protección que la Ley otorga a los particulares, para hacer valer su derecho de acceso a la información pública, y procederá en contra de las siguientes causas: </w:t>
      </w:r>
    </w:p>
    <w:p w14:paraId="22E6A720" w14:textId="77777777" w:rsidR="00E91F1B" w:rsidRDefault="00E91F1B" w:rsidP="00E91F1B">
      <w:pPr>
        <w:spacing w:after="0" w:line="360" w:lineRule="auto"/>
        <w:ind w:left="567" w:right="567"/>
        <w:jc w:val="both"/>
        <w:rPr>
          <w:rFonts w:ascii="Palatino Linotype" w:hAnsi="Palatino Linotype" w:cs="Arial"/>
          <w:bCs/>
          <w:i/>
          <w:sz w:val="20"/>
        </w:rPr>
      </w:pPr>
    </w:p>
    <w:p w14:paraId="7865A29C" w14:textId="77777777" w:rsidR="00E91F1B" w:rsidRPr="00B53D0D" w:rsidRDefault="00E91F1B" w:rsidP="00E91F1B">
      <w:pPr>
        <w:spacing w:after="0" w:line="360" w:lineRule="auto"/>
        <w:ind w:left="567" w:right="567"/>
        <w:jc w:val="both"/>
        <w:rPr>
          <w:rFonts w:ascii="Palatino Linotype" w:hAnsi="Palatino Linotype" w:cs="Arial"/>
          <w:b/>
          <w:bCs/>
          <w:i/>
          <w:sz w:val="20"/>
        </w:rPr>
      </w:pPr>
      <w:r w:rsidRPr="00B53D0D">
        <w:rPr>
          <w:rFonts w:ascii="Palatino Linotype" w:hAnsi="Palatino Linotype" w:cs="Arial"/>
          <w:b/>
          <w:bCs/>
          <w:i/>
          <w:sz w:val="20"/>
        </w:rPr>
        <w:t xml:space="preserve">I. La negativa a la información solicitada; </w:t>
      </w:r>
    </w:p>
    <w:p w14:paraId="7857699E" w14:textId="77777777" w:rsidR="00E91F1B" w:rsidRDefault="00E91F1B" w:rsidP="00E91F1B">
      <w:pPr>
        <w:spacing w:after="0" w:line="360" w:lineRule="auto"/>
        <w:ind w:left="567" w:right="567"/>
        <w:jc w:val="both"/>
        <w:rPr>
          <w:rFonts w:ascii="Palatino Linotype" w:hAnsi="Palatino Linotype" w:cs="Arial"/>
          <w:bCs/>
          <w:i/>
          <w:sz w:val="20"/>
        </w:rPr>
      </w:pPr>
      <w:r w:rsidRPr="00E91F1B">
        <w:rPr>
          <w:rFonts w:ascii="Palatino Linotype" w:hAnsi="Palatino Linotype" w:cs="Arial"/>
          <w:bCs/>
          <w:i/>
          <w:sz w:val="20"/>
        </w:rPr>
        <w:lastRenderedPageBreak/>
        <w:t xml:space="preserve">II. La clasificación de la información; </w:t>
      </w:r>
    </w:p>
    <w:p w14:paraId="4345C6F9" w14:textId="77777777" w:rsidR="00E91F1B" w:rsidRDefault="00E91F1B" w:rsidP="00E91F1B">
      <w:pPr>
        <w:spacing w:after="0" w:line="360" w:lineRule="auto"/>
        <w:ind w:left="567" w:right="567"/>
        <w:jc w:val="both"/>
        <w:rPr>
          <w:rFonts w:ascii="Palatino Linotype" w:hAnsi="Palatino Linotype" w:cs="Arial"/>
          <w:bCs/>
          <w:i/>
          <w:sz w:val="20"/>
        </w:rPr>
      </w:pPr>
      <w:r w:rsidRPr="00E91F1B">
        <w:rPr>
          <w:rFonts w:ascii="Palatino Linotype" w:hAnsi="Palatino Linotype" w:cs="Arial"/>
          <w:bCs/>
          <w:i/>
          <w:sz w:val="20"/>
        </w:rPr>
        <w:t xml:space="preserve">III. La declaración de inexistencia de la información; </w:t>
      </w:r>
    </w:p>
    <w:p w14:paraId="7AACADFF" w14:textId="77777777" w:rsidR="00E91F1B" w:rsidRDefault="00E91F1B" w:rsidP="00E91F1B">
      <w:pPr>
        <w:spacing w:after="0" w:line="360" w:lineRule="auto"/>
        <w:ind w:left="567" w:right="567"/>
        <w:jc w:val="both"/>
        <w:rPr>
          <w:rFonts w:ascii="Palatino Linotype" w:hAnsi="Palatino Linotype" w:cs="Arial"/>
          <w:bCs/>
          <w:i/>
          <w:sz w:val="20"/>
        </w:rPr>
      </w:pPr>
      <w:r w:rsidRPr="00E91F1B">
        <w:rPr>
          <w:rFonts w:ascii="Palatino Linotype" w:hAnsi="Palatino Linotype" w:cs="Arial"/>
          <w:bCs/>
          <w:i/>
          <w:sz w:val="20"/>
        </w:rPr>
        <w:t xml:space="preserve">IV. La declaración de incompetencia por el sujeto obligado; </w:t>
      </w:r>
    </w:p>
    <w:p w14:paraId="780CD1C8" w14:textId="77777777" w:rsidR="00E91F1B" w:rsidRPr="00B53D0D" w:rsidRDefault="00E91F1B" w:rsidP="00E91F1B">
      <w:pPr>
        <w:spacing w:after="0" w:line="360" w:lineRule="auto"/>
        <w:ind w:left="567" w:right="567"/>
        <w:jc w:val="both"/>
        <w:rPr>
          <w:rFonts w:ascii="Palatino Linotype" w:hAnsi="Palatino Linotype" w:cs="Arial"/>
          <w:bCs/>
          <w:i/>
          <w:sz w:val="20"/>
        </w:rPr>
      </w:pPr>
      <w:r w:rsidRPr="00B53D0D">
        <w:rPr>
          <w:rFonts w:ascii="Palatino Linotype" w:hAnsi="Palatino Linotype" w:cs="Arial"/>
          <w:bCs/>
          <w:i/>
          <w:sz w:val="20"/>
        </w:rPr>
        <w:t xml:space="preserve">V. La entrega de información incompleta; </w:t>
      </w:r>
    </w:p>
    <w:p w14:paraId="01252430" w14:textId="77777777" w:rsidR="00E91F1B" w:rsidRPr="00B53D0D" w:rsidRDefault="00E91F1B" w:rsidP="00E91F1B">
      <w:pPr>
        <w:spacing w:after="0" w:line="360" w:lineRule="auto"/>
        <w:ind w:left="567" w:right="567"/>
        <w:jc w:val="both"/>
        <w:rPr>
          <w:rFonts w:ascii="Palatino Linotype" w:hAnsi="Palatino Linotype" w:cs="Arial"/>
          <w:bCs/>
          <w:i/>
          <w:sz w:val="20"/>
        </w:rPr>
      </w:pPr>
      <w:r w:rsidRPr="00B53D0D">
        <w:rPr>
          <w:rFonts w:ascii="Palatino Linotype" w:hAnsi="Palatino Linotype" w:cs="Arial"/>
          <w:bCs/>
          <w:i/>
          <w:sz w:val="20"/>
        </w:rPr>
        <w:t xml:space="preserve">VI. La entrega de información que no corresponda con lo solicitado; </w:t>
      </w:r>
    </w:p>
    <w:p w14:paraId="141B8DE1" w14:textId="77777777" w:rsidR="00E91F1B" w:rsidRDefault="00E91F1B" w:rsidP="00E91F1B">
      <w:pPr>
        <w:spacing w:after="0" w:line="360" w:lineRule="auto"/>
        <w:ind w:left="567" w:right="567"/>
        <w:jc w:val="both"/>
        <w:rPr>
          <w:rFonts w:ascii="Palatino Linotype" w:hAnsi="Palatino Linotype" w:cs="Arial"/>
          <w:bCs/>
          <w:i/>
          <w:sz w:val="20"/>
        </w:rPr>
      </w:pPr>
      <w:r w:rsidRPr="00E91F1B">
        <w:rPr>
          <w:rFonts w:ascii="Palatino Linotype" w:hAnsi="Palatino Linotype" w:cs="Arial"/>
          <w:bCs/>
          <w:i/>
          <w:sz w:val="20"/>
        </w:rPr>
        <w:t xml:space="preserve">VII. La falta de respuesta a una solicitud de acceso a la información; </w:t>
      </w:r>
    </w:p>
    <w:p w14:paraId="36502865" w14:textId="77777777" w:rsidR="00E91F1B" w:rsidRDefault="00E91F1B" w:rsidP="00E91F1B">
      <w:pPr>
        <w:spacing w:after="0" w:line="360" w:lineRule="auto"/>
        <w:ind w:left="567" w:right="567"/>
        <w:jc w:val="both"/>
        <w:rPr>
          <w:rFonts w:ascii="Palatino Linotype" w:hAnsi="Palatino Linotype" w:cs="Arial"/>
          <w:bCs/>
          <w:i/>
          <w:sz w:val="20"/>
        </w:rPr>
      </w:pPr>
      <w:r w:rsidRPr="00E91F1B">
        <w:rPr>
          <w:rFonts w:ascii="Palatino Linotype" w:hAnsi="Palatino Linotype" w:cs="Arial"/>
          <w:bCs/>
          <w:i/>
          <w:sz w:val="20"/>
        </w:rPr>
        <w:t xml:space="preserve">VIII. La notificación, entrega o puesta a disposición de información en una modalidad o formato distinto al solicitado; </w:t>
      </w:r>
    </w:p>
    <w:p w14:paraId="439D42D9" w14:textId="77777777" w:rsidR="00E91F1B" w:rsidRDefault="00E91F1B" w:rsidP="00E91F1B">
      <w:pPr>
        <w:spacing w:after="0" w:line="360" w:lineRule="auto"/>
        <w:ind w:left="567" w:right="567"/>
        <w:jc w:val="both"/>
        <w:rPr>
          <w:rFonts w:ascii="Palatino Linotype" w:hAnsi="Palatino Linotype" w:cs="Arial"/>
          <w:bCs/>
          <w:i/>
          <w:sz w:val="20"/>
        </w:rPr>
      </w:pPr>
      <w:r w:rsidRPr="00E91F1B">
        <w:rPr>
          <w:rFonts w:ascii="Palatino Linotype" w:hAnsi="Palatino Linotype" w:cs="Arial"/>
          <w:bCs/>
          <w:i/>
          <w:sz w:val="20"/>
        </w:rPr>
        <w:t xml:space="preserve">IX. La entrega o puesta a disposición de información en un formato incomprensible y/o no accesible para el solicitante; </w:t>
      </w:r>
    </w:p>
    <w:p w14:paraId="25FF0231" w14:textId="77777777" w:rsidR="00E91F1B" w:rsidRDefault="00E91F1B" w:rsidP="00E91F1B">
      <w:pPr>
        <w:spacing w:after="0" w:line="360" w:lineRule="auto"/>
        <w:ind w:left="567" w:right="567"/>
        <w:jc w:val="both"/>
        <w:rPr>
          <w:rFonts w:ascii="Palatino Linotype" w:hAnsi="Palatino Linotype" w:cs="Arial"/>
          <w:bCs/>
          <w:i/>
          <w:sz w:val="20"/>
        </w:rPr>
      </w:pPr>
      <w:r w:rsidRPr="00E91F1B">
        <w:rPr>
          <w:rFonts w:ascii="Palatino Linotype" w:hAnsi="Palatino Linotype" w:cs="Arial"/>
          <w:bCs/>
          <w:i/>
          <w:sz w:val="20"/>
        </w:rPr>
        <w:t xml:space="preserve">X. Los costos o tiempos de entrega de la información; </w:t>
      </w:r>
    </w:p>
    <w:p w14:paraId="04ED43DD" w14:textId="77777777" w:rsidR="00E91F1B" w:rsidRDefault="00E91F1B" w:rsidP="00E91F1B">
      <w:pPr>
        <w:spacing w:after="0" w:line="360" w:lineRule="auto"/>
        <w:ind w:left="567" w:right="567"/>
        <w:jc w:val="both"/>
        <w:rPr>
          <w:rFonts w:ascii="Palatino Linotype" w:hAnsi="Palatino Linotype" w:cs="Arial"/>
          <w:bCs/>
          <w:i/>
          <w:sz w:val="20"/>
        </w:rPr>
      </w:pPr>
      <w:r w:rsidRPr="00E91F1B">
        <w:rPr>
          <w:rFonts w:ascii="Palatino Linotype" w:hAnsi="Palatino Linotype" w:cs="Arial"/>
          <w:bCs/>
          <w:i/>
          <w:sz w:val="20"/>
        </w:rPr>
        <w:t xml:space="preserve">XI. La falta de trámite a una solicitud; </w:t>
      </w:r>
    </w:p>
    <w:p w14:paraId="505B9291" w14:textId="77777777" w:rsidR="00E91F1B" w:rsidRDefault="00E91F1B" w:rsidP="00E91F1B">
      <w:pPr>
        <w:spacing w:after="0" w:line="360" w:lineRule="auto"/>
        <w:ind w:left="567" w:right="567"/>
        <w:jc w:val="both"/>
        <w:rPr>
          <w:rFonts w:ascii="Palatino Linotype" w:hAnsi="Palatino Linotype" w:cs="Arial"/>
          <w:bCs/>
          <w:i/>
          <w:sz w:val="20"/>
        </w:rPr>
      </w:pPr>
      <w:r w:rsidRPr="00E91F1B">
        <w:rPr>
          <w:rFonts w:ascii="Palatino Linotype" w:hAnsi="Palatino Linotype" w:cs="Arial"/>
          <w:bCs/>
          <w:i/>
          <w:sz w:val="20"/>
        </w:rPr>
        <w:t xml:space="preserve">XII. La negativa a permitir la consulta directa de la información; </w:t>
      </w:r>
    </w:p>
    <w:p w14:paraId="3BF5C17E" w14:textId="77777777" w:rsidR="00E91F1B" w:rsidRDefault="00E91F1B" w:rsidP="00E91F1B">
      <w:pPr>
        <w:spacing w:after="0" w:line="360" w:lineRule="auto"/>
        <w:ind w:left="567" w:right="567"/>
        <w:jc w:val="both"/>
        <w:rPr>
          <w:rFonts w:ascii="Palatino Linotype" w:hAnsi="Palatino Linotype" w:cs="Arial"/>
          <w:bCs/>
          <w:i/>
          <w:sz w:val="20"/>
        </w:rPr>
      </w:pPr>
      <w:r w:rsidRPr="00E91F1B">
        <w:rPr>
          <w:rFonts w:ascii="Palatino Linotype" w:hAnsi="Palatino Linotype" w:cs="Arial"/>
          <w:bCs/>
          <w:i/>
          <w:sz w:val="20"/>
        </w:rPr>
        <w:t xml:space="preserve">XIII. La falta, deficiencia o insuficiencia de la fundamentación y/o motivación en la respuesta; y </w:t>
      </w:r>
    </w:p>
    <w:p w14:paraId="2DA2736D" w14:textId="77777777" w:rsidR="00E91F1B" w:rsidRDefault="00E91F1B" w:rsidP="00E91F1B">
      <w:pPr>
        <w:spacing w:after="0" w:line="360" w:lineRule="auto"/>
        <w:ind w:left="567" w:right="567"/>
        <w:jc w:val="both"/>
        <w:rPr>
          <w:rFonts w:ascii="Palatino Linotype" w:hAnsi="Palatino Linotype" w:cs="Arial"/>
          <w:bCs/>
          <w:i/>
          <w:sz w:val="20"/>
        </w:rPr>
      </w:pPr>
      <w:r w:rsidRPr="00E91F1B">
        <w:rPr>
          <w:rFonts w:ascii="Palatino Linotype" w:hAnsi="Palatino Linotype" w:cs="Arial"/>
          <w:bCs/>
          <w:i/>
          <w:sz w:val="20"/>
        </w:rPr>
        <w:t xml:space="preserve">XIV. La orientación a un trámite específico. </w:t>
      </w:r>
    </w:p>
    <w:p w14:paraId="55CC8A68" w14:textId="77777777" w:rsidR="00E91F1B" w:rsidRDefault="00E91F1B" w:rsidP="00E91F1B">
      <w:pPr>
        <w:spacing w:after="0" w:line="360" w:lineRule="auto"/>
        <w:ind w:left="567" w:right="567"/>
        <w:jc w:val="both"/>
        <w:rPr>
          <w:rFonts w:ascii="Palatino Linotype" w:hAnsi="Palatino Linotype" w:cs="Arial"/>
          <w:bCs/>
          <w:i/>
          <w:sz w:val="20"/>
        </w:rPr>
      </w:pPr>
    </w:p>
    <w:p w14:paraId="530D35E6" w14:textId="3CD99D69" w:rsidR="00E91F1B" w:rsidRDefault="00E91F1B" w:rsidP="00E91F1B">
      <w:pPr>
        <w:spacing w:after="0" w:line="360" w:lineRule="auto"/>
        <w:ind w:left="567" w:right="567"/>
        <w:jc w:val="both"/>
        <w:rPr>
          <w:rFonts w:ascii="Palatino Linotype" w:hAnsi="Palatino Linotype" w:cs="Arial"/>
          <w:bCs/>
          <w:i/>
          <w:sz w:val="20"/>
        </w:rPr>
      </w:pPr>
      <w:r w:rsidRPr="00E91F1B">
        <w:rPr>
          <w:rFonts w:ascii="Palatino Linotype" w:hAnsi="Palatino Linotype" w:cs="Arial"/>
          <w:bCs/>
          <w:i/>
          <w:sz w:val="20"/>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03788B5B" w14:textId="77777777" w:rsidR="00E91F1B" w:rsidRDefault="00E91F1B" w:rsidP="00E91F1B">
      <w:pPr>
        <w:spacing w:after="0" w:line="360" w:lineRule="auto"/>
        <w:ind w:right="567"/>
        <w:jc w:val="both"/>
        <w:rPr>
          <w:rFonts w:ascii="Palatino Linotype" w:hAnsi="Palatino Linotype" w:cs="Arial"/>
          <w:bCs/>
          <w:i/>
          <w:sz w:val="20"/>
        </w:rPr>
      </w:pPr>
    </w:p>
    <w:p w14:paraId="4286DD1A" w14:textId="6B6B2DAB" w:rsidR="00E91F1B" w:rsidRDefault="00E91F1B" w:rsidP="00E91F1B">
      <w:pPr>
        <w:spacing w:after="0" w:line="360" w:lineRule="auto"/>
        <w:jc w:val="both"/>
        <w:rPr>
          <w:rFonts w:ascii="Palatino Linotype" w:hAnsi="Palatino Linotype" w:cs="Arial"/>
          <w:bCs/>
        </w:rPr>
      </w:pPr>
      <w:r w:rsidRPr="00E91F1B">
        <w:rPr>
          <w:rFonts w:ascii="Palatino Linotype" w:hAnsi="Palatino Linotype" w:cs="Arial"/>
          <w:bCs/>
        </w:rPr>
        <w:t xml:space="preserve">Así, contrario a lo planteado en la resolución sobre la que se emite el presente voto, se puede hallar en las causales de procedencia, que el recurso de revisión es un medio de protección que procede en contra de la </w:t>
      </w:r>
      <w:r w:rsidR="00B53D0D">
        <w:rPr>
          <w:rFonts w:ascii="Palatino Linotype" w:hAnsi="Palatino Linotype" w:cs="Arial"/>
          <w:bCs/>
        </w:rPr>
        <w:t xml:space="preserve">negativa a la </w:t>
      </w:r>
      <w:r>
        <w:rPr>
          <w:rFonts w:ascii="Palatino Linotype" w:hAnsi="Palatino Linotype" w:cs="Arial"/>
          <w:bCs/>
        </w:rPr>
        <w:t xml:space="preserve">entrega de </w:t>
      </w:r>
      <w:r w:rsidR="00B53D0D">
        <w:rPr>
          <w:rFonts w:ascii="Palatino Linotype" w:hAnsi="Palatino Linotype" w:cs="Arial"/>
          <w:bCs/>
        </w:rPr>
        <w:t xml:space="preserve">la </w:t>
      </w:r>
      <w:r>
        <w:rPr>
          <w:rFonts w:ascii="Palatino Linotype" w:hAnsi="Palatino Linotype" w:cs="Arial"/>
          <w:bCs/>
        </w:rPr>
        <w:t xml:space="preserve">información </w:t>
      </w:r>
      <w:r w:rsidRPr="00E91F1B">
        <w:rPr>
          <w:rFonts w:ascii="Palatino Linotype" w:hAnsi="Palatino Linotype" w:cs="Arial"/>
          <w:bCs/>
        </w:rPr>
        <w:t>y, por tanto, existe una</w:t>
      </w:r>
      <w:r>
        <w:rPr>
          <w:rFonts w:ascii="Palatino Linotype" w:hAnsi="Palatino Linotype" w:cs="Arial"/>
          <w:bCs/>
        </w:rPr>
        <w:t xml:space="preserve"> </w:t>
      </w:r>
      <w:r w:rsidRPr="00E91F1B">
        <w:rPr>
          <w:rFonts w:ascii="Palatino Linotype" w:hAnsi="Palatino Linotype" w:cs="Arial"/>
          <w:bCs/>
        </w:rPr>
        <w:t>causal de procedencia</w:t>
      </w:r>
      <w:r w:rsidR="00B53D0D">
        <w:rPr>
          <w:rFonts w:ascii="Palatino Linotype" w:hAnsi="Palatino Linotype" w:cs="Arial"/>
          <w:bCs/>
        </w:rPr>
        <w:t>, por lo tanto</w:t>
      </w:r>
      <w:r w:rsidRPr="00E91F1B">
        <w:rPr>
          <w:rFonts w:ascii="Palatino Linotype" w:hAnsi="Palatino Linotype" w:cs="Arial"/>
          <w:bCs/>
        </w:rPr>
        <w:t>, no se configura el sobreseimiento planteado en la multicitada resolución.</w:t>
      </w:r>
    </w:p>
    <w:p w14:paraId="01EC5A3F" w14:textId="77777777" w:rsidR="00E91F1B" w:rsidRDefault="00E91F1B" w:rsidP="00E91F1B">
      <w:pPr>
        <w:spacing w:after="0" w:line="360" w:lineRule="auto"/>
        <w:jc w:val="both"/>
        <w:rPr>
          <w:rFonts w:ascii="Palatino Linotype" w:hAnsi="Palatino Linotype" w:cs="Arial"/>
          <w:bCs/>
        </w:rPr>
      </w:pPr>
    </w:p>
    <w:p w14:paraId="606BD783" w14:textId="00BB2ADD" w:rsidR="00E91F1B" w:rsidRDefault="00E91F1B" w:rsidP="00E91F1B">
      <w:pPr>
        <w:spacing w:after="0" w:line="360" w:lineRule="auto"/>
        <w:jc w:val="both"/>
        <w:rPr>
          <w:rFonts w:ascii="Palatino Linotype" w:hAnsi="Palatino Linotype" w:cs="Arial"/>
          <w:bCs/>
        </w:rPr>
      </w:pPr>
      <w:r w:rsidRPr="00E91F1B">
        <w:rPr>
          <w:rFonts w:ascii="Palatino Linotype" w:hAnsi="Palatino Linotype" w:cs="Arial"/>
          <w:bCs/>
        </w:rPr>
        <w:lastRenderedPageBreak/>
        <w:t>La diferencia entre entrar al estudio de la naturaleza y sobreseer, tiene disímiles alcances pues su naturaleza es diversa, para ello, cobra relevancia para efectos de criterio jurídico, la</w:t>
      </w:r>
      <w:r w:rsidRPr="00E91F1B">
        <w:t xml:space="preserve"> </w:t>
      </w:r>
      <w:r w:rsidRPr="00E91F1B">
        <w:rPr>
          <w:rFonts w:ascii="Palatino Linotype" w:hAnsi="Palatino Linotype" w:cs="Arial"/>
          <w:bCs/>
        </w:rPr>
        <w:t>jurisprudencia, emitida por la Segunda Sala de la Suprema Corte de Justicia de la Nación, con registro digital 239006, de la séptima época, publicada en el semanario judicial de la federación, volumen 24, tercera parte, página 49, que lleva por rubro y texto:</w:t>
      </w:r>
    </w:p>
    <w:p w14:paraId="5D9FFEF6" w14:textId="77777777" w:rsidR="00E91F1B" w:rsidRDefault="00E91F1B" w:rsidP="00E91F1B">
      <w:pPr>
        <w:spacing w:after="0" w:line="360" w:lineRule="auto"/>
        <w:jc w:val="both"/>
        <w:rPr>
          <w:rFonts w:ascii="Palatino Linotype" w:hAnsi="Palatino Linotype" w:cs="Arial"/>
          <w:bCs/>
        </w:rPr>
      </w:pPr>
    </w:p>
    <w:p w14:paraId="07763F90" w14:textId="77777777" w:rsidR="00E91F1B" w:rsidRDefault="00E91F1B" w:rsidP="00E91F1B">
      <w:pPr>
        <w:spacing w:after="0" w:line="360" w:lineRule="auto"/>
        <w:ind w:left="567" w:right="567"/>
        <w:jc w:val="both"/>
        <w:rPr>
          <w:rFonts w:ascii="Palatino Linotype" w:hAnsi="Palatino Linotype" w:cs="Arial"/>
          <w:bCs/>
          <w:i/>
          <w:sz w:val="20"/>
        </w:rPr>
      </w:pPr>
      <w:r w:rsidRPr="00E91F1B">
        <w:rPr>
          <w:rFonts w:ascii="Palatino Linotype" w:hAnsi="Palatino Linotype" w:cs="Arial"/>
          <w:b/>
          <w:bCs/>
          <w:i/>
          <w:sz w:val="20"/>
        </w:rPr>
        <w:t>SOBRESEIMIENTO. NO PERMITE ENTRAR AL ESTUDIO DE LAS CUESTIONES DE FONDO.</w:t>
      </w:r>
      <w:r w:rsidRPr="00E91F1B">
        <w:rPr>
          <w:rFonts w:ascii="Palatino Linotype" w:hAnsi="Palatino Linotype" w:cs="Arial"/>
          <w:bCs/>
          <w:i/>
          <w:sz w:val="20"/>
        </w:rPr>
        <w:t xml:space="preserve"> </w:t>
      </w:r>
    </w:p>
    <w:p w14:paraId="5E050EDA" w14:textId="5E71217F" w:rsidR="00E91F1B" w:rsidRPr="00E91F1B" w:rsidRDefault="00E91F1B" w:rsidP="00E91F1B">
      <w:pPr>
        <w:spacing w:after="0" w:line="360" w:lineRule="auto"/>
        <w:ind w:left="567" w:right="567"/>
        <w:jc w:val="both"/>
        <w:rPr>
          <w:rFonts w:ascii="Palatino Linotype" w:hAnsi="Palatino Linotype" w:cs="Arial"/>
          <w:bCs/>
          <w:i/>
        </w:rPr>
      </w:pPr>
      <w:r w:rsidRPr="00E91F1B">
        <w:rPr>
          <w:rFonts w:ascii="Palatino Linotype" w:hAnsi="Palatino Linotype" w:cs="Arial"/>
          <w:bCs/>
          <w:i/>
          <w:sz w:val="20"/>
        </w:rPr>
        <w:t>No causa agravio la sentencia que no se ocupa de los razonamientos tendientes a demostrar la violación de garantías individuales por los actos reclamados de las autoridades responsables, que constituyen el problema de fondo, si se decreta el sobreseimiento del juicio.</w:t>
      </w:r>
    </w:p>
    <w:p w14:paraId="179F7B66" w14:textId="77777777" w:rsidR="00E91F1B" w:rsidRDefault="00E91F1B" w:rsidP="00E91F1B">
      <w:pPr>
        <w:spacing w:after="0" w:line="360" w:lineRule="auto"/>
        <w:jc w:val="both"/>
        <w:rPr>
          <w:rFonts w:ascii="Palatino Linotype" w:hAnsi="Palatino Linotype" w:cs="Arial"/>
          <w:bCs/>
        </w:rPr>
      </w:pPr>
    </w:p>
    <w:p w14:paraId="77CDFDF8" w14:textId="77777777" w:rsidR="00E91F1B" w:rsidRDefault="00E91F1B" w:rsidP="00E91F1B">
      <w:pPr>
        <w:spacing w:after="0" w:line="360" w:lineRule="auto"/>
        <w:jc w:val="both"/>
        <w:rPr>
          <w:rFonts w:ascii="Palatino Linotype" w:hAnsi="Palatino Linotype" w:cs="Arial"/>
          <w:bCs/>
        </w:rPr>
      </w:pPr>
      <w:r w:rsidRPr="00E91F1B">
        <w:rPr>
          <w:rFonts w:ascii="Palatino Linotype" w:hAnsi="Palatino Linotype" w:cs="Arial"/>
          <w:bCs/>
        </w:rPr>
        <w:t xml:space="preserve">Así mismo, es conveniente citar al Doctor Ignacio Burgoa, en su obra </w:t>
      </w:r>
      <w:r w:rsidRPr="00E91F1B">
        <w:rPr>
          <w:rFonts w:ascii="Palatino Linotype" w:hAnsi="Palatino Linotype" w:cs="Arial"/>
          <w:bCs/>
          <w:i/>
        </w:rPr>
        <w:t>El Juicio de Amparo</w:t>
      </w:r>
      <w:r w:rsidRPr="00E91F1B">
        <w:rPr>
          <w:rFonts w:ascii="Palatino Linotype" w:hAnsi="Palatino Linotype" w:cs="Arial"/>
          <w:bCs/>
        </w:rPr>
        <w:t xml:space="preserve">, donde plasma que el sobreseimiento es un acto procesal proveniente de la potestad jurisdiccional, que concluye una instancia judicial, sin resolver el negocio en cuanto al fondo, sustantivamente, sino atendiendo a circunstancias o hechos ajenos, o al menos, diversos, de lo substancial de la controversia subyacente o fundamental. </w:t>
      </w:r>
    </w:p>
    <w:p w14:paraId="5697C64E" w14:textId="77777777" w:rsidR="00E91F1B" w:rsidRDefault="00E91F1B" w:rsidP="00E91F1B">
      <w:pPr>
        <w:spacing w:after="0" w:line="360" w:lineRule="auto"/>
        <w:jc w:val="both"/>
        <w:rPr>
          <w:rFonts w:ascii="Palatino Linotype" w:hAnsi="Palatino Linotype" w:cs="Arial"/>
          <w:bCs/>
        </w:rPr>
      </w:pPr>
    </w:p>
    <w:p w14:paraId="03179D83" w14:textId="349516C8" w:rsidR="00E91F1B" w:rsidRDefault="00E91F1B" w:rsidP="00E91F1B">
      <w:pPr>
        <w:spacing w:after="0" w:line="360" w:lineRule="auto"/>
        <w:jc w:val="both"/>
        <w:rPr>
          <w:rFonts w:ascii="Palatino Linotype" w:hAnsi="Palatino Linotype" w:cs="Arial"/>
          <w:bCs/>
        </w:rPr>
      </w:pPr>
      <w:r w:rsidRPr="00E91F1B">
        <w:rPr>
          <w:rFonts w:ascii="Palatino Linotype" w:hAnsi="Palatino Linotype" w:cs="Arial"/>
          <w:bCs/>
        </w:rPr>
        <w:t xml:space="preserve">También, puede citarse el artículo </w:t>
      </w:r>
      <w:r w:rsidRPr="00E91F1B">
        <w:rPr>
          <w:rFonts w:ascii="Palatino Linotype" w:hAnsi="Palatino Linotype" w:cs="Arial"/>
          <w:bCs/>
          <w:i/>
        </w:rPr>
        <w:t>investigación de las causas de improcedencia en el auto inicial del juicio de garantías</w:t>
      </w:r>
      <w:r w:rsidRPr="00E91F1B">
        <w:rPr>
          <w:rFonts w:ascii="Palatino Linotype" w:hAnsi="Palatino Linotype" w:cs="Arial"/>
          <w:bCs/>
        </w:rPr>
        <w:t xml:space="preserve">, del Secretario del Juzgado Segundo de Distrito en Materias de Amparo y Juicios Federales en el Estado de México, Salvador Tapia García, publicado en la Biblioteca Jurídica Virtual del Instituto de Investigaciones Jurídicas de la UNAM, quien refiere que </w:t>
      </w:r>
      <w:r w:rsidRPr="00E91F1B">
        <w:rPr>
          <w:rFonts w:ascii="Palatino Linotype" w:hAnsi="Palatino Linotype" w:cs="Arial"/>
          <w:b/>
          <w:bCs/>
        </w:rPr>
        <w:t>atenta contra la garantía fundamental de acceso a la justicia, desechar demandas cuya improcedencia no esté cabalmente demostrada</w:t>
      </w:r>
      <w:r w:rsidRPr="00E91F1B">
        <w:rPr>
          <w:rFonts w:ascii="Palatino Linotype" w:hAnsi="Palatino Linotype" w:cs="Arial"/>
          <w:bCs/>
        </w:rPr>
        <w:t>.</w:t>
      </w:r>
    </w:p>
    <w:p w14:paraId="634EC86D" w14:textId="77777777" w:rsidR="00E91F1B" w:rsidRDefault="00E91F1B" w:rsidP="00E91F1B">
      <w:pPr>
        <w:spacing w:after="0" w:line="360" w:lineRule="auto"/>
        <w:jc w:val="both"/>
        <w:rPr>
          <w:rFonts w:ascii="Palatino Linotype" w:hAnsi="Palatino Linotype" w:cs="Arial"/>
          <w:bCs/>
        </w:rPr>
      </w:pPr>
    </w:p>
    <w:p w14:paraId="351EE918" w14:textId="50E46AE9" w:rsidR="00E91F1B" w:rsidRDefault="00E91F1B" w:rsidP="00E91F1B">
      <w:pPr>
        <w:spacing w:after="0" w:line="360" w:lineRule="auto"/>
        <w:jc w:val="both"/>
        <w:rPr>
          <w:rFonts w:ascii="Palatino Linotype" w:hAnsi="Palatino Linotype" w:cs="Arial"/>
          <w:bCs/>
        </w:rPr>
      </w:pPr>
      <w:r w:rsidRPr="00E91F1B">
        <w:rPr>
          <w:rFonts w:ascii="Palatino Linotype" w:hAnsi="Palatino Linotype" w:cs="Arial"/>
          <w:bCs/>
        </w:rPr>
        <w:lastRenderedPageBreak/>
        <w:t>Con independencia de si el Particular señaló una fuente obligacional para poseer la información, diversa a la debida, este Organismo Garante, tiene la obligación de suplir la</w:t>
      </w:r>
      <w:r w:rsidRPr="00E91F1B">
        <w:t xml:space="preserve"> </w:t>
      </w:r>
      <w:r w:rsidRPr="00E91F1B">
        <w:rPr>
          <w:rFonts w:ascii="Palatino Linotype" w:hAnsi="Palatino Linotype" w:cs="Arial"/>
          <w:bCs/>
        </w:rPr>
        <w:t>deficiencia de la queja en términos de los artículos 13 y 181 de la Ley de Transparencia y Acceso a la Información Pública, en beneficio de los Particulares a efecto de otorgar certeza jurídica en el ejercicio del Derecho de Acceso a la Información Pública, para así, subsanar y en su caso, identificar la existencia de fuente normativa para obligar a los Sujetos Obligados a poseer la información.</w:t>
      </w:r>
    </w:p>
    <w:p w14:paraId="4F10CA5F" w14:textId="77777777" w:rsidR="00E91F1B" w:rsidRDefault="00E91F1B" w:rsidP="00E91F1B">
      <w:pPr>
        <w:spacing w:after="0" w:line="360" w:lineRule="auto"/>
        <w:jc w:val="both"/>
        <w:rPr>
          <w:rFonts w:ascii="Palatino Linotype" w:hAnsi="Palatino Linotype" w:cs="Arial"/>
          <w:bCs/>
        </w:rPr>
      </w:pPr>
    </w:p>
    <w:p w14:paraId="15CDDC05" w14:textId="77777777" w:rsidR="00E91F1B" w:rsidRDefault="00E91F1B" w:rsidP="00E91F1B">
      <w:pPr>
        <w:spacing w:after="0" w:line="360" w:lineRule="auto"/>
        <w:jc w:val="both"/>
        <w:rPr>
          <w:rFonts w:ascii="Palatino Linotype" w:hAnsi="Palatino Linotype" w:cs="Arial"/>
          <w:bCs/>
        </w:rPr>
      </w:pPr>
      <w:r w:rsidRPr="00E91F1B">
        <w:rPr>
          <w:rFonts w:ascii="Palatino Linotype" w:hAnsi="Palatino Linotype" w:cs="Arial"/>
          <w:bCs/>
        </w:rPr>
        <w:t xml:space="preserve">Entonces, para cuando se entregan documentos en respuesta y los ciudadanos, en ejercicio de su derecho de acceso a la información y de un medio de impugnación, señalan que no se les entregó la información solicitada, es necesario entrar al estudio de las constancias, lo que constriñe a este Organismo Garante a analizar la naturaleza normativa de la información y de los documentos aportados, lo que permite determinar si la afirmación planteada en el medio recursal es verdadera y así, contar con elementos para ordenar la entrega de los documentos que satisfacen al derecho de acceso a la información pública. </w:t>
      </w:r>
    </w:p>
    <w:p w14:paraId="5851977D" w14:textId="77777777" w:rsidR="009E63C1" w:rsidRDefault="009E63C1" w:rsidP="00E91F1B">
      <w:pPr>
        <w:spacing w:after="0" w:line="360" w:lineRule="auto"/>
        <w:jc w:val="both"/>
        <w:rPr>
          <w:rFonts w:ascii="Palatino Linotype" w:hAnsi="Palatino Linotype" w:cs="Arial"/>
          <w:bCs/>
        </w:rPr>
      </w:pPr>
    </w:p>
    <w:p w14:paraId="6626572A" w14:textId="0498437B" w:rsidR="009E63C1" w:rsidRPr="009E63C1" w:rsidRDefault="009E63C1" w:rsidP="009E63C1">
      <w:pPr>
        <w:pStyle w:val="Prrafodelista"/>
        <w:numPr>
          <w:ilvl w:val="0"/>
          <w:numId w:val="1"/>
        </w:numPr>
        <w:spacing w:after="0" w:line="360" w:lineRule="auto"/>
        <w:jc w:val="both"/>
        <w:rPr>
          <w:rFonts w:ascii="Palatino Linotype" w:hAnsi="Palatino Linotype" w:cs="Arial"/>
          <w:b/>
        </w:rPr>
      </w:pPr>
      <w:r w:rsidRPr="009E63C1">
        <w:rPr>
          <w:rFonts w:ascii="Palatino Linotype" w:hAnsi="Palatino Linotype" w:cs="Arial"/>
          <w:b/>
        </w:rPr>
        <w:t xml:space="preserve">Actos Consentidos </w:t>
      </w:r>
    </w:p>
    <w:p w14:paraId="184F161A" w14:textId="77777777" w:rsidR="009E63C1" w:rsidRDefault="009E63C1" w:rsidP="009E63C1">
      <w:pPr>
        <w:spacing w:after="0" w:line="360" w:lineRule="auto"/>
        <w:jc w:val="both"/>
        <w:rPr>
          <w:rFonts w:ascii="Palatino Linotype" w:hAnsi="Palatino Linotype" w:cs="Arial"/>
          <w:bCs/>
        </w:rPr>
      </w:pPr>
    </w:p>
    <w:p w14:paraId="61B1685E" w14:textId="107F2217" w:rsidR="009E63C1" w:rsidRDefault="009E63C1" w:rsidP="009E63C1">
      <w:pPr>
        <w:spacing w:after="0" w:line="360" w:lineRule="auto"/>
        <w:jc w:val="both"/>
        <w:rPr>
          <w:rFonts w:ascii="Palatino Linotype" w:hAnsi="Palatino Linotype" w:cs="Tahoma"/>
        </w:rPr>
      </w:pPr>
      <w:r>
        <w:rPr>
          <w:rFonts w:ascii="Palatino Linotype" w:hAnsi="Palatino Linotype" w:cs="Arial"/>
          <w:bCs/>
        </w:rPr>
        <w:t xml:space="preserve">Al respecto, </w:t>
      </w:r>
      <w:r w:rsidR="00722672">
        <w:rPr>
          <w:rFonts w:ascii="Palatino Linotype" w:hAnsi="Palatino Linotype" w:cs="Arial"/>
          <w:bCs/>
        </w:rPr>
        <w:t>cabe precisar que se</w:t>
      </w:r>
      <w:r>
        <w:rPr>
          <w:rFonts w:ascii="Palatino Linotype" w:hAnsi="Palatino Linotype" w:cs="Arial"/>
          <w:bCs/>
        </w:rPr>
        <w:t xml:space="preserve"> </w:t>
      </w:r>
      <w:r w:rsidRPr="00B40B57">
        <w:rPr>
          <w:rFonts w:ascii="Palatino Linotype" w:hAnsi="Palatino Linotype" w:cs="Tahoma"/>
        </w:rPr>
        <w:t xml:space="preserve">determinó dar vista a la </w:t>
      </w:r>
      <w:r>
        <w:rPr>
          <w:rFonts w:ascii="Palatino Linotype" w:hAnsi="Palatino Linotype" w:cs="Tahoma"/>
        </w:rPr>
        <w:t xml:space="preserve">Dirección General de Datos, </w:t>
      </w:r>
      <w:r w:rsidRPr="00D10504">
        <w:rPr>
          <w:rFonts w:ascii="Palatino Linotype" w:hAnsi="Palatino Linotype" w:cs="Tahoma"/>
        </w:rPr>
        <w:t>sin embargo,</w:t>
      </w:r>
      <w:r>
        <w:rPr>
          <w:rFonts w:ascii="Palatino Linotype" w:hAnsi="Palatino Linotype" w:cs="Tahoma"/>
        </w:rPr>
        <w:t xml:space="preserve"> como ya se señaló </w:t>
      </w:r>
      <w:r w:rsidRPr="00D10504">
        <w:rPr>
          <w:rFonts w:ascii="Palatino Linotype" w:hAnsi="Palatino Linotype" w:cs="Tahoma"/>
        </w:rPr>
        <w:t xml:space="preserve">el Particular, no se inconformó </w:t>
      </w:r>
      <w:r>
        <w:rPr>
          <w:rFonts w:ascii="Palatino Linotype" w:hAnsi="Palatino Linotype" w:cs="Tahoma"/>
        </w:rPr>
        <w:t>respecto de la información entregada, sino solo por la entrega incompleta.</w:t>
      </w:r>
    </w:p>
    <w:p w14:paraId="6DFDCE63" w14:textId="77777777" w:rsidR="009E63C1" w:rsidRDefault="009E63C1" w:rsidP="009E63C1">
      <w:pPr>
        <w:spacing w:after="0" w:line="360" w:lineRule="auto"/>
        <w:jc w:val="both"/>
        <w:rPr>
          <w:rFonts w:ascii="Palatino Linotype" w:hAnsi="Palatino Linotype" w:cs="Tahoma"/>
        </w:rPr>
      </w:pPr>
    </w:p>
    <w:p w14:paraId="3CE3AFEA" w14:textId="77777777" w:rsidR="009E63C1" w:rsidRPr="0092661F" w:rsidRDefault="009E63C1" w:rsidP="009E63C1">
      <w:pPr>
        <w:spacing w:after="0" w:line="360" w:lineRule="auto"/>
        <w:jc w:val="both"/>
        <w:rPr>
          <w:rFonts w:ascii="Palatino Linotype" w:hAnsi="Palatino Linotype" w:cs="Tahoma"/>
        </w:rPr>
      </w:pPr>
      <w:r>
        <w:rPr>
          <w:rFonts w:ascii="Palatino Linotype" w:hAnsi="Palatino Linotype" w:cs="Tahoma"/>
        </w:rPr>
        <w:t xml:space="preserve">Aunado a lo anterior, respecto los actos consentidos </w:t>
      </w:r>
      <w:r w:rsidRPr="0092661F">
        <w:rPr>
          <w:rFonts w:ascii="Palatino Linotype" w:hAnsi="Palatino Linotype" w:cs="Tahoma"/>
        </w:rPr>
        <w:t xml:space="preserve">de conformidad con lo dispuesto en el artículo 195 de la Ley de Transparencia y Acceso a la Información Pública del Estado de México y Municipios, con relación con el diverso 195, fracción IV, de Código de </w:t>
      </w:r>
      <w:r w:rsidRPr="0092661F">
        <w:rPr>
          <w:rFonts w:ascii="Palatino Linotype" w:hAnsi="Palatino Linotype" w:cs="Tahoma"/>
        </w:rPr>
        <w:lastRenderedPageBreak/>
        <w:t xml:space="preserve">Procedimientos Administrativos del Estado de México, establece que </w:t>
      </w:r>
      <w:r w:rsidRPr="0092661F">
        <w:rPr>
          <w:rFonts w:ascii="Palatino Linotype" w:hAnsi="Palatino Linotype" w:cs="Tahoma"/>
          <w:u w:val="single"/>
        </w:rPr>
        <w:t>será improcedente el recurso</w:t>
      </w:r>
      <w:r w:rsidRPr="0092661F">
        <w:rPr>
          <w:rFonts w:ascii="Palatino Linotype" w:hAnsi="Palatino Linotype" w:cs="Tahoma"/>
        </w:rPr>
        <w:t xml:space="preserve"> contra los actos que se hayan consentido tácitamente, entendiéndose por éstos cuando el recurso no se haya promovido en el plazo señalado para el efecto.</w:t>
      </w:r>
    </w:p>
    <w:p w14:paraId="05E078E8" w14:textId="77777777" w:rsidR="009E63C1" w:rsidRPr="0092661F" w:rsidRDefault="009E63C1" w:rsidP="009E63C1">
      <w:pPr>
        <w:spacing w:after="0" w:line="360" w:lineRule="auto"/>
        <w:jc w:val="both"/>
        <w:rPr>
          <w:rFonts w:ascii="Palatino Linotype" w:hAnsi="Palatino Linotype" w:cs="Tahoma"/>
        </w:rPr>
      </w:pPr>
    </w:p>
    <w:p w14:paraId="0F8B080B" w14:textId="77777777" w:rsidR="009E63C1" w:rsidRPr="0092661F" w:rsidRDefault="009E63C1" w:rsidP="009E63C1">
      <w:pPr>
        <w:spacing w:after="0" w:line="360" w:lineRule="auto"/>
        <w:jc w:val="both"/>
        <w:rPr>
          <w:rFonts w:ascii="Palatino Linotype" w:hAnsi="Palatino Linotype" w:cs="Tahoma"/>
        </w:rPr>
      </w:pPr>
      <w:r w:rsidRPr="0092661F">
        <w:rPr>
          <w:rFonts w:ascii="Palatino Linotype" w:hAnsi="Palatino Linotype" w:cs="Tahoma"/>
        </w:rPr>
        <w:t xml:space="preserve">De la misma manera resulta aplicable el criterio sostenido por el Poder Judicial de la Federación de rubro </w:t>
      </w:r>
      <w:r w:rsidRPr="0092661F">
        <w:rPr>
          <w:rFonts w:ascii="Palatino Linotype" w:hAnsi="Palatino Linotype" w:cs="Tahoma"/>
          <w:b/>
          <w:bCs/>
        </w:rPr>
        <w:t>ACTOS CONSENTIDOS TÁCITAMENTE</w:t>
      </w:r>
      <w:r w:rsidRPr="0092661F">
        <w:rPr>
          <w:rFonts w:ascii="Palatino Linotype" w:hAnsi="Palatino Linotype" w:cs="Tahoma"/>
        </w:rPr>
        <w:t>, Tesis VI.2o. J/21, emitida en la novena época, por el Segundo Tribunal Colegiado del Sexto Circuito, publicada en la Gaceta del Semanario Judicial de la Federación en agosto de 1995, página 291 y número de registro 204707, del que se desprende que cuando no se reclaman los actos de autoridad en la vía y plazos establecidos en la Ley, se presume que el particular está conforme con los mismos.</w:t>
      </w:r>
    </w:p>
    <w:p w14:paraId="63C04478" w14:textId="77777777" w:rsidR="009E63C1" w:rsidRPr="0092661F" w:rsidRDefault="009E63C1" w:rsidP="009E63C1">
      <w:pPr>
        <w:spacing w:after="0" w:line="360" w:lineRule="auto"/>
        <w:jc w:val="both"/>
        <w:rPr>
          <w:rFonts w:ascii="Palatino Linotype" w:hAnsi="Palatino Linotype" w:cs="Tahoma"/>
        </w:rPr>
      </w:pPr>
    </w:p>
    <w:p w14:paraId="620F8B74" w14:textId="77777777" w:rsidR="009E63C1" w:rsidRDefault="009E63C1" w:rsidP="009E63C1">
      <w:pPr>
        <w:spacing w:after="0" w:line="360" w:lineRule="auto"/>
        <w:jc w:val="both"/>
        <w:rPr>
          <w:rFonts w:ascii="Palatino Linotype" w:hAnsi="Palatino Linotype" w:cs="Tahoma"/>
        </w:rPr>
      </w:pPr>
      <w:r w:rsidRPr="0092661F">
        <w:rPr>
          <w:rFonts w:ascii="Palatino Linotype" w:hAnsi="Palatino Linotype" w:cs="Tahoma"/>
        </w:rPr>
        <w:t>En ese sentido, en el caso de que el Particular no haya manifestado su inconformidad en contra del acto en su totalidad o en cualquiera de sus partes, se tendrá por consentido al no haber realizado argumento alguno que formulara un agravio en su contra, por lo que, en la especie, se valida la respuesta respecto de los puntos no controvertidos y se arriba a la conclusión de que estos quedaron firmes</w:t>
      </w:r>
      <w:r>
        <w:rPr>
          <w:rFonts w:ascii="Palatino Linotype" w:hAnsi="Palatino Linotype" w:cs="Tahoma"/>
        </w:rPr>
        <w:t>, tal como fue realizado, sin embargo, al no haber inconformidad ni estudio sobre las documentales remitidas en respuesta, resulta innecesario la vista citada, de acuerdo a las siguientes consideraciones.</w:t>
      </w:r>
    </w:p>
    <w:p w14:paraId="0965D582" w14:textId="77777777" w:rsidR="009E63C1" w:rsidRDefault="009E63C1" w:rsidP="009E63C1">
      <w:pPr>
        <w:spacing w:after="0" w:line="360" w:lineRule="auto"/>
        <w:jc w:val="both"/>
        <w:rPr>
          <w:rFonts w:ascii="Palatino Linotype" w:hAnsi="Palatino Linotype" w:cs="Tahoma"/>
        </w:rPr>
      </w:pPr>
    </w:p>
    <w:p w14:paraId="22BC9314" w14:textId="77777777" w:rsidR="009E63C1" w:rsidRPr="004124F9" w:rsidRDefault="009E63C1" w:rsidP="009E63C1">
      <w:pPr>
        <w:spacing w:after="0" w:line="360" w:lineRule="auto"/>
        <w:jc w:val="both"/>
        <w:rPr>
          <w:rFonts w:ascii="Palatino Linotype" w:eastAsia="Calibri" w:hAnsi="Palatino Linotype" w:cs="Times New Roman"/>
        </w:rPr>
      </w:pPr>
      <w:r>
        <w:rPr>
          <w:rFonts w:ascii="Palatino Linotype" w:eastAsia="Calibri" w:hAnsi="Palatino Linotype" w:cs="Times New Roman"/>
        </w:rPr>
        <w:t>C</w:t>
      </w:r>
      <w:r w:rsidRPr="004124F9">
        <w:rPr>
          <w:rFonts w:ascii="Palatino Linotype" w:eastAsia="Calibri" w:hAnsi="Palatino Linotype" w:cs="Times New Roman"/>
        </w:rPr>
        <w:t xml:space="preserve">onforme a los artículos 1°, 7°, 29, 36 fracciones II, XVI, XXI,XXII, XXVII y XXXVIII; 176, 185, 186, 188, 195, 198, 199, 200, 214, 216 y 220, fracción XIX de la Ley de Transparencia vigente en la Entidad, esta tiene por objeto establecer los principios, bases generales y procedimientos para tutelar y garantizar la transparencia y el derecho humano de acceso a la información pública en posesión de los sujetos obligados, del mismo modo precisa que </w:t>
      </w:r>
      <w:r w:rsidRPr="004124F9">
        <w:rPr>
          <w:rFonts w:ascii="Palatino Linotype" w:eastAsia="Calibri" w:hAnsi="Palatino Linotype" w:cs="Times New Roman"/>
        </w:rPr>
        <w:lastRenderedPageBreak/>
        <w:t>este Instituto es un órgano público estatal constitucionalmente autónomo, especializado, independiente, imparcial y colegiado dotado de personalidad jurídica y patrimonio propio, con plena autonomía técnica, de gestión, capacidad para decidir sobre el ejercicio de su presupuesto y determinar su organización interna</w:t>
      </w:r>
      <w:r w:rsidRPr="00D51704">
        <w:rPr>
          <w:rFonts w:ascii="Palatino Linotype" w:eastAsia="Calibri" w:hAnsi="Palatino Linotype" w:cs="Times New Roman"/>
        </w:rPr>
        <w:t xml:space="preserve">, responsable de garantizar el ejercicio de los derechos de acceso a la información pública </w:t>
      </w:r>
      <w:r w:rsidRPr="004124F9">
        <w:rPr>
          <w:rFonts w:ascii="Palatino Linotype" w:eastAsia="Calibri" w:hAnsi="Palatino Linotype" w:cs="Times New Roman"/>
        </w:rPr>
        <w:t>conforme a los principios y bases establecidas en la Constitución Federal, Constitución Local, Ley General, así como lo previsto en esta Ley y demás disposiciones jurídicas aplicables.</w:t>
      </w:r>
    </w:p>
    <w:p w14:paraId="3763183E" w14:textId="77777777" w:rsidR="009E63C1" w:rsidRPr="004124F9" w:rsidRDefault="009E63C1" w:rsidP="009E63C1">
      <w:pPr>
        <w:tabs>
          <w:tab w:val="left" w:pos="0"/>
        </w:tabs>
        <w:spacing w:after="0" w:line="360" w:lineRule="auto"/>
        <w:ind w:right="49"/>
        <w:contextualSpacing/>
        <w:jc w:val="both"/>
        <w:rPr>
          <w:rFonts w:ascii="Palatino Linotype" w:eastAsia="Calibri" w:hAnsi="Palatino Linotype" w:cs="Times New Roman"/>
        </w:rPr>
      </w:pPr>
    </w:p>
    <w:p w14:paraId="6FA5E247" w14:textId="77777777" w:rsidR="009E63C1" w:rsidRDefault="009E63C1" w:rsidP="009E63C1">
      <w:pPr>
        <w:shd w:val="clear" w:color="auto" w:fill="FFFFFF"/>
        <w:spacing w:after="0" w:line="360" w:lineRule="auto"/>
        <w:ind w:right="49"/>
        <w:jc w:val="both"/>
        <w:textAlignment w:val="baseline"/>
        <w:rPr>
          <w:rFonts w:ascii="Palatino Linotype" w:eastAsia="Calibri" w:hAnsi="Palatino Linotype" w:cs="Times New Roman"/>
        </w:rPr>
      </w:pPr>
      <w:r w:rsidRPr="004124F9">
        <w:rPr>
          <w:rFonts w:ascii="Palatino Linotype" w:eastAsia="Calibri" w:hAnsi="Palatino Linotype" w:cs="Times New Roman"/>
        </w:rPr>
        <w:t>En ese sentido, es de resaltar que el recurso de revisión es la garantía secundaria mediante la cual se pretende reparar cualquier posible afectación al derecho de acceso a la información pública, en donde las resoluciones de este Órgano Garante pueden:</w:t>
      </w:r>
    </w:p>
    <w:p w14:paraId="49E6C33D" w14:textId="77777777" w:rsidR="009E63C1" w:rsidRPr="004124F9" w:rsidRDefault="009E63C1" w:rsidP="009E63C1">
      <w:pPr>
        <w:shd w:val="clear" w:color="auto" w:fill="FFFFFF"/>
        <w:spacing w:after="0" w:line="360" w:lineRule="auto"/>
        <w:ind w:right="49"/>
        <w:jc w:val="both"/>
        <w:textAlignment w:val="baseline"/>
        <w:rPr>
          <w:rFonts w:ascii="Palatino Linotype" w:eastAsia="Calibri" w:hAnsi="Palatino Linotype" w:cs="Times New Roman"/>
        </w:rPr>
      </w:pPr>
    </w:p>
    <w:p w14:paraId="34DCE855" w14:textId="77777777" w:rsidR="009E63C1" w:rsidRPr="002872F1" w:rsidRDefault="009E63C1" w:rsidP="009E63C1">
      <w:pPr>
        <w:numPr>
          <w:ilvl w:val="0"/>
          <w:numId w:val="2"/>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lang w:eastAsia="es-ES"/>
        </w:rPr>
        <w:t>Desechar o sobreseer el recurso</w:t>
      </w:r>
    </w:p>
    <w:p w14:paraId="19C9D14F" w14:textId="77777777" w:rsidR="009E63C1" w:rsidRPr="002872F1" w:rsidRDefault="009E63C1" w:rsidP="009E63C1">
      <w:pPr>
        <w:numPr>
          <w:ilvl w:val="0"/>
          <w:numId w:val="2"/>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lang w:eastAsia="es-ES"/>
        </w:rPr>
        <w:t>Confirma la respuesta del sujeto obligado</w:t>
      </w:r>
    </w:p>
    <w:p w14:paraId="6E6F81AA" w14:textId="77777777" w:rsidR="009E63C1" w:rsidRPr="002872F1" w:rsidRDefault="009E63C1" w:rsidP="009E63C1">
      <w:pPr>
        <w:numPr>
          <w:ilvl w:val="0"/>
          <w:numId w:val="2"/>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lang w:eastAsia="es-ES"/>
        </w:rPr>
        <w:t xml:space="preserve">Revocar o modificar la respuesta del sujeto obligado; y </w:t>
      </w:r>
    </w:p>
    <w:p w14:paraId="46CE38EA" w14:textId="77777777" w:rsidR="009E63C1" w:rsidRPr="002872F1" w:rsidRDefault="009E63C1" w:rsidP="009E63C1">
      <w:pPr>
        <w:numPr>
          <w:ilvl w:val="0"/>
          <w:numId w:val="2"/>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lang w:eastAsia="es-ES"/>
        </w:rPr>
        <w:t>Ordenar la entrega de la información</w:t>
      </w:r>
    </w:p>
    <w:p w14:paraId="706A410C" w14:textId="77777777" w:rsidR="009E63C1" w:rsidRPr="004124F9" w:rsidRDefault="009E63C1" w:rsidP="009E63C1">
      <w:pPr>
        <w:spacing w:after="0" w:line="360" w:lineRule="auto"/>
        <w:ind w:left="720"/>
        <w:contextualSpacing/>
        <w:jc w:val="both"/>
        <w:rPr>
          <w:rFonts w:ascii="Palatino Linotype" w:eastAsia="Calibri" w:hAnsi="Palatino Linotype" w:cs="Times New Roman"/>
          <w:lang w:eastAsia="es-ES"/>
        </w:rPr>
      </w:pPr>
    </w:p>
    <w:p w14:paraId="374E539C" w14:textId="77777777" w:rsidR="009E63C1" w:rsidRDefault="009E63C1" w:rsidP="009E63C1">
      <w:pPr>
        <w:spacing w:after="0" w:line="360" w:lineRule="auto"/>
        <w:jc w:val="both"/>
        <w:rPr>
          <w:rFonts w:ascii="Palatino Linotype" w:eastAsia="Calibri" w:hAnsi="Palatino Linotype" w:cs="Times New Roman"/>
        </w:rPr>
      </w:pPr>
      <w:r w:rsidRPr="004124F9">
        <w:rPr>
          <w:rFonts w:ascii="Palatino Linotype" w:eastAsia="Calibri" w:hAnsi="Palatino Linotype" w:cs="Times New Roman"/>
        </w:rPr>
        <w:t>Cabe agregar que las resoluciones que pronuncie este Instituto deben contener cuatro aspectos importantes:</w:t>
      </w:r>
    </w:p>
    <w:p w14:paraId="52EA5107" w14:textId="77777777" w:rsidR="009E63C1" w:rsidRPr="004124F9" w:rsidRDefault="009E63C1" w:rsidP="009E63C1">
      <w:pPr>
        <w:spacing w:after="0" w:line="360" w:lineRule="auto"/>
        <w:jc w:val="both"/>
        <w:rPr>
          <w:rFonts w:ascii="Palatino Linotype" w:eastAsia="Calibri" w:hAnsi="Palatino Linotype" w:cs="Times New Roman"/>
        </w:rPr>
      </w:pPr>
    </w:p>
    <w:p w14:paraId="02334CB8" w14:textId="77777777" w:rsidR="009E63C1" w:rsidRDefault="009E63C1" w:rsidP="009E63C1">
      <w:pPr>
        <w:numPr>
          <w:ilvl w:val="0"/>
          <w:numId w:val="3"/>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lang w:eastAsia="es-ES"/>
        </w:rPr>
        <w:t>Lugar, fecha, el nombre del recurrente y del tercero interesado en su caso, sujeto obligado y un extracto de los hechos cuestionados;</w:t>
      </w:r>
    </w:p>
    <w:p w14:paraId="0512D3CA" w14:textId="77777777" w:rsidR="009E63C1" w:rsidRPr="004124F9" w:rsidRDefault="009E63C1" w:rsidP="009E63C1">
      <w:pPr>
        <w:spacing w:after="0" w:line="360" w:lineRule="auto"/>
        <w:ind w:left="720"/>
        <w:contextualSpacing/>
        <w:jc w:val="both"/>
        <w:rPr>
          <w:rFonts w:ascii="Palatino Linotype" w:eastAsia="Calibri" w:hAnsi="Palatino Linotype" w:cs="Times New Roman"/>
          <w:sz w:val="10"/>
          <w:szCs w:val="10"/>
          <w:lang w:eastAsia="es-ES"/>
        </w:rPr>
      </w:pPr>
    </w:p>
    <w:p w14:paraId="3E538E8E" w14:textId="77777777" w:rsidR="009E63C1" w:rsidRPr="002872F1" w:rsidRDefault="009E63C1" w:rsidP="009E63C1">
      <w:pPr>
        <w:numPr>
          <w:ilvl w:val="0"/>
          <w:numId w:val="3"/>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lang w:eastAsia="es-ES"/>
        </w:rPr>
        <w:t>Los preceptos en que se fundamenten y las consideraciones que las sustenten;</w:t>
      </w:r>
    </w:p>
    <w:p w14:paraId="2690A177" w14:textId="77777777" w:rsidR="009E63C1" w:rsidRPr="004124F9" w:rsidRDefault="009E63C1" w:rsidP="009E63C1">
      <w:pPr>
        <w:spacing w:after="0" w:line="360" w:lineRule="auto"/>
        <w:ind w:left="720"/>
        <w:contextualSpacing/>
        <w:jc w:val="both"/>
        <w:rPr>
          <w:rFonts w:ascii="Palatino Linotype" w:eastAsia="Calibri" w:hAnsi="Palatino Linotype" w:cs="Times New Roman"/>
          <w:sz w:val="10"/>
          <w:szCs w:val="10"/>
          <w:lang w:eastAsia="es-ES"/>
        </w:rPr>
      </w:pPr>
    </w:p>
    <w:p w14:paraId="158F0C27" w14:textId="77777777" w:rsidR="009E63C1" w:rsidRPr="00D51704" w:rsidRDefault="009E63C1" w:rsidP="009E63C1">
      <w:pPr>
        <w:numPr>
          <w:ilvl w:val="0"/>
          <w:numId w:val="3"/>
        </w:numPr>
        <w:spacing w:after="0" w:line="360" w:lineRule="auto"/>
        <w:contextualSpacing/>
        <w:jc w:val="both"/>
        <w:rPr>
          <w:rFonts w:ascii="Palatino Linotype" w:eastAsia="Calibri" w:hAnsi="Palatino Linotype" w:cs="Times New Roman"/>
          <w:bCs/>
          <w:lang w:eastAsia="es-ES"/>
        </w:rPr>
      </w:pPr>
      <w:r w:rsidRPr="00D51704">
        <w:rPr>
          <w:rFonts w:ascii="Palatino Linotype" w:eastAsia="Calibri" w:hAnsi="Palatino Linotype" w:cs="Times New Roman"/>
          <w:bCs/>
          <w:lang w:eastAsia="es-ES"/>
        </w:rPr>
        <w:lastRenderedPageBreak/>
        <w:t>Los alcances y efectos de la resolución, fijando con precisión, en su caso, los sujetos y órganos obligados a cumplirla; y</w:t>
      </w:r>
    </w:p>
    <w:p w14:paraId="2BD1F74E" w14:textId="77777777" w:rsidR="009E63C1" w:rsidRPr="00A66F4D" w:rsidRDefault="009E63C1" w:rsidP="009E63C1">
      <w:pPr>
        <w:pStyle w:val="Prrafodelista"/>
        <w:rPr>
          <w:rFonts w:ascii="Palatino Linotype" w:hAnsi="Palatino Linotype"/>
          <w:sz w:val="8"/>
          <w:szCs w:val="8"/>
        </w:rPr>
      </w:pPr>
    </w:p>
    <w:p w14:paraId="31093B96" w14:textId="77777777" w:rsidR="009E63C1" w:rsidRPr="002872F1" w:rsidRDefault="009E63C1" w:rsidP="009E63C1">
      <w:pPr>
        <w:numPr>
          <w:ilvl w:val="0"/>
          <w:numId w:val="3"/>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lang w:eastAsia="es-ES"/>
        </w:rPr>
        <w:t>Los puntos resolutivos.</w:t>
      </w:r>
    </w:p>
    <w:p w14:paraId="4A3FB193" w14:textId="77777777" w:rsidR="009E63C1" w:rsidRPr="004124F9" w:rsidRDefault="009E63C1" w:rsidP="009E63C1">
      <w:pPr>
        <w:spacing w:after="0" w:line="360" w:lineRule="auto"/>
        <w:jc w:val="both"/>
        <w:rPr>
          <w:rFonts w:ascii="Palatino Linotype" w:eastAsia="Calibri" w:hAnsi="Palatino Linotype" w:cs="Times New Roman"/>
        </w:rPr>
      </w:pPr>
    </w:p>
    <w:p w14:paraId="088C2434" w14:textId="5E40F7E3" w:rsidR="009E63C1" w:rsidRDefault="009E63C1" w:rsidP="009E63C1">
      <w:pPr>
        <w:spacing w:after="0" w:line="360" w:lineRule="auto"/>
        <w:jc w:val="both"/>
        <w:rPr>
          <w:rFonts w:ascii="Palatino Linotype" w:eastAsia="Calibri" w:hAnsi="Palatino Linotype" w:cs="Times New Roman"/>
        </w:rPr>
      </w:pPr>
      <w:r w:rsidRPr="004124F9">
        <w:rPr>
          <w:rFonts w:ascii="Palatino Linotype" w:eastAsia="Calibri" w:hAnsi="Palatino Linotype" w:cs="Times New Roman"/>
        </w:rPr>
        <w:t>Sobre este punto, se considera de suma importancia mencionar que</w:t>
      </w:r>
      <w:r w:rsidR="001C2456">
        <w:rPr>
          <w:rFonts w:ascii="Palatino Linotype" w:eastAsia="Calibri" w:hAnsi="Palatino Linotype" w:cs="Times New Roman"/>
        </w:rPr>
        <w:t>,</w:t>
      </w:r>
      <w:r w:rsidRPr="004124F9">
        <w:rPr>
          <w:rFonts w:ascii="Palatino Linotype" w:eastAsia="Calibri" w:hAnsi="Palatino Linotype" w:cs="Times New Roman"/>
        </w:rPr>
        <w:t xml:space="preserve"> de la normatividad citada, se advierte que este Instituto está facultado entre otras cosas para:</w:t>
      </w:r>
    </w:p>
    <w:p w14:paraId="0355A387" w14:textId="77777777" w:rsidR="009E63C1" w:rsidRPr="004124F9" w:rsidRDefault="009E63C1" w:rsidP="009E63C1">
      <w:pPr>
        <w:spacing w:after="0" w:line="360" w:lineRule="auto"/>
        <w:jc w:val="both"/>
        <w:rPr>
          <w:rFonts w:ascii="Palatino Linotype" w:eastAsia="Calibri" w:hAnsi="Palatino Linotype" w:cs="Times New Roman"/>
        </w:rPr>
      </w:pPr>
    </w:p>
    <w:p w14:paraId="076F3435" w14:textId="77777777" w:rsidR="009E63C1" w:rsidRDefault="009E63C1" w:rsidP="009E63C1">
      <w:pPr>
        <w:numPr>
          <w:ilvl w:val="0"/>
          <w:numId w:val="4"/>
        </w:numPr>
        <w:spacing w:after="0" w:line="360" w:lineRule="auto"/>
        <w:contextualSpacing/>
        <w:jc w:val="both"/>
        <w:rPr>
          <w:rFonts w:ascii="Palatino Linotype" w:eastAsia="Calibri" w:hAnsi="Palatino Linotype" w:cs="Times New Roman"/>
          <w:i/>
          <w:lang w:eastAsia="es-ES"/>
        </w:rPr>
      </w:pPr>
      <w:r w:rsidRPr="002872F1">
        <w:rPr>
          <w:rFonts w:ascii="Palatino Linotype" w:eastAsia="Calibri" w:hAnsi="Palatino Linotype" w:cs="Times New Roman"/>
          <w:i/>
          <w:lang w:eastAsia="es-ES"/>
        </w:rPr>
        <w:t>Conocer y resolver los recursos de revisión interpuestos por los particulares en contra de las resoluciones de los sujetos obligados en el ámbito estatal;</w:t>
      </w:r>
    </w:p>
    <w:p w14:paraId="503297A4" w14:textId="77777777" w:rsidR="009E63C1" w:rsidRPr="004124F9" w:rsidRDefault="009E63C1" w:rsidP="009E63C1">
      <w:pPr>
        <w:spacing w:after="0" w:line="360" w:lineRule="auto"/>
        <w:ind w:left="720"/>
        <w:contextualSpacing/>
        <w:jc w:val="both"/>
        <w:rPr>
          <w:rFonts w:ascii="Palatino Linotype" w:eastAsia="Calibri" w:hAnsi="Palatino Linotype" w:cs="Times New Roman"/>
          <w:i/>
          <w:sz w:val="10"/>
          <w:szCs w:val="10"/>
          <w:lang w:eastAsia="es-ES"/>
        </w:rPr>
      </w:pPr>
    </w:p>
    <w:p w14:paraId="3FF045DF" w14:textId="77777777" w:rsidR="009E63C1" w:rsidRPr="00D51704" w:rsidRDefault="009E63C1" w:rsidP="009E63C1">
      <w:pPr>
        <w:numPr>
          <w:ilvl w:val="0"/>
          <w:numId w:val="4"/>
        </w:numPr>
        <w:spacing w:after="0" w:line="360" w:lineRule="auto"/>
        <w:contextualSpacing/>
        <w:jc w:val="both"/>
        <w:rPr>
          <w:rFonts w:ascii="Palatino Linotype" w:eastAsia="Calibri" w:hAnsi="Palatino Linotype" w:cs="Times New Roman"/>
          <w:bCs/>
          <w:i/>
          <w:lang w:eastAsia="es-ES"/>
        </w:rPr>
      </w:pPr>
      <w:r w:rsidRPr="00D51704">
        <w:rPr>
          <w:rFonts w:ascii="Palatino Linotype" w:eastAsia="Calibri" w:hAnsi="Palatino Linotype" w:cs="Times New Roman"/>
          <w:bCs/>
          <w:i/>
          <w:lang w:eastAsia="es-ES"/>
        </w:rPr>
        <w:t>Realizar de oficio y a petición de parte, análisis y recomendaciones o en su caso, lineamientos en relación con presuntos incumplimientos a las disposiciones de la Ley, cuando existan elementos suficientes a juicio del Pleno del Instituto;</w:t>
      </w:r>
    </w:p>
    <w:p w14:paraId="7FB546F0" w14:textId="77777777" w:rsidR="009E63C1" w:rsidRPr="004124F9" w:rsidRDefault="009E63C1" w:rsidP="009E63C1">
      <w:pPr>
        <w:spacing w:after="0" w:line="360" w:lineRule="auto"/>
        <w:ind w:left="720"/>
        <w:contextualSpacing/>
        <w:jc w:val="both"/>
        <w:rPr>
          <w:rFonts w:ascii="Palatino Linotype" w:eastAsia="Calibri" w:hAnsi="Palatino Linotype" w:cs="Times New Roman"/>
          <w:i/>
          <w:sz w:val="10"/>
          <w:szCs w:val="10"/>
          <w:lang w:eastAsia="es-ES"/>
        </w:rPr>
      </w:pPr>
    </w:p>
    <w:p w14:paraId="686F579A" w14:textId="77777777" w:rsidR="009E63C1" w:rsidRPr="002872F1" w:rsidRDefault="009E63C1" w:rsidP="009E63C1">
      <w:pPr>
        <w:numPr>
          <w:ilvl w:val="0"/>
          <w:numId w:val="4"/>
        </w:numPr>
        <w:spacing w:after="0" w:line="360" w:lineRule="auto"/>
        <w:contextualSpacing/>
        <w:jc w:val="both"/>
        <w:rPr>
          <w:rFonts w:ascii="Palatino Linotype" w:eastAsia="Calibri" w:hAnsi="Palatino Linotype" w:cs="Times New Roman"/>
          <w:i/>
          <w:lang w:eastAsia="es-ES"/>
        </w:rPr>
      </w:pPr>
      <w:r w:rsidRPr="00D51704">
        <w:rPr>
          <w:rFonts w:ascii="Palatino Linotype" w:eastAsia="Calibri" w:hAnsi="Palatino Linotype" w:cs="Times New Roman"/>
          <w:bCs/>
          <w:i/>
          <w:lang w:eastAsia="es-ES"/>
        </w:rPr>
        <w:t>Emitir comunicados públicos sobre el incumplimiento de sus resoluciones o por infracciones reiteradas a la Ley, en el</w:t>
      </w:r>
      <w:r w:rsidRPr="002872F1">
        <w:rPr>
          <w:rFonts w:ascii="Palatino Linotype" w:eastAsia="Calibri" w:hAnsi="Palatino Linotype" w:cs="Times New Roman"/>
          <w:i/>
          <w:lang w:eastAsia="es-ES"/>
        </w:rPr>
        <w:t xml:space="preserve"> ámbito de su competencia;</w:t>
      </w:r>
    </w:p>
    <w:p w14:paraId="128096E0" w14:textId="77777777" w:rsidR="009E63C1" w:rsidRPr="004124F9" w:rsidRDefault="009E63C1" w:rsidP="009E63C1">
      <w:pPr>
        <w:spacing w:after="0" w:line="360" w:lineRule="auto"/>
        <w:ind w:left="720"/>
        <w:contextualSpacing/>
        <w:jc w:val="both"/>
        <w:rPr>
          <w:rFonts w:ascii="Palatino Linotype" w:eastAsia="Calibri" w:hAnsi="Palatino Linotype" w:cs="Times New Roman"/>
          <w:i/>
          <w:sz w:val="10"/>
          <w:szCs w:val="10"/>
          <w:lang w:eastAsia="es-ES"/>
        </w:rPr>
      </w:pPr>
    </w:p>
    <w:p w14:paraId="6A28C060" w14:textId="77777777" w:rsidR="009E63C1" w:rsidRPr="002872F1" w:rsidRDefault="009E63C1" w:rsidP="009E63C1">
      <w:pPr>
        <w:numPr>
          <w:ilvl w:val="0"/>
          <w:numId w:val="4"/>
        </w:numPr>
        <w:spacing w:after="0" w:line="360" w:lineRule="auto"/>
        <w:contextualSpacing/>
        <w:jc w:val="both"/>
        <w:rPr>
          <w:rFonts w:ascii="Palatino Linotype" w:eastAsia="Calibri" w:hAnsi="Palatino Linotype" w:cs="Times New Roman"/>
          <w:i/>
          <w:lang w:eastAsia="es-ES"/>
        </w:rPr>
      </w:pPr>
      <w:r w:rsidRPr="002872F1">
        <w:rPr>
          <w:rFonts w:ascii="Palatino Linotype" w:eastAsia="Calibri" w:hAnsi="Palatino Linotype" w:cs="Times New Roman"/>
          <w:i/>
          <w:lang w:eastAsia="es-ES"/>
        </w:rPr>
        <w:t>Ordenar a los sujetos obligados la ejecutoría en la entrega de información en términos de la presente Ley;</w:t>
      </w:r>
    </w:p>
    <w:p w14:paraId="38691B23" w14:textId="77777777" w:rsidR="009E63C1" w:rsidRPr="004124F9" w:rsidRDefault="009E63C1" w:rsidP="009E63C1">
      <w:pPr>
        <w:spacing w:after="0" w:line="360" w:lineRule="auto"/>
        <w:ind w:left="720"/>
        <w:contextualSpacing/>
        <w:jc w:val="both"/>
        <w:rPr>
          <w:rFonts w:ascii="Palatino Linotype" w:eastAsia="Calibri" w:hAnsi="Palatino Linotype" w:cs="Times New Roman"/>
          <w:i/>
          <w:sz w:val="10"/>
          <w:szCs w:val="10"/>
          <w:lang w:eastAsia="es-ES"/>
        </w:rPr>
      </w:pPr>
    </w:p>
    <w:p w14:paraId="3342D5A6" w14:textId="77777777" w:rsidR="009E63C1" w:rsidRPr="002872F1" w:rsidRDefault="009E63C1" w:rsidP="009E63C1">
      <w:pPr>
        <w:numPr>
          <w:ilvl w:val="0"/>
          <w:numId w:val="4"/>
        </w:numPr>
        <w:spacing w:after="0" w:line="360" w:lineRule="auto"/>
        <w:contextualSpacing/>
        <w:jc w:val="both"/>
        <w:rPr>
          <w:rFonts w:ascii="Palatino Linotype" w:eastAsia="Calibri" w:hAnsi="Palatino Linotype" w:cs="Times New Roman"/>
          <w:i/>
          <w:lang w:eastAsia="es-ES"/>
        </w:rPr>
      </w:pPr>
      <w:r w:rsidRPr="002872F1">
        <w:rPr>
          <w:rFonts w:ascii="Palatino Linotype" w:eastAsia="Calibri" w:hAnsi="Palatino Linotype" w:cs="Times New Roman"/>
          <w:i/>
          <w:lang w:eastAsia="es-ES"/>
        </w:rPr>
        <w:t>Imponer las medidas de apremio para asegurar el cumplimiento de sus determinaciones;</w:t>
      </w:r>
    </w:p>
    <w:p w14:paraId="260B032B" w14:textId="77777777" w:rsidR="009E63C1" w:rsidRPr="004124F9" w:rsidRDefault="009E63C1" w:rsidP="009E63C1">
      <w:pPr>
        <w:spacing w:after="0" w:line="360" w:lineRule="auto"/>
        <w:ind w:left="720"/>
        <w:contextualSpacing/>
        <w:jc w:val="both"/>
        <w:rPr>
          <w:rFonts w:ascii="Palatino Linotype" w:eastAsia="Calibri" w:hAnsi="Palatino Linotype" w:cs="Times New Roman"/>
          <w:i/>
          <w:sz w:val="10"/>
          <w:szCs w:val="10"/>
          <w:lang w:eastAsia="es-ES"/>
        </w:rPr>
      </w:pPr>
    </w:p>
    <w:p w14:paraId="0F855580" w14:textId="77777777" w:rsidR="009E63C1" w:rsidRPr="00B54C93" w:rsidRDefault="009E63C1" w:rsidP="009E63C1">
      <w:pPr>
        <w:numPr>
          <w:ilvl w:val="0"/>
          <w:numId w:val="4"/>
        </w:numPr>
        <w:spacing w:after="0" w:line="360" w:lineRule="auto"/>
        <w:contextualSpacing/>
        <w:jc w:val="both"/>
        <w:rPr>
          <w:rFonts w:ascii="Palatino Linotype" w:eastAsia="Calibri" w:hAnsi="Palatino Linotype" w:cs="Times New Roman"/>
          <w:i/>
          <w:lang w:eastAsia="es-ES"/>
        </w:rPr>
      </w:pPr>
      <w:r w:rsidRPr="00B54C93">
        <w:rPr>
          <w:rFonts w:ascii="Palatino Linotype" w:eastAsia="Calibri" w:hAnsi="Palatino Linotype" w:cs="Times New Roman"/>
          <w:i/>
          <w:lang w:eastAsia="es-ES"/>
        </w:rPr>
        <w:t xml:space="preserve">Hacer del conocimiento de la instancia competente la probable responsabilidad por el incumplimiento de las obligaciones previstas en la Ley y en las demás disposiciones aplicable.  </w:t>
      </w:r>
    </w:p>
    <w:p w14:paraId="092DD0EB" w14:textId="77777777" w:rsidR="009E63C1" w:rsidRPr="004124F9" w:rsidRDefault="009E63C1" w:rsidP="009E63C1">
      <w:pPr>
        <w:spacing w:after="0" w:line="360" w:lineRule="auto"/>
        <w:jc w:val="both"/>
        <w:rPr>
          <w:rFonts w:ascii="Palatino Linotype" w:eastAsia="Calibri" w:hAnsi="Palatino Linotype" w:cs="Times New Roman"/>
        </w:rPr>
      </w:pPr>
    </w:p>
    <w:p w14:paraId="3DB46A70" w14:textId="77777777" w:rsidR="009E63C1" w:rsidRDefault="009E63C1" w:rsidP="009E63C1">
      <w:pPr>
        <w:spacing w:after="0" w:line="360" w:lineRule="auto"/>
        <w:jc w:val="both"/>
        <w:rPr>
          <w:rFonts w:ascii="Palatino Linotype" w:eastAsia="Calibri" w:hAnsi="Palatino Linotype" w:cs="Times New Roman"/>
        </w:rPr>
      </w:pPr>
      <w:r>
        <w:rPr>
          <w:rFonts w:ascii="Palatino Linotype" w:eastAsia="Calibri" w:hAnsi="Palatino Linotype" w:cs="Times New Roman"/>
        </w:rPr>
        <w:t xml:space="preserve">Establecido lo anterior, debe tomarse en cuenta </w:t>
      </w:r>
      <w:r w:rsidRPr="004124F9">
        <w:rPr>
          <w:rFonts w:ascii="Palatino Linotype" w:eastAsia="Calibri" w:hAnsi="Palatino Linotype" w:cs="Times New Roman"/>
        </w:rPr>
        <w:t xml:space="preserve">que la vista a la Dirección </w:t>
      </w:r>
      <w:r>
        <w:rPr>
          <w:rFonts w:ascii="Palatino Linotype" w:eastAsia="Calibri" w:hAnsi="Palatino Linotype" w:cs="Times New Roman"/>
        </w:rPr>
        <w:t xml:space="preserve">General de Datos </w:t>
      </w:r>
      <w:r w:rsidRPr="004124F9">
        <w:rPr>
          <w:rFonts w:ascii="Palatino Linotype" w:eastAsia="Calibri" w:hAnsi="Palatino Linotype" w:cs="Times New Roman"/>
        </w:rPr>
        <w:t xml:space="preserve">de este Instituto, no debió incluirse en los resolutivos de la resolución referida, toda vez que, </w:t>
      </w:r>
      <w:r>
        <w:rPr>
          <w:rFonts w:ascii="Palatino Linotype" w:eastAsia="Calibri" w:hAnsi="Palatino Linotype" w:cs="Times New Roman"/>
        </w:rPr>
        <w:lastRenderedPageBreak/>
        <w:t>el Particular no se inconformó sobre de la información proporcionada en respuesta</w:t>
      </w:r>
      <w:r w:rsidRPr="004124F9">
        <w:rPr>
          <w:rFonts w:ascii="Palatino Linotype" w:eastAsia="Calibri" w:hAnsi="Palatino Linotype" w:cs="Times New Roman"/>
        </w:rPr>
        <w:t xml:space="preserve">, es decir, no forma parte de la </w:t>
      </w:r>
      <w:r>
        <w:rPr>
          <w:rFonts w:ascii="Palatino Linotype" w:eastAsia="Calibri" w:hAnsi="Palatino Linotype" w:cs="Times New Roman"/>
        </w:rPr>
        <w:t>l</w:t>
      </w:r>
      <w:r w:rsidRPr="004124F9">
        <w:rPr>
          <w:rFonts w:ascii="Palatino Linotype" w:eastAsia="Calibri" w:hAnsi="Palatino Linotype" w:cs="Times New Roman"/>
        </w:rPr>
        <w:t>itis</w:t>
      </w:r>
      <w:r>
        <w:rPr>
          <w:rFonts w:ascii="Palatino Linotype" w:eastAsia="Calibri" w:hAnsi="Palatino Linotype" w:cs="Times New Roman"/>
        </w:rPr>
        <w:t xml:space="preserve"> (por </w:t>
      </w:r>
      <w:r w:rsidRPr="00C7372C">
        <w:rPr>
          <w:rFonts w:ascii="Palatino Linotype" w:eastAsia="Calibri" w:hAnsi="Palatino Linotype" w:cs="Times New Roman"/>
        </w:rPr>
        <w:t>Litis es un vocablo latino que en idioma español se traduce como litigio, significando disputa o controversia judicial; diferencia de intereses entre dos partes, llamadas litigantes, sometidas a decisión de un Juez.</w:t>
      </w:r>
      <w:r>
        <w:rPr>
          <w:rFonts w:ascii="Palatino Linotype" w:eastAsia="Calibri" w:hAnsi="Palatino Linotype" w:cs="Times New Roman"/>
        </w:rPr>
        <w:t xml:space="preserve">) y por lo tanto no se analizó la documentación entregada al invocar actos consentidos. </w:t>
      </w:r>
    </w:p>
    <w:p w14:paraId="2D4E2415" w14:textId="77777777" w:rsidR="00E91F1B" w:rsidRDefault="00E91F1B" w:rsidP="00E91F1B">
      <w:pPr>
        <w:spacing w:after="0" w:line="360" w:lineRule="auto"/>
        <w:jc w:val="both"/>
        <w:rPr>
          <w:rFonts w:ascii="Palatino Linotype" w:hAnsi="Palatino Linotype" w:cs="Arial"/>
          <w:bCs/>
        </w:rPr>
      </w:pPr>
    </w:p>
    <w:p w14:paraId="5230877C" w14:textId="593F0D10" w:rsidR="00BF6772" w:rsidRDefault="00E91F1B" w:rsidP="00E91F1B">
      <w:pPr>
        <w:spacing w:after="0" w:line="360" w:lineRule="auto"/>
        <w:jc w:val="both"/>
        <w:rPr>
          <w:rFonts w:ascii="Palatino Linotype" w:hAnsi="Palatino Linotype" w:cs="Arial"/>
          <w:bCs/>
        </w:rPr>
      </w:pPr>
      <w:r w:rsidRPr="00E91F1B">
        <w:rPr>
          <w:rFonts w:ascii="Palatino Linotype" w:hAnsi="Palatino Linotype" w:cs="Arial"/>
          <w:bCs/>
        </w:rPr>
        <w:t xml:space="preserve">Así, con base en los razonamientos expuestos, </w:t>
      </w:r>
      <w:r w:rsidRPr="00E91F1B">
        <w:rPr>
          <w:rFonts w:ascii="Palatino Linotype" w:hAnsi="Palatino Linotype" w:cs="Arial"/>
          <w:b/>
          <w:bCs/>
        </w:rPr>
        <w:t xml:space="preserve">se emite el presente Voto </w:t>
      </w:r>
      <w:r w:rsidR="00722672">
        <w:rPr>
          <w:rFonts w:ascii="Palatino Linotype" w:hAnsi="Palatino Linotype" w:cs="Arial"/>
          <w:b/>
          <w:bCs/>
        </w:rPr>
        <w:t>Particular</w:t>
      </w:r>
      <w:r w:rsidRPr="00E91F1B">
        <w:rPr>
          <w:rFonts w:ascii="Palatino Linotype" w:hAnsi="Palatino Linotype" w:cs="Arial"/>
          <w:bCs/>
        </w:rPr>
        <w:t xml:space="preserve">. -------- ------------------------------------------------------------------------------------------------------------------------ </w:t>
      </w:r>
    </w:p>
    <w:p w14:paraId="4025CB7B" w14:textId="77777777" w:rsidR="00BF6772" w:rsidRDefault="00BF6772">
      <w:pPr>
        <w:rPr>
          <w:rFonts w:ascii="Palatino Linotype" w:hAnsi="Palatino Linotype" w:cs="Arial"/>
          <w:bCs/>
        </w:rPr>
      </w:pPr>
      <w:r>
        <w:rPr>
          <w:rFonts w:ascii="Palatino Linotype" w:hAnsi="Palatino Linotype" w:cs="Arial"/>
          <w:bCs/>
        </w:rPr>
        <w:br w:type="page"/>
      </w:r>
    </w:p>
    <w:p w14:paraId="2894B94D" w14:textId="77777777" w:rsidR="00E91F1B" w:rsidRPr="00E91F1B" w:rsidRDefault="00E91F1B" w:rsidP="00E91F1B">
      <w:pPr>
        <w:spacing w:after="0" w:line="360" w:lineRule="auto"/>
        <w:jc w:val="both"/>
        <w:rPr>
          <w:rFonts w:ascii="Palatino Linotype" w:hAnsi="Palatino Linotype" w:cs="Arial"/>
          <w:bCs/>
        </w:rPr>
      </w:pPr>
    </w:p>
    <w:sectPr w:rsidR="00E91F1B" w:rsidRPr="00E91F1B" w:rsidSect="009A041C">
      <w:headerReference w:type="default" r:id="rId7"/>
      <w:footerReference w:type="default" r:id="rId8"/>
      <w:pgSz w:w="12240" w:h="15840" w:code="1"/>
      <w:pgMar w:top="1417" w:right="1701" w:bottom="1560" w:left="1701" w:header="142" w:footer="11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4AEC2" w14:textId="77777777" w:rsidR="00267D41" w:rsidRDefault="00267D41" w:rsidP="005527AD">
      <w:pPr>
        <w:spacing w:after="0" w:line="240" w:lineRule="auto"/>
      </w:pPr>
      <w:r>
        <w:separator/>
      </w:r>
    </w:p>
  </w:endnote>
  <w:endnote w:type="continuationSeparator" w:id="0">
    <w:p w14:paraId="47B3A303" w14:textId="77777777" w:rsidR="00267D41" w:rsidRDefault="00267D41" w:rsidP="00552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229452"/>
      <w:docPartObj>
        <w:docPartGallery w:val="Page Numbers (Bottom of Page)"/>
        <w:docPartUnique/>
      </w:docPartObj>
    </w:sdtPr>
    <w:sdtContent>
      <w:sdt>
        <w:sdtPr>
          <w:id w:val="-1769616900"/>
          <w:docPartObj>
            <w:docPartGallery w:val="Page Numbers (Top of Page)"/>
            <w:docPartUnique/>
          </w:docPartObj>
        </w:sdtPr>
        <w:sdtContent>
          <w:p w14:paraId="1E696A5D" w14:textId="77777777" w:rsidR="00D11148" w:rsidRDefault="00CF3C6E">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057899">
              <w:rPr>
                <w:b/>
                <w:bCs/>
                <w:noProof/>
              </w:rPr>
              <w:t>6</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057899">
              <w:rPr>
                <w:b/>
                <w:bCs/>
                <w:noProof/>
              </w:rPr>
              <w:t>6</w:t>
            </w:r>
            <w:r>
              <w:rPr>
                <w:b/>
                <w:bCs/>
                <w:sz w:val="24"/>
                <w:szCs w:val="24"/>
              </w:rPr>
              <w:fldChar w:fldCharType="end"/>
            </w:r>
          </w:p>
        </w:sdtContent>
      </w:sdt>
    </w:sdtContent>
  </w:sdt>
  <w:p w14:paraId="4D223226" w14:textId="77777777" w:rsidR="00D11148" w:rsidRDefault="00D111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962B1" w14:textId="77777777" w:rsidR="00267D41" w:rsidRDefault="00267D41" w:rsidP="005527AD">
      <w:pPr>
        <w:spacing w:after="0" w:line="240" w:lineRule="auto"/>
      </w:pPr>
      <w:r>
        <w:separator/>
      </w:r>
    </w:p>
  </w:footnote>
  <w:footnote w:type="continuationSeparator" w:id="0">
    <w:p w14:paraId="18E05BD2" w14:textId="77777777" w:rsidR="00267D41" w:rsidRDefault="00267D41" w:rsidP="005527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5528"/>
    </w:tblGrid>
    <w:tr w:rsidR="003212EB" w:rsidRPr="001106EA" w14:paraId="2B80A1D5" w14:textId="77777777" w:rsidTr="007B12A8">
      <w:trPr>
        <w:trHeight w:val="1782"/>
      </w:trPr>
      <w:tc>
        <w:tcPr>
          <w:tcW w:w="3119" w:type="dxa"/>
          <w:vAlign w:val="bottom"/>
        </w:tcPr>
        <w:p w14:paraId="68B04F91" w14:textId="77777777" w:rsidR="00D11148" w:rsidRDefault="00CF3C6E"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59264" behindDoc="0" locked="0" layoutInCell="1" allowOverlap="1" wp14:anchorId="4E726AAC" wp14:editId="167330CA">
                <wp:simplePos x="0" y="0"/>
                <wp:positionH relativeFrom="column">
                  <wp:posOffset>-320040</wp:posOffset>
                </wp:positionH>
                <wp:positionV relativeFrom="paragraph">
                  <wp:posOffset>-969645</wp:posOffset>
                </wp:positionV>
                <wp:extent cx="1873250" cy="1126490"/>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4EE95B85" w14:textId="77777777" w:rsidR="00D11148" w:rsidRDefault="00D11148" w:rsidP="00285C7B">
          <w:pPr>
            <w:pStyle w:val="Encabezado"/>
            <w:tabs>
              <w:tab w:val="clear" w:pos="4252"/>
              <w:tab w:val="center" w:pos="2614"/>
            </w:tabs>
            <w:ind w:left="-255"/>
          </w:pPr>
        </w:p>
      </w:tc>
      <w:tc>
        <w:tcPr>
          <w:tcW w:w="5528" w:type="dxa"/>
          <w:vAlign w:val="center"/>
        </w:tcPr>
        <w:p w14:paraId="6968E218" w14:textId="77777777" w:rsidR="00D11148" w:rsidRDefault="00D11148" w:rsidP="00C608FE">
          <w:pPr>
            <w:pStyle w:val="Encabezado"/>
            <w:spacing w:line="360" w:lineRule="auto"/>
            <w:ind w:left="-108" w:right="-250"/>
            <w:jc w:val="both"/>
            <w:rPr>
              <w:rFonts w:ascii="Palatino Linotype" w:hAnsi="Palatino Linotype" w:cs="Tahoma"/>
              <w:b/>
            </w:rPr>
          </w:pPr>
        </w:p>
        <w:p w14:paraId="77B69852" w14:textId="77777777" w:rsidR="00D11148" w:rsidRDefault="00D11148" w:rsidP="00C608FE">
          <w:pPr>
            <w:pStyle w:val="Encabezado"/>
            <w:spacing w:line="360" w:lineRule="auto"/>
            <w:ind w:left="-108" w:right="-250"/>
            <w:jc w:val="both"/>
            <w:rPr>
              <w:rFonts w:ascii="Palatino Linotype" w:hAnsi="Palatino Linotype" w:cs="Tahoma"/>
              <w:b/>
            </w:rPr>
          </w:pPr>
        </w:p>
        <w:p w14:paraId="32FE6751" w14:textId="51EC1D30" w:rsidR="00D11148" w:rsidRPr="00B9745A" w:rsidRDefault="006D201D" w:rsidP="00DC5CFF">
          <w:pPr>
            <w:pStyle w:val="Encabezado"/>
            <w:ind w:left="-108" w:right="-250"/>
            <w:jc w:val="both"/>
            <w:rPr>
              <w:rFonts w:ascii="Palatino Linotype" w:hAnsi="Palatino Linotype" w:cs="Tahoma"/>
              <w:b/>
            </w:rPr>
          </w:pPr>
          <w:r>
            <w:rPr>
              <w:rFonts w:ascii="Palatino Linotype" w:hAnsi="Palatino Linotype" w:cs="Tahoma"/>
              <w:b/>
            </w:rPr>
            <w:t xml:space="preserve">Voto </w:t>
          </w:r>
          <w:r w:rsidR="00651552">
            <w:rPr>
              <w:rFonts w:ascii="Palatino Linotype" w:hAnsi="Palatino Linotype" w:cs="Tahoma"/>
              <w:b/>
            </w:rPr>
            <w:t>Particular</w:t>
          </w:r>
        </w:p>
        <w:p w14:paraId="1F72B00E" w14:textId="77777777" w:rsidR="004D466D" w:rsidRDefault="00CF3C6E" w:rsidP="00DC5CFF">
          <w:pPr>
            <w:pStyle w:val="Encabezado"/>
            <w:ind w:left="-108"/>
            <w:jc w:val="both"/>
            <w:rPr>
              <w:rFonts w:ascii="Palatino Linotype" w:hAnsi="Palatino Linotype" w:cs="Tahoma"/>
            </w:rPr>
          </w:pPr>
          <w:r w:rsidRPr="00B9745A">
            <w:rPr>
              <w:rFonts w:ascii="Palatino Linotype" w:hAnsi="Palatino Linotype" w:cs="Tahoma"/>
              <w:b/>
            </w:rPr>
            <w:t xml:space="preserve">Recurso de Revisión: </w:t>
          </w:r>
          <w:r w:rsidR="004D466D" w:rsidRPr="004D466D">
            <w:rPr>
              <w:rFonts w:ascii="Palatino Linotype" w:hAnsi="Palatino Linotype" w:cs="Tahoma"/>
            </w:rPr>
            <w:t>03040/INFOEM/IP/RR/2023 y acumulados</w:t>
          </w:r>
        </w:p>
        <w:p w14:paraId="5E3AC219" w14:textId="562111F0" w:rsidR="00D11148" w:rsidRDefault="00CF3C6E" w:rsidP="00DC5CFF">
          <w:pPr>
            <w:pStyle w:val="Encabezado"/>
            <w:ind w:left="-108"/>
            <w:jc w:val="both"/>
            <w:rPr>
              <w:rFonts w:ascii="Palatino Linotype" w:hAnsi="Palatino Linotype"/>
              <w:bCs/>
              <w:lang w:val="es-MX"/>
            </w:rPr>
          </w:pPr>
          <w:r>
            <w:rPr>
              <w:rFonts w:ascii="Palatino Linotype" w:hAnsi="Palatino Linotype" w:cs="Tahoma"/>
              <w:b/>
            </w:rPr>
            <w:t>Sujeto Obligado:</w:t>
          </w:r>
          <w:r>
            <w:rPr>
              <w:rFonts w:ascii="Palatino Linotype" w:hAnsi="Palatino Linotype"/>
              <w:bCs/>
              <w:lang w:val="es-MX"/>
            </w:rPr>
            <w:t xml:space="preserve"> </w:t>
          </w:r>
          <w:r w:rsidR="004D466D" w:rsidRPr="004D466D">
            <w:rPr>
              <w:rFonts w:ascii="Palatino Linotype" w:hAnsi="Palatino Linotype"/>
              <w:lang w:val="es-ES_tradnl"/>
            </w:rPr>
            <w:t>Poder Legislativ</w:t>
          </w:r>
          <w:r w:rsidR="004D466D">
            <w:rPr>
              <w:rFonts w:ascii="Palatino Linotype" w:hAnsi="Palatino Linotype"/>
              <w:lang w:val="es-ES_tradnl"/>
            </w:rPr>
            <w:t>o</w:t>
          </w:r>
        </w:p>
        <w:p w14:paraId="44AC2335" w14:textId="0D9CEEC5" w:rsidR="00D11148" w:rsidRDefault="00CF3C6E" w:rsidP="00201767">
          <w:pPr>
            <w:pStyle w:val="Encabezado"/>
            <w:ind w:left="-108"/>
            <w:jc w:val="both"/>
            <w:rPr>
              <w:rFonts w:ascii="Palatino Linotype" w:hAnsi="Palatino Linotype" w:cs="Arial"/>
              <w:szCs w:val="20"/>
            </w:rPr>
          </w:pPr>
          <w:r w:rsidRPr="00B9745A">
            <w:rPr>
              <w:rFonts w:ascii="Palatino Linotype" w:hAnsi="Palatino Linotype" w:cs="Tahoma"/>
              <w:b/>
            </w:rPr>
            <w:t>Comisionad</w:t>
          </w:r>
          <w:r>
            <w:rPr>
              <w:rFonts w:ascii="Palatino Linotype" w:hAnsi="Palatino Linotype" w:cs="Tahoma"/>
              <w:b/>
            </w:rPr>
            <w:t>a</w:t>
          </w:r>
          <w:r w:rsidRPr="00B9745A">
            <w:rPr>
              <w:rFonts w:ascii="Palatino Linotype" w:hAnsi="Palatino Linotype" w:cs="Tahoma"/>
              <w:b/>
            </w:rPr>
            <w:t xml:space="preserve"> Ponente: </w:t>
          </w:r>
          <w:r w:rsidR="004D466D" w:rsidRPr="004D466D">
            <w:rPr>
              <w:rFonts w:ascii="Palatino Linotype" w:hAnsi="Palatino Linotype" w:cs="Arial"/>
              <w:bCs/>
              <w:szCs w:val="20"/>
              <w:lang w:val="es-ES_tradnl"/>
            </w:rPr>
            <w:t>José Martínez Vilchi</w:t>
          </w:r>
          <w:r w:rsidR="00404726">
            <w:rPr>
              <w:rFonts w:ascii="Palatino Linotype" w:hAnsi="Palatino Linotype" w:cs="Arial"/>
              <w:bCs/>
              <w:szCs w:val="20"/>
              <w:lang w:val="es-ES_tradnl"/>
            </w:rPr>
            <w:t>s</w:t>
          </w:r>
        </w:p>
        <w:p w14:paraId="02CA71E9" w14:textId="07117B19" w:rsidR="00201767" w:rsidRPr="009A041C" w:rsidRDefault="00201767" w:rsidP="00201767">
          <w:pPr>
            <w:pStyle w:val="Encabezado"/>
            <w:ind w:left="-108"/>
            <w:jc w:val="both"/>
            <w:rPr>
              <w:rFonts w:ascii="Palatino Linotype" w:hAnsi="Palatino Linotype" w:cs="Arial"/>
              <w:szCs w:val="20"/>
            </w:rPr>
          </w:pPr>
        </w:p>
      </w:tc>
    </w:tr>
  </w:tbl>
  <w:p w14:paraId="00CD25FA" w14:textId="77777777" w:rsidR="00D11148" w:rsidRPr="001106EA" w:rsidRDefault="00D11148">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09EF"/>
    <w:multiLevelType w:val="hybridMultilevel"/>
    <w:tmpl w:val="962A6F3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C583424"/>
    <w:multiLevelType w:val="hybridMultilevel"/>
    <w:tmpl w:val="DBBC369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 w15:restartNumberingAfterBreak="0">
    <w:nsid w:val="5BB8781B"/>
    <w:multiLevelType w:val="hybridMultilevel"/>
    <w:tmpl w:val="EA30DF5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7CC13F3E"/>
    <w:multiLevelType w:val="hybridMultilevel"/>
    <w:tmpl w:val="C3F2A4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080754592">
    <w:abstractNumId w:val="1"/>
  </w:num>
  <w:num w:numId="2" w16cid:durableId="2002157236">
    <w:abstractNumId w:val="2"/>
  </w:num>
  <w:num w:numId="3" w16cid:durableId="629750206">
    <w:abstractNumId w:val="0"/>
  </w:num>
  <w:num w:numId="4" w16cid:durableId="17877705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7AD"/>
    <w:rsid w:val="000038F8"/>
    <w:rsid w:val="00050538"/>
    <w:rsid w:val="00057899"/>
    <w:rsid w:val="00063277"/>
    <w:rsid w:val="00067E1E"/>
    <w:rsid w:val="00092361"/>
    <w:rsid w:val="000B239D"/>
    <w:rsid w:val="000C1129"/>
    <w:rsid w:val="000D1412"/>
    <w:rsid w:val="000D5C7C"/>
    <w:rsid w:val="000E1F87"/>
    <w:rsid w:val="000E7959"/>
    <w:rsid w:val="000F3E52"/>
    <w:rsid w:val="0010533B"/>
    <w:rsid w:val="00117595"/>
    <w:rsid w:val="00140578"/>
    <w:rsid w:val="001520CB"/>
    <w:rsid w:val="001665FB"/>
    <w:rsid w:val="00183BEF"/>
    <w:rsid w:val="001B50FA"/>
    <w:rsid w:val="001C2456"/>
    <w:rsid w:val="001D1748"/>
    <w:rsid w:val="001E2151"/>
    <w:rsid w:val="001F09DE"/>
    <w:rsid w:val="00201767"/>
    <w:rsid w:val="00240774"/>
    <w:rsid w:val="0024286D"/>
    <w:rsid w:val="00245F8E"/>
    <w:rsid w:val="00255AA8"/>
    <w:rsid w:val="00267D41"/>
    <w:rsid w:val="002702D4"/>
    <w:rsid w:val="002712FE"/>
    <w:rsid w:val="00271E68"/>
    <w:rsid w:val="002850C4"/>
    <w:rsid w:val="00292B29"/>
    <w:rsid w:val="00294279"/>
    <w:rsid w:val="00313980"/>
    <w:rsid w:val="0032105B"/>
    <w:rsid w:val="003247C4"/>
    <w:rsid w:val="0033652D"/>
    <w:rsid w:val="00344DD5"/>
    <w:rsid w:val="0034655F"/>
    <w:rsid w:val="003601C4"/>
    <w:rsid w:val="00372E35"/>
    <w:rsid w:val="0039348A"/>
    <w:rsid w:val="00395B07"/>
    <w:rsid w:val="003A62CB"/>
    <w:rsid w:val="003B215E"/>
    <w:rsid w:val="003C7677"/>
    <w:rsid w:val="003D6A8B"/>
    <w:rsid w:val="00400D5A"/>
    <w:rsid w:val="00404726"/>
    <w:rsid w:val="00417AC1"/>
    <w:rsid w:val="00462A67"/>
    <w:rsid w:val="0046725B"/>
    <w:rsid w:val="004806E8"/>
    <w:rsid w:val="00495CCD"/>
    <w:rsid w:val="004A580F"/>
    <w:rsid w:val="004A6197"/>
    <w:rsid w:val="004D1E7C"/>
    <w:rsid w:val="004D466D"/>
    <w:rsid w:val="00501B56"/>
    <w:rsid w:val="005022AF"/>
    <w:rsid w:val="00512653"/>
    <w:rsid w:val="00513084"/>
    <w:rsid w:val="00534890"/>
    <w:rsid w:val="00535341"/>
    <w:rsid w:val="0053759D"/>
    <w:rsid w:val="005455F4"/>
    <w:rsid w:val="005513AA"/>
    <w:rsid w:val="0055215F"/>
    <w:rsid w:val="005527AD"/>
    <w:rsid w:val="00564133"/>
    <w:rsid w:val="0058001B"/>
    <w:rsid w:val="00581AD5"/>
    <w:rsid w:val="00583254"/>
    <w:rsid w:val="005B1050"/>
    <w:rsid w:val="005B34A5"/>
    <w:rsid w:val="005B4376"/>
    <w:rsid w:val="005C6EDE"/>
    <w:rsid w:val="005D3B67"/>
    <w:rsid w:val="005E10F4"/>
    <w:rsid w:val="005E2F6E"/>
    <w:rsid w:val="005E7E11"/>
    <w:rsid w:val="005F4E58"/>
    <w:rsid w:val="00612AE0"/>
    <w:rsid w:val="006304ED"/>
    <w:rsid w:val="00630E63"/>
    <w:rsid w:val="00651552"/>
    <w:rsid w:val="00655216"/>
    <w:rsid w:val="00655B0E"/>
    <w:rsid w:val="00656A8D"/>
    <w:rsid w:val="006641D6"/>
    <w:rsid w:val="006915AD"/>
    <w:rsid w:val="00693A28"/>
    <w:rsid w:val="006B0BD8"/>
    <w:rsid w:val="006B3B77"/>
    <w:rsid w:val="006B6DD2"/>
    <w:rsid w:val="006C6D98"/>
    <w:rsid w:val="006D201D"/>
    <w:rsid w:val="006D4F56"/>
    <w:rsid w:val="006E770A"/>
    <w:rsid w:val="006F615C"/>
    <w:rsid w:val="00714251"/>
    <w:rsid w:val="00722672"/>
    <w:rsid w:val="007421D4"/>
    <w:rsid w:val="00746987"/>
    <w:rsid w:val="00766E3C"/>
    <w:rsid w:val="0077763B"/>
    <w:rsid w:val="007827AD"/>
    <w:rsid w:val="0078384E"/>
    <w:rsid w:val="007875A9"/>
    <w:rsid w:val="0079463E"/>
    <w:rsid w:val="00795616"/>
    <w:rsid w:val="007A2CE5"/>
    <w:rsid w:val="007B12A8"/>
    <w:rsid w:val="007C1142"/>
    <w:rsid w:val="007C1B77"/>
    <w:rsid w:val="007F369F"/>
    <w:rsid w:val="008075BF"/>
    <w:rsid w:val="00836BC1"/>
    <w:rsid w:val="008429BE"/>
    <w:rsid w:val="00851D1A"/>
    <w:rsid w:val="00861657"/>
    <w:rsid w:val="008730C6"/>
    <w:rsid w:val="008744D9"/>
    <w:rsid w:val="00877721"/>
    <w:rsid w:val="00892A93"/>
    <w:rsid w:val="008952E3"/>
    <w:rsid w:val="00895844"/>
    <w:rsid w:val="00896050"/>
    <w:rsid w:val="008963A5"/>
    <w:rsid w:val="0089744B"/>
    <w:rsid w:val="008A4EF3"/>
    <w:rsid w:val="008B12E1"/>
    <w:rsid w:val="008B2B06"/>
    <w:rsid w:val="008B648B"/>
    <w:rsid w:val="008B7A5A"/>
    <w:rsid w:val="008C188C"/>
    <w:rsid w:val="008D6D98"/>
    <w:rsid w:val="008F3A23"/>
    <w:rsid w:val="0090170F"/>
    <w:rsid w:val="009049C4"/>
    <w:rsid w:val="00913549"/>
    <w:rsid w:val="00921126"/>
    <w:rsid w:val="00943B05"/>
    <w:rsid w:val="00944699"/>
    <w:rsid w:val="00960B81"/>
    <w:rsid w:val="00980CCA"/>
    <w:rsid w:val="00985D47"/>
    <w:rsid w:val="009C54EB"/>
    <w:rsid w:val="009E0C62"/>
    <w:rsid w:val="009E2939"/>
    <w:rsid w:val="009E63C1"/>
    <w:rsid w:val="009F7BA9"/>
    <w:rsid w:val="00A07706"/>
    <w:rsid w:val="00A62F3D"/>
    <w:rsid w:val="00A86C97"/>
    <w:rsid w:val="00A90ECB"/>
    <w:rsid w:val="00A956C2"/>
    <w:rsid w:val="00AA5E21"/>
    <w:rsid w:val="00AB318A"/>
    <w:rsid w:val="00AD3DB2"/>
    <w:rsid w:val="00AD520B"/>
    <w:rsid w:val="00AE11BB"/>
    <w:rsid w:val="00AE37FE"/>
    <w:rsid w:val="00AF500A"/>
    <w:rsid w:val="00B14B78"/>
    <w:rsid w:val="00B212DB"/>
    <w:rsid w:val="00B344FD"/>
    <w:rsid w:val="00B45790"/>
    <w:rsid w:val="00B53D0D"/>
    <w:rsid w:val="00B7353E"/>
    <w:rsid w:val="00B7368B"/>
    <w:rsid w:val="00B77DCA"/>
    <w:rsid w:val="00B86838"/>
    <w:rsid w:val="00B9589A"/>
    <w:rsid w:val="00B976E2"/>
    <w:rsid w:val="00BA3B4E"/>
    <w:rsid w:val="00BA4CE7"/>
    <w:rsid w:val="00BE302D"/>
    <w:rsid w:val="00BF6772"/>
    <w:rsid w:val="00C12762"/>
    <w:rsid w:val="00C2465F"/>
    <w:rsid w:val="00C25313"/>
    <w:rsid w:val="00C30B80"/>
    <w:rsid w:val="00C34B57"/>
    <w:rsid w:val="00C35398"/>
    <w:rsid w:val="00C36809"/>
    <w:rsid w:val="00C42FFE"/>
    <w:rsid w:val="00C43F86"/>
    <w:rsid w:val="00C72E0D"/>
    <w:rsid w:val="00C84546"/>
    <w:rsid w:val="00CD09A9"/>
    <w:rsid w:val="00CD20B2"/>
    <w:rsid w:val="00CD6925"/>
    <w:rsid w:val="00CE398F"/>
    <w:rsid w:val="00CF01F0"/>
    <w:rsid w:val="00CF3C6E"/>
    <w:rsid w:val="00D037A0"/>
    <w:rsid w:val="00D11148"/>
    <w:rsid w:val="00D1679D"/>
    <w:rsid w:val="00D1733B"/>
    <w:rsid w:val="00D2553E"/>
    <w:rsid w:val="00D515C2"/>
    <w:rsid w:val="00D5650D"/>
    <w:rsid w:val="00D57B68"/>
    <w:rsid w:val="00D63B60"/>
    <w:rsid w:val="00D70906"/>
    <w:rsid w:val="00D70EA7"/>
    <w:rsid w:val="00D867B8"/>
    <w:rsid w:val="00DA6991"/>
    <w:rsid w:val="00DD5D6E"/>
    <w:rsid w:val="00DF4F96"/>
    <w:rsid w:val="00E07410"/>
    <w:rsid w:val="00E34C7A"/>
    <w:rsid w:val="00E510E8"/>
    <w:rsid w:val="00E84F6B"/>
    <w:rsid w:val="00E91F1B"/>
    <w:rsid w:val="00E93893"/>
    <w:rsid w:val="00EA0DC2"/>
    <w:rsid w:val="00EA210B"/>
    <w:rsid w:val="00ED238A"/>
    <w:rsid w:val="00ED49D3"/>
    <w:rsid w:val="00ED5836"/>
    <w:rsid w:val="00EE42A5"/>
    <w:rsid w:val="00EE4EBB"/>
    <w:rsid w:val="00F10CE0"/>
    <w:rsid w:val="00F1502B"/>
    <w:rsid w:val="00F163DC"/>
    <w:rsid w:val="00F25B2A"/>
    <w:rsid w:val="00F3411E"/>
    <w:rsid w:val="00F50697"/>
    <w:rsid w:val="00F64FA5"/>
    <w:rsid w:val="00F817F0"/>
    <w:rsid w:val="00F81D5D"/>
    <w:rsid w:val="00F830EC"/>
    <w:rsid w:val="00F86C6C"/>
    <w:rsid w:val="00F94829"/>
    <w:rsid w:val="00F95FC0"/>
    <w:rsid w:val="00FC69EF"/>
    <w:rsid w:val="00FE29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E394C"/>
  <w15:chartTrackingRefBased/>
  <w15:docId w15:val="{1C0B73DD-60AE-47AD-9F43-54E5E6619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7AD"/>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527A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527AD"/>
    <w:rPr>
      <w:lang w:val="es-ES"/>
    </w:rPr>
  </w:style>
  <w:style w:type="paragraph" w:styleId="Piedepgina">
    <w:name w:val="footer"/>
    <w:basedOn w:val="Normal"/>
    <w:link w:val="PiedepginaCar"/>
    <w:uiPriority w:val="99"/>
    <w:unhideWhenUsed/>
    <w:rsid w:val="005527A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527AD"/>
    <w:rPr>
      <w:lang w:val="es-ES"/>
    </w:rPr>
  </w:style>
  <w:style w:type="table" w:styleId="Tablaconcuadrcula">
    <w:name w:val="Table Grid"/>
    <w:basedOn w:val="Tablanormal"/>
    <w:uiPriority w:val="59"/>
    <w:rsid w:val="005527AD"/>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Fuentedeprrafopredeter"/>
    <w:rsid w:val="00655B0E"/>
  </w:style>
  <w:style w:type="character" w:styleId="Hipervnculo">
    <w:name w:val="Hyperlink"/>
    <w:basedOn w:val="Fuentedeprrafopredeter"/>
    <w:uiPriority w:val="99"/>
    <w:unhideWhenUsed/>
    <w:rsid w:val="00D70906"/>
    <w:rPr>
      <w:color w:val="0563C1" w:themeColor="hyperlink"/>
      <w:u w:val="single"/>
    </w:rPr>
  </w:style>
  <w:style w:type="character" w:customStyle="1" w:styleId="Mencinsinresolver1">
    <w:name w:val="Mención sin resolver1"/>
    <w:basedOn w:val="Fuentedeprrafopredeter"/>
    <w:uiPriority w:val="99"/>
    <w:semiHidden/>
    <w:unhideWhenUsed/>
    <w:rsid w:val="00D70906"/>
    <w:rPr>
      <w:color w:val="605E5C"/>
      <w:shd w:val="clear" w:color="auto" w:fill="E1DFDD"/>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E91F1B"/>
    <w:pPr>
      <w:ind w:left="720"/>
      <w:contextualSpacing/>
    </w:pPr>
  </w:style>
  <w:style w:type="character" w:customStyle="1" w:styleId="normaltextrun">
    <w:name w:val="normaltextrun"/>
    <w:basedOn w:val="Fuentedeprrafopredeter"/>
    <w:rsid w:val="00FC69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E63C1"/>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2215">
      <w:bodyDiv w:val="1"/>
      <w:marLeft w:val="0"/>
      <w:marRight w:val="0"/>
      <w:marTop w:val="0"/>
      <w:marBottom w:val="0"/>
      <w:divBdr>
        <w:top w:val="none" w:sz="0" w:space="0" w:color="auto"/>
        <w:left w:val="none" w:sz="0" w:space="0" w:color="auto"/>
        <w:bottom w:val="none" w:sz="0" w:space="0" w:color="auto"/>
        <w:right w:val="none" w:sz="0" w:space="0" w:color="auto"/>
      </w:divBdr>
    </w:div>
    <w:div w:id="161710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2075</Words>
  <Characters>11415</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 Hernández</dc:creator>
  <cp:keywords/>
  <dc:description/>
  <cp:lastModifiedBy>Sandra Ivette Razo De La Paz</cp:lastModifiedBy>
  <cp:revision>5</cp:revision>
  <cp:lastPrinted>2023-06-30T20:06:00Z</cp:lastPrinted>
  <dcterms:created xsi:type="dcterms:W3CDTF">2023-09-03T00:08:00Z</dcterms:created>
  <dcterms:modified xsi:type="dcterms:W3CDTF">2023-09-04T02:59:00Z</dcterms:modified>
</cp:coreProperties>
</file>