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61" w:rsidRDefault="00F84B95" w:rsidP="001A58CB">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3D2C84">
        <w:rPr>
          <w:rFonts w:ascii="Palatino Linotype" w:eastAsia="Palatino Linotype" w:hAnsi="Palatino Linotype" w:cs="Palatino Linotype"/>
          <w:b/>
        </w:rPr>
        <w:t>02470</w:t>
      </w:r>
      <w:r w:rsidR="007D3006">
        <w:rPr>
          <w:rFonts w:ascii="Palatino Linotype" w:eastAsia="Palatino Linotype" w:hAnsi="Palatino Linotype" w:cs="Palatino Linotype"/>
          <w:b/>
        </w:rPr>
        <w:t>/INFOEM/IP/RR/202</w:t>
      </w:r>
      <w:r w:rsidR="003D2C84">
        <w:rPr>
          <w:rFonts w:ascii="Palatino Linotype" w:eastAsia="Palatino Linotype" w:hAnsi="Palatino Linotype" w:cs="Palatino Linotype"/>
          <w:b/>
        </w:rPr>
        <w:t>3 Y ACUMULADO</w:t>
      </w:r>
      <w:r w:rsidR="003A5D2E">
        <w:rPr>
          <w:rFonts w:ascii="Palatino Linotype" w:eastAsia="Palatino Linotype" w:hAnsi="Palatino Linotype" w:cs="Palatino Linotype"/>
          <w:b/>
        </w:rPr>
        <w:t xml:space="preserve"> </w:t>
      </w:r>
      <w:r w:rsidR="003A5D2E">
        <w:rPr>
          <w:rFonts w:ascii="Palatino Linotype" w:eastAsia="Palatino Linotype" w:hAnsi="Palatino Linotype" w:cs="Palatino Linotype"/>
          <w:b/>
        </w:rPr>
        <w:tab/>
      </w:r>
      <w:r w:rsidRPr="006A7606">
        <w:rPr>
          <w:rFonts w:ascii="Palatino Linotype" w:hAnsi="Palatino Linotype" w:cs="Tahoma"/>
          <w:b/>
        </w:rPr>
        <w:t xml:space="preserve">, PROMOVIDO EN CONTRA </w:t>
      </w:r>
      <w:r w:rsidR="007D3006" w:rsidRPr="006A7606">
        <w:rPr>
          <w:rFonts w:ascii="Palatino Linotype" w:hAnsi="Palatino Linotype" w:cs="Tahoma"/>
          <w:b/>
        </w:rPr>
        <w:t>DE</w:t>
      </w:r>
      <w:r w:rsidR="007D3006">
        <w:rPr>
          <w:rFonts w:ascii="Palatino Linotype" w:hAnsi="Palatino Linotype" w:cs="Tahoma"/>
          <w:b/>
        </w:rPr>
        <w:t xml:space="preserve">L </w:t>
      </w:r>
      <w:r w:rsidR="000B7F9F" w:rsidRPr="000B7F9F">
        <w:rPr>
          <w:rFonts w:ascii="Palatino Linotype" w:eastAsia="Palatino Linotype" w:hAnsi="Palatino Linotype" w:cs="Palatino Linotype"/>
          <w:b/>
        </w:rPr>
        <w:t xml:space="preserve">AYUNTAMIENTO DE </w:t>
      </w:r>
      <w:r w:rsidR="003D2C84" w:rsidRPr="003D2C84">
        <w:rPr>
          <w:rFonts w:ascii="Palatino Linotype" w:eastAsia="Palatino Linotype" w:hAnsi="Palatino Linotype" w:cs="Palatino Linotype"/>
          <w:b/>
        </w:rPr>
        <w:t>ECATEPEC DE MORELOS</w:t>
      </w:r>
      <w:r w:rsidR="000B7F9F">
        <w:rPr>
          <w:rFonts w:ascii="Palatino Linotype" w:eastAsia="MS Mincho" w:hAnsi="Palatino Linotype"/>
          <w:b/>
          <w:lang w:val="es-ES_tradnl"/>
        </w:rPr>
        <w:t>.</w:t>
      </w:r>
    </w:p>
    <w:p w:rsidR="004E5EAD" w:rsidRPr="006A7606" w:rsidRDefault="004E5EAD" w:rsidP="001A58CB">
      <w:pPr>
        <w:pStyle w:val="Encabezado"/>
        <w:spacing w:line="360" w:lineRule="auto"/>
        <w:ind w:right="49"/>
        <w:jc w:val="both"/>
        <w:rPr>
          <w:rFonts w:ascii="Palatino Linotype" w:hAnsi="Palatino Linotype" w:cs="Tahoma"/>
        </w:rPr>
      </w:pPr>
    </w:p>
    <w:p w:rsidR="00F34C61" w:rsidRPr="00885189" w:rsidRDefault="00F34C61" w:rsidP="001A58CB">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6F0B86">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6F0B86">
        <w:rPr>
          <w:rFonts w:ascii="Palatino Linotype" w:hAnsi="Palatino Linotype" w:cs="Tahoma"/>
          <w:b/>
        </w:rPr>
        <w:t>Voto Particular</w:t>
      </w:r>
      <w:r w:rsidR="006F0B86">
        <w:rPr>
          <w:rFonts w:ascii="Palatino Linotype" w:hAnsi="Palatino Linotype" w:cs="Tahoma"/>
        </w:rPr>
        <w:t xml:space="preserve"> por no compartir en su totalidad las consideraciones que sustentan la Resolución del Recurso de Revisión </w:t>
      </w:r>
      <w:r w:rsidR="003D2C84">
        <w:rPr>
          <w:rFonts w:ascii="Palatino Linotype" w:eastAsia="Palatino Linotype" w:hAnsi="Palatino Linotype" w:cs="Palatino Linotype"/>
          <w:b/>
        </w:rPr>
        <w:t>02470/INFOEM/IP/RR/2023 y acumulado</w:t>
      </w:r>
      <w:r w:rsidR="007D3006">
        <w:rPr>
          <w:rFonts w:ascii="Palatino Linotype" w:eastAsia="Palatino Linotype" w:hAnsi="Palatino Linotype" w:cs="Palatino Linotype"/>
          <w:b/>
        </w:rPr>
        <w:t>.</w:t>
      </w:r>
    </w:p>
    <w:p w:rsidR="00F34C61" w:rsidRPr="00885189" w:rsidRDefault="00F34C61" w:rsidP="001A58CB">
      <w:pPr>
        <w:spacing w:after="0" w:line="360" w:lineRule="auto"/>
        <w:ind w:right="49"/>
        <w:jc w:val="both"/>
        <w:rPr>
          <w:rFonts w:ascii="Palatino Linotype" w:hAnsi="Palatino Linotype" w:cs="Tahoma"/>
        </w:rPr>
      </w:pPr>
    </w:p>
    <w:p w:rsidR="00EA7BAB" w:rsidRDefault="00F34C61" w:rsidP="003D2C84">
      <w:pPr>
        <w:spacing w:after="0" w:line="360" w:lineRule="auto"/>
        <w:ind w:right="49"/>
        <w:jc w:val="both"/>
        <w:rPr>
          <w:rFonts w:ascii="Palatino Linotype" w:hAnsi="Palatino Linotype" w:cs="Tahoma"/>
        </w:rPr>
      </w:pPr>
      <w:r w:rsidRPr="00885189">
        <w:rPr>
          <w:rFonts w:ascii="Palatino Linotype" w:hAnsi="Palatino Linotype" w:cs="Tahoma"/>
        </w:rPr>
        <w:t xml:space="preserve">Como se desprende de la Resolución en comento, </w:t>
      </w:r>
      <w:r w:rsidR="002071AC">
        <w:rPr>
          <w:rFonts w:ascii="Palatino Linotype" w:hAnsi="Palatino Linotype" w:cs="Tahoma"/>
        </w:rPr>
        <w:t>el</w:t>
      </w:r>
      <w:r w:rsidRPr="00885189">
        <w:rPr>
          <w:rFonts w:ascii="Palatino Linotype" w:hAnsi="Palatino Linotype" w:cs="Tahoma"/>
        </w:rPr>
        <w:t xml:space="preserve"> Particular</w:t>
      </w:r>
      <w:r>
        <w:rPr>
          <w:rFonts w:ascii="Palatino Linotype" w:hAnsi="Palatino Linotype" w:cs="Tahoma"/>
        </w:rPr>
        <w:t xml:space="preserve"> solicitó</w:t>
      </w:r>
      <w:r w:rsidR="00B463E2">
        <w:rPr>
          <w:rFonts w:ascii="Palatino Linotype" w:hAnsi="Palatino Linotype" w:cs="Tahoma"/>
        </w:rPr>
        <w:t xml:space="preserve"> </w:t>
      </w:r>
      <w:r w:rsidR="003D2C84">
        <w:rPr>
          <w:rFonts w:ascii="Palatino Linotype" w:hAnsi="Palatino Linotype" w:cs="Tahoma"/>
        </w:rPr>
        <w:t xml:space="preserve">entre otras cosas expresión </w:t>
      </w:r>
      <w:r w:rsidR="003D2C84" w:rsidRPr="003D2C84">
        <w:rPr>
          <w:rFonts w:ascii="Palatino Linotype" w:hAnsi="Palatino Linotype" w:cs="Tahoma"/>
          <w:lang w:val="es-MX"/>
        </w:rPr>
        <w:t>documental que dé</w:t>
      </w:r>
      <w:r w:rsidR="003D2C84">
        <w:rPr>
          <w:rFonts w:ascii="Palatino Linotype" w:hAnsi="Palatino Linotype" w:cs="Tahoma"/>
          <w:lang w:val="es-MX"/>
        </w:rPr>
        <w:t xml:space="preserve"> </w:t>
      </w:r>
      <w:r w:rsidR="003D2C84" w:rsidRPr="003D2C84">
        <w:rPr>
          <w:rFonts w:ascii="Palatino Linotype" w:hAnsi="Palatino Linotype" w:cs="Tahoma"/>
          <w:lang w:val="es-MX"/>
        </w:rPr>
        <w:t>cuenta de las</w:t>
      </w:r>
      <w:r w:rsidR="003D2C84">
        <w:rPr>
          <w:rFonts w:ascii="Palatino Linotype" w:hAnsi="Palatino Linotype" w:cs="Tahoma"/>
          <w:lang w:val="es-MX"/>
        </w:rPr>
        <w:t xml:space="preserve"> </w:t>
      </w:r>
      <w:r w:rsidR="003D2C84" w:rsidRPr="003D2C84">
        <w:rPr>
          <w:rFonts w:ascii="Palatino Linotype" w:hAnsi="Palatino Linotype" w:cs="Tahoma"/>
          <w:lang w:val="es-MX"/>
        </w:rPr>
        <w:t>visitas domiciliarias</w:t>
      </w:r>
      <w:r w:rsidR="003D2C84">
        <w:rPr>
          <w:rFonts w:ascii="Palatino Linotype" w:hAnsi="Palatino Linotype" w:cs="Tahoma"/>
          <w:lang w:val="es-MX"/>
        </w:rPr>
        <w:t xml:space="preserve"> </w:t>
      </w:r>
      <w:r w:rsidR="003D2C84" w:rsidRPr="003D2C84">
        <w:rPr>
          <w:rFonts w:ascii="Palatino Linotype" w:hAnsi="Palatino Linotype" w:cs="Tahoma"/>
          <w:lang w:val="es-MX"/>
        </w:rPr>
        <w:t>realizadas por la</w:t>
      </w:r>
      <w:r w:rsidR="003D2C84">
        <w:rPr>
          <w:rFonts w:ascii="Palatino Linotype" w:hAnsi="Palatino Linotype" w:cs="Tahoma"/>
          <w:lang w:val="es-MX"/>
        </w:rPr>
        <w:t xml:space="preserve"> </w:t>
      </w:r>
      <w:r w:rsidR="003D2C84" w:rsidRPr="003D2C84">
        <w:rPr>
          <w:rFonts w:ascii="Palatino Linotype" w:hAnsi="Palatino Linotype" w:cs="Tahoma"/>
          <w:lang w:val="es-MX"/>
        </w:rPr>
        <w:t>Dirección de</w:t>
      </w:r>
      <w:r w:rsidR="003D2C84">
        <w:rPr>
          <w:rFonts w:ascii="Palatino Linotype" w:hAnsi="Palatino Linotype" w:cs="Tahoma"/>
          <w:lang w:val="es-MX"/>
        </w:rPr>
        <w:t xml:space="preserve"> </w:t>
      </w:r>
      <w:r w:rsidR="003D2C84" w:rsidRPr="003D2C84">
        <w:rPr>
          <w:rFonts w:ascii="Palatino Linotype" w:hAnsi="Palatino Linotype" w:cs="Tahoma"/>
          <w:lang w:val="es-MX"/>
        </w:rPr>
        <w:t>Diversidad y Atención</w:t>
      </w:r>
      <w:r w:rsidR="003D2C84">
        <w:rPr>
          <w:rFonts w:ascii="Palatino Linotype" w:hAnsi="Palatino Linotype" w:cs="Tahoma"/>
          <w:lang w:val="es-MX"/>
        </w:rPr>
        <w:t xml:space="preserve"> </w:t>
      </w:r>
      <w:r w:rsidR="003D2C84" w:rsidRPr="003D2C84">
        <w:rPr>
          <w:rFonts w:ascii="Palatino Linotype" w:hAnsi="Palatino Linotype" w:cs="Tahoma"/>
          <w:lang w:val="es-MX"/>
        </w:rPr>
        <w:t>a las poblaciones</w:t>
      </w:r>
      <w:r w:rsidR="003D2C84">
        <w:rPr>
          <w:rFonts w:ascii="Palatino Linotype" w:hAnsi="Palatino Linotype" w:cs="Tahoma"/>
          <w:lang w:val="es-MX"/>
        </w:rPr>
        <w:t xml:space="preserve"> </w:t>
      </w:r>
      <w:r w:rsidR="003D2C84" w:rsidRPr="003D2C84">
        <w:rPr>
          <w:rFonts w:ascii="Palatino Linotype" w:hAnsi="Palatino Linotype" w:cs="Tahoma"/>
          <w:lang w:val="es-MX"/>
        </w:rPr>
        <w:t>LGBTTTIQ+ para el</w:t>
      </w:r>
      <w:r w:rsidR="003D2C84">
        <w:rPr>
          <w:rFonts w:ascii="Palatino Linotype" w:hAnsi="Palatino Linotype" w:cs="Tahoma"/>
          <w:lang w:val="es-MX"/>
        </w:rPr>
        <w:t xml:space="preserve"> </w:t>
      </w:r>
      <w:r w:rsidR="003D2C84" w:rsidRPr="003D2C84">
        <w:rPr>
          <w:rFonts w:ascii="Palatino Linotype" w:hAnsi="Palatino Linotype" w:cs="Tahoma"/>
          <w:lang w:val="es-MX"/>
        </w:rPr>
        <w:t>Programa "Arcoíris",</w:t>
      </w:r>
      <w:r w:rsidR="003D2C84">
        <w:rPr>
          <w:rFonts w:ascii="Palatino Linotype" w:hAnsi="Palatino Linotype" w:cs="Tahoma"/>
          <w:lang w:val="es-MX"/>
        </w:rPr>
        <w:t xml:space="preserve"> </w:t>
      </w:r>
      <w:r w:rsidR="000B7F9F">
        <w:rPr>
          <w:rFonts w:ascii="Palatino Linotype" w:hAnsi="Palatino Linotype" w:cs="Tahoma"/>
        </w:rPr>
        <w:t xml:space="preserve">en respuesta el Sujeto Obligado señaló que </w:t>
      </w:r>
      <w:r w:rsidR="003D2C84">
        <w:rPr>
          <w:rFonts w:ascii="Palatino Linotype" w:hAnsi="Palatino Linotype" w:cs="Tahoma"/>
        </w:rPr>
        <w:t>continua en el proceso de verificación</w:t>
      </w:r>
      <w:r w:rsidR="00B46E3B" w:rsidRPr="00B46E3B">
        <w:rPr>
          <w:rFonts w:ascii="Palatino Linotype" w:hAnsi="Palatino Linotype" w:cs="Tahoma"/>
        </w:rPr>
        <w:t xml:space="preserve">; por ello, la Ponencia Resolutora determinó </w:t>
      </w:r>
      <w:r w:rsidR="000B7F9F">
        <w:rPr>
          <w:rFonts w:ascii="Palatino Linotype" w:hAnsi="Palatino Linotype" w:cs="Tahoma"/>
        </w:rPr>
        <w:t xml:space="preserve">ordenar </w:t>
      </w:r>
      <w:r w:rsidR="003D2C84" w:rsidRPr="00B46E3B">
        <w:rPr>
          <w:rFonts w:ascii="Palatino Linotype" w:hAnsi="Palatino Linotype" w:cs="Tahoma"/>
        </w:rPr>
        <w:t>la entrega del acuerdo de clasificación emitido</w:t>
      </w:r>
      <w:r w:rsidR="003D2C84">
        <w:rPr>
          <w:rFonts w:ascii="Palatino Linotype" w:hAnsi="Palatino Linotype" w:cs="Tahoma"/>
        </w:rPr>
        <w:t xml:space="preserve"> por el Comité de Transparencia, en el que se confirme la reserva de dichos documentos.</w:t>
      </w:r>
    </w:p>
    <w:p w:rsidR="00B77094" w:rsidRDefault="00B77094" w:rsidP="001A58CB">
      <w:pPr>
        <w:spacing w:after="0" w:line="360" w:lineRule="auto"/>
        <w:ind w:right="49"/>
        <w:jc w:val="both"/>
        <w:rPr>
          <w:rFonts w:ascii="Palatino Linotype" w:hAnsi="Palatino Linotype" w:cs="Tahoma"/>
        </w:rPr>
      </w:pPr>
    </w:p>
    <w:p w:rsidR="00B46E3B" w:rsidRDefault="006F0B86" w:rsidP="006F0B86">
      <w:pPr>
        <w:spacing w:after="0" w:line="360" w:lineRule="auto"/>
        <w:contextualSpacing/>
        <w:jc w:val="both"/>
        <w:rPr>
          <w:rFonts w:ascii="Palatino Linotype" w:eastAsia="Calibri" w:hAnsi="Palatino Linotype" w:cs="Tahoma"/>
        </w:rPr>
      </w:pPr>
      <w:r w:rsidRPr="006F0B86">
        <w:rPr>
          <w:rFonts w:ascii="Palatino Linotype" w:eastAsia="Calibri" w:hAnsi="Palatino Linotype" w:cs="Tahoma"/>
        </w:rPr>
        <w:t xml:space="preserve">De acuerdo con lo expuesto, emito el presente, por dos razones la primera de ellas es en virtud de que considero </w:t>
      </w:r>
      <w:r w:rsidR="00B46E3B">
        <w:rPr>
          <w:rFonts w:ascii="Palatino Linotype" w:eastAsia="Calibri" w:hAnsi="Palatino Linotype" w:cs="Tahoma"/>
        </w:rPr>
        <w:t>se debió realizar un estudio</w:t>
      </w:r>
      <w:r w:rsidR="00B46E3B" w:rsidRPr="00B46E3B">
        <w:rPr>
          <w:rFonts w:ascii="Palatino Linotype" w:eastAsia="Calibri" w:hAnsi="Palatino Linotype" w:cs="Tahoma"/>
        </w:rPr>
        <w:t xml:space="preserve"> de la clasificación de información en donde se funde y motive la causal de reserva específica que se actualiza del </w:t>
      </w:r>
      <w:r w:rsidR="003D2C84" w:rsidRPr="00B46E3B">
        <w:rPr>
          <w:rFonts w:ascii="Palatino Linotype" w:eastAsia="Calibri" w:hAnsi="Palatino Linotype" w:cs="Tahoma"/>
        </w:rPr>
        <w:t>artículo</w:t>
      </w:r>
      <w:r w:rsidR="00B46E3B" w:rsidRPr="00B46E3B">
        <w:rPr>
          <w:rFonts w:ascii="Palatino Linotype" w:eastAsia="Calibri" w:hAnsi="Palatino Linotype" w:cs="Tahoma"/>
        </w:rPr>
        <w:t xml:space="preserve"> 140 </w:t>
      </w:r>
      <w:r w:rsidR="00B46E3B">
        <w:rPr>
          <w:rFonts w:ascii="Palatino Linotype" w:eastAsia="Calibri" w:hAnsi="Palatino Linotype" w:cs="Tahoma"/>
        </w:rPr>
        <w:t>de la Ley de Transparencia y Acceso a la Información Pública del Estado de México y M</w:t>
      </w:r>
      <w:r w:rsidR="00D51DEC">
        <w:rPr>
          <w:rFonts w:ascii="Palatino Linotype" w:eastAsia="Calibri" w:hAnsi="Palatino Linotype" w:cs="Tahoma"/>
        </w:rPr>
        <w:t>unicipios.</w:t>
      </w:r>
      <w:r w:rsidR="00C458FE">
        <w:rPr>
          <w:rFonts w:ascii="Palatino Linotype" w:eastAsia="Calibri" w:hAnsi="Palatino Linotype" w:cs="Tahoma"/>
        </w:rPr>
        <w:t xml:space="preserve"> </w:t>
      </w:r>
      <w:r w:rsidR="00D51DEC">
        <w:rPr>
          <w:rFonts w:ascii="Palatino Linotype" w:eastAsia="Calibri" w:hAnsi="Palatino Linotype" w:cs="Tahoma"/>
        </w:rPr>
        <w:t xml:space="preserve">Lo anterior, ya que la </w:t>
      </w:r>
      <w:r w:rsidR="00D51DEC" w:rsidRPr="00D51DEC">
        <w:rPr>
          <w:rFonts w:ascii="Palatino Linotype" w:eastAsia="Calibri" w:hAnsi="Palatino Linotype" w:cs="Tahoma"/>
        </w:rPr>
        <w:t xml:space="preserve">información reservada, es aquella que cuando, de manera excepcional y por razones de interés público, su publicidad puede causar un daño al interés </w:t>
      </w:r>
      <w:r w:rsidR="00D51DEC" w:rsidRPr="00D51DEC">
        <w:rPr>
          <w:rFonts w:ascii="Palatino Linotype" w:eastAsia="Calibri" w:hAnsi="Palatino Linotype" w:cs="Tahoma"/>
        </w:rPr>
        <w:lastRenderedPageBreak/>
        <w:t xml:space="preserve">jurídico tutelado por la Ley, en </w:t>
      </w:r>
      <w:r w:rsidR="00D51DEC">
        <w:rPr>
          <w:rFonts w:ascii="Palatino Linotype" w:eastAsia="Calibri" w:hAnsi="Palatino Linotype" w:cs="Tahoma"/>
        </w:rPr>
        <w:t xml:space="preserve">el que se debe especificar </w:t>
      </w:r>
      <w:r w:rsidR="00D51DEC" w:rsidRPr="00D51DEC">
        <w:rPr>
          <w:rFonts w:ascii="Palatino Linotype" w:eastAsia="Calibri" w:hAnsi="Palatino Linotype" w:cs="Tahoma"/>
        </w:rPr>
        <w:t>alguno de los supuestos establecidos en el artícu</w:t>
      </w:r>
      <w:r w:rsidR="00D51DEC">
        <w:rPr>
          <w:rFonts w:ascii="Palatino Linotype" w:eastAsia="Calibri" w:hAnsi="Palatino Linotype" w:cs="Tahoma"/>
        </w:rPr>
        <w:t xml:space="preserve">lo </w:t>
      </w:r>
      <w:r w:rsidR="00951B8A">
        <w:rPr>
          <w:rFonts w:ascii="Palatino Linotype" w:eastAsia="Calibri" w:hAnsi="Palatino Linotype" w:cs="Tahoma"/>
        </w:rPr>
        <w:t>mencionado</w:t>
      </w:r>
      <w:r w:rsidR="00310C37">
        <w:rPr>
          <w:rFonts w:ascii="Palatino Linotype" w:eastAsia="Calibri" w:hAnsi="Palatino Linotype" w:cs="Tahoma"/>
        </w:rPr>
        <w:t xml:space="preserve"> y con ello especificar </w:t>
      </w:r>
      <w:r w:rsidR="00310C37" w:rsidRPr="00310C37">
        <w:rPr>
          <w:rFonts w:ascii="Palatino Linotype" w:eastAsia="Calibri" w:hAnsi="Palatino Linotype" w:cs="Tahoma"/>
        </w:rPr>
        <w:t>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310C37" w:rsidRDefault="00310C37" w:rsidP="006F0B86">
      <w:pPr>
        <w:spacing w:after="0" w:line="360" w:lineRule="auto"/>
        <w:contextualSpacing/>
        <w:jc w:val="both"/>
        <w:rPr>
          <w:rFonts w:ascii="Palatino Linotype" w:eastAsia="Calibri" w:hAnsi="Palatino Linotype" w:cs="Tahoma"/>
        </w:rPr>
      </w:pPr>
    </w:p>
    <w:p w:rsidR="00310C37" w:rsidRPr="00310C37" w:rsidRDefault="00310C37" w:rsidP="00310C37">
      <w:pPr>
        <w:spacing w:after="0" w:line="360" w:lineRule="auto"/>
        <w:contextualSpacing/>
        <w:jc w:val="both"/>
        <w:rPr>
          <w:rFonts w:ascii="Palatino Linotype" w:eastAsia="Calibri" w:hAnsi="Palatino Linotype" w:cs="Tahoma"/>
        </w:rPr>
      </w:pPr>
      <w:r w:rsidRPr="00310C37">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w:t>
      </w:r>
      <w:r>
        <w:rPr>
          <w:rFonts w:ascii="Palatino Linotype" w:eastAsia="Calibri" w:hAnsi="Palatino Linotype" w:cs="Tahoma"/>
        </w:rPr>
        <w:t xml:space="preserve"> fundamentación incorrecta y por lo tanto una errónea</w:t>
      </w:r>
      <w:r w:rsidRPr="00310C37">
        <w:rPr>
          <w:rFonts w:ascii="Palatino Linotype" w:eastAsia="Calibri" w:hAnsi="Palatino Linotype" w:cs="Tahoma"/>
        </w:rPr>
        <w:t xml:space="preserve"> clasificación de la información.</w:t>
      </w:r>
      <w:r w:rsidR="008C5810">
        <w:rPr>
          <w:rFonts w:ascii="Palatino Linotype" w:eastAsia="Calibri" w:hAnsi="Palatino Linotype" w:cs="Tahoma"/>
        </w:rPr>
        <w:t xml:space="preserve"> </w:t>
      </w:r>
      <w:r w:rsidRPr="00310C37">
        <w:rPr>
          <w:rFonts w:ascii="Palatino Linotype" w:eastAsia="Calibri"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w:t>
      </w:r>
      <w:r>
        <w:rPr>
          <w:rFonts w:ascii="Palatino Linotype" w:eastAsia="Calibri" w:hAnsi="Palatino Linotype" w:cs="Tahoma"/>
        </w:rPr>
        <w:t>por lo tanto, se debe especificar la fracción que corresponda</w:t>
      </w:r>
      <w:r w:rsidRPr="00310C37">
        <w:rPr>
          <w:rFonts w:ascii="Palatino Linotype" w:eastAsia="Calibri" w:hAnsi="Palatino Linotype" w:cs="Tahoma"/>
        </w:rPr>
        <w:t>.</w:t>
      </w:r>
    </w:p>
    <w:p w:rsidR="00674268" w:rsidRDefault="00674268" w:rsidP="00310C37">
      <w:pPr>
        <w:spacing w:after="0" w:line="360" w:lineRule="auto"/>
        <w:contextualSpacing/>
        <w:jc w:val="both"/>
        <w:rPr>
          <w:rFonts w:ascii="Palatino Linotype" w:eastAsia="Calibri" w:hAnsi="Palatino Linotype" w:cs="Tahoma"/>
        </w:rPr>
      </w:pPr>
    </w:p>
    <w:p w:rsidR="00310C37" w:rsidRDefault="00310C37" w:rsidP="00310C37">
      <w:pPr>
        <w:spacing w:after="0" w:line="360" w:lineRule="auto"/>
        <w:contextualSpacing/>
        <w:jc w:val="both"/>
        <w:rPr>
          <w:rFonts w:ascii="Palatino Linotype" w:eastAsia="Calibri" w:hAnsi="Palatino Linotype" w:cs="Tahoma"/>
        </w:rPr>
      </w:pPr>
      <w:r w:rsidRPr="00310C37">
        <w:rPr>
          <w:rFonts w:ascii="Palatino Linotype" w:eastAsia="Calibri" w:hAnsi="Palatino Linotype" w:cs="Tahoma"/>
        </w:rPr>
        <w:t xml:space="preserve">En consecuencia, es necesario que en el análisis de las resoluciones que dicta este Pleno, se proporcione un estudio exhaustivo y ofrecer al Particular las herramientas para conocer las razones por las que procede o </w:t>
      </w:r>
      <w:r>
        <w:rPr>
          <w:rFonts w:ascii="Palatino Linotype" w:eastAsia="Calibri" w:hAnsi="Palatino Linotype" w:cs="Tahoma"/>
        </w:rPr>
        <w:t>no la reserva de la información y en qué términos.</w:t>
      </w:r>
    </w:p>
    <w:p w:rsidR="006F0B86" w:rsidRPr="006F0B86" w:rsidRDefault="006F0B86" w:rsidP="006F0B86">
      <w:pPr>
        <w:spacing w:line="360" w:lineRule="auto"/>
        <w:contextualSpacing/>
        <w:jc w:val="both"/>
        <w:rPr>
          <w:rFonts w:ascii="Palatino Linotype" w:eastAsia="Calibri" w:hAnsi="Palatino Linotype" w:cs="Tahoma"/>
          <w:b/>
          <w:iCs/>
          <w:lang w:eastAsia="es-ES_tradnl"/>
        </w:rPr>
      </w:pPr>
    </w:p>
    <w:p w:rsidR="006F0B86" w:rsidRPr="006F0B86" w:rsidRDefault="00AE0A22" w:rsidP="006F0B86">
      <w:pPr>
        <w:spacing w:after="0" w:line="360" w:lineRule="auto"/>
        <w:jc w:val="both"/>
        <w:rPr>
          <w:rFonts w:ascii="Palatino Linotype" w:eastAsia="Calibri" w:hAnsi="Palatino Linotype" w:cs="Tahoma"/>
        </w:rPr>
      </w:pPr>
      <w:r>
        <w:rPr>
          <w:rFonts w:ascii="Palatino Linotype" w:eastAsia="Calibri" w:hAnsi="Palatino Linotype" w:cs="Tahoma"/>
        </w:rPr>
        <w:lastRenderedPageBreak/>
        <w:t>E</w:t>
      </w:r>
      <w:r w:rsidR="006F0B86" w:rsidRPr="00AE0A22">
        <w:rPr>
          <w:rFonts w:ascii="Palatino Linotype" w:eastAsia="Calibri" w:hAnsi="Palatino Linotype" w:cs="Tahoma"/>
        </w:rPr>
        <w:t>l segundo punto</w:t>
      </w:r>
      <w:r w:rsidR="00951B8A">
        <w:rPr>
          <w:rFonts w:ascii="Palatino Linotype" w:eastAsia="Calibri" w:hAnsi="Palatino Linotype" w:cs="Tahoma"/>
        </w:rPr>
        <w:t xml:space="preserve"> por el cual emito el presente, </w:t>
      </w:r>
      <w:r w:rsidR="006F0B86" w:rsidRPr="006F0B86">
        <w:rPr>
          <w:rFonts w:ascii="Palatino Linotype" w:eastAsia="Calibri" w:hAnsi="Palatino Linotype" w:cs="Tahoma"/>
        </w:rPr>
        <w:t>es en razón de que, se debió analizar de manera detallada la reserva</w:t>
      </w:r>
      <w:r w:rsidR="00310C37">
        <w:rPr>
          <w:rFonts w:ascii="Palatino Linotype" w:eastAsia="Calibri" w:hAnsi="Palatino Linotype" w:cs="Tahoma"/>
        </w:rPr>
        <w:t>,</w:t>
      </w:r>
      <w:r w:rsidR="006F0B86" w:rsidRPr="006F0B86">
        <w:rPr>
          <w:rFonts w:ascii="Palatino Linotype" w:eastAsia="Calibri" w:hAnsi="Palatino Linotype" w:cs="Tahoma"/>
        </w:rPr>
        <w:t xml:space="preserve"> </w:t>
      </w:r>
      <w:r w:rsidR="00D51DEC">
        <w:rPr>
          <w:rFonts w:ascii="Palatino Linotype" w:eastAsia="Calibri" w:hAnsi="Palatino Linotype" w:cs="Tahoma"/>
        </w:rPr>
        <w:t xml:space="preserve">además de </w:t>
      </w:r>
      <w:r w:rsidR="006F0B86" w:rsidRPr="006F0B86">
        <w:rPr>
          <w:rFonts w:ascii="Palatino Linotype" w:eastAsia="Calibri" w:hAnsi="Palatino Linotype" w:cs="Tahoma"/>
        </w:rPr>
        <w:t>precisar la fracción que actualiza la clasificación de la información, aunado que, para que proceda, no basta con que se actualice el dispositivo normativo, sino que además es menester acreditar la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rsidR="006F0B86" w:rsidRPr="006F0B86" w:rsidRDefault="006F0B86" w:rsidP="006F0B86">
      <w:pPr>
        <w:spacing w:after="0" w:line="360" w:lineRule="auto"/>
        <w:jc w:val="both"/>
        <w:rPr>
          <w:rFonts w:ascii="Palatino Linotype" w:eastAsia="Calibri" w:hAnsi="Palatino Linotype" w:cs="Tahoma"/>
        </w:rPr>
      </w:pPr>
    </w:p>
    <w:p w:rsid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Es importante hacer notar que para estar en condiciones de confirmar o revocar la clasificación a través del procedimiento señalado en los artículos antes citados, es necesario confirmar el estado que guarda el expediente solicitado, motivo por el cual es únicamente en el punto de la reserva de la información en donde difiero, en virtud de que el análisis del proyecto debió incluir de qué manera en el caso específico se cumplía con todas las disposiciones de la Ley de Transparencia y Acceso a la Información Pública del Estado de México y Municipios y así plasmarlo en la Resolución.</w:t>
      </w:r>
      <w:r w:rsidR="00951B8A">
        <w:rPr>
          <w:rFonts w:ascii="Palatino Linotype" w:eastAsia="Calibri" w:hAnsi="Palatino Linotype" w:cs="Tahoma"/>
        </w:rPr>
        <w:t xml:space="preserve"> </w:t>
      </w:r>
      <w:r w:rsidRPr="006F0B86">
        <w:rPr>
          <w:rFonts w:ascii="Palatino Linotype" w:eastAsia="Calibri" w:hAnsi="Palatino Linotype" w:cs="Tahoma"/>
        </w:rPr>
        <w:t xml:space="preserve">Abona a lo expuesto, lo resuelto por el Instituto Nacional de Transparencia, Acceso a la Información Pública y Protección de Datos Personales, en los Recursos de Inconformidad con número </w:t>
      </w:r>
      <w:r w:rsidRPr="006F0B86">
        <w:rPr>
          <w:rFonts w:ascii="Palatino Linotype" w:eastAsia="Calibri" w:hAnsi="Palatino Linotype" w:cs="Tahoma"/>
          <w:b/>
          <w:bCs/>
        </w:rPr>
        <w:t xml:space="preserve">RIA 0118/18, RIA 0124/19 </w:t>
      </w:r>
      <w:r w:rsidRPr="006F0B86">
        <w:rPr>
          <w:rFonts w:ascii="Palatino Linotype" w:eastAsia="Calibri" w:hAnsi="Palatino Linotype" w:cs="Tahoma"/>
          <w:b/>
        </w:rPr>
        <w:t>y</w:t>
      </w:r>
      <w:r w:rsidRPr="006F0B86">
        <w:rPr>
          <w:rFonts w:ascii="Palatino Linotype" w:eastAsia="Calibri" w:hAnsi="Palatino Linotype" w:cs="Tahoma"/>
          <w:b/>
          <w:bCs/>
        </w:rPr>
        <w:t xml:space="preserve"> RIA 0118/19</w:t>
      </w:r>
      <w:r w:rsidRPr="006F0B86">
        <w:rPr>
          <w:rFonts w:ascii="Palatino Linotype" w:eastAsia="Calibri" w:hAnsi="Palatino Linotype" w:cs="Tahoma"/>
          <w:b/>
        </w:rPr>
        <w:t xml:space="preserve">, </w:t>
      </w:r>
      <w:r w:rsidRPr="006F0B86">
        <w:rPr>
          <w:rFonts w:ascii="Palatino Linotype" w:eastAsia="Calibri" w:hAnsi="Palatino Linotype" w:cs="Tahoma"/>
        </w:rPr>
        <w:t>en donde se precisó que este Organismo Garante no debe ceñirse únicamente a verificar cuestiones de forma, sino también argumentar por qué la información solicitada se adecua o no a la o las hipótesis señaladas.</w:t>
      </w:r>
    </w:p>
    <w:p w:rsidR="0051529D" w:rsidRDefault="0051529D" w:rsidP="006F0B86">
      <w:pPr>
        <w:spacing w:after="0" w:line="360" w:lineRule="auto"/>
        <w:jc w:val="both"/>
        <w:rPr>
          <w:rFonts w:ascii="Palatino Linotype" w:eastAsia="Calibri" w:hAnsi="Palatino Linotype" w:cs="Tahoma"/>
        </w:rPr>
      </w:pPr>
    </w:p>
    <w:p w:rsidR="0051529D" w:rsidRDefault="0051529D" w:rsidP="0051529D">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Pr>
          <w:rFonts w:ascii="Palatino Linotype" w:eastAsia="Calibri" w:hAnsi="Palatino Linotype" w:cs="Tahoma"/>
        </w:rPr>
        <w:t xml:space="preserve"> </w:t>
      </w:r>
      <w:r w:rsidRPr="00D07D91">
        <w:rPr>
          <w:rFonts w:ascii="Palatino Linotype" w:eastAsia="Calibri" w:hAnsi="Palatino Linotype" w:cs="Tahoma"/>
        </w:rPr>
        <w:t>Casos Paradigmáticos del Poder Judicial de la Federación en materia de acceso a la información y protección de datos personal (Esquivel,</w:t>
      </w:r>
      <w:r>
        <w:rPr>
          <w:rFonts w:ascii="Palatino Linotype" w:eastAsia="Calibri" w:hAnsi="Palatino Linotype" w:cs="Tahoma"/>
        </w:rPr>
        <w:t xml:space="preserve"> </w:t>
      </w:r>
      <w:proofErr w:type="spellStart"/>
      <w:r w:rsidRPr="00D07D91">
        <w:rPr>
          <w:rFonts w:ascii="Palatino Linotype" w:eastAsia="Calibri" w:hAnsi="Palatino Linotype" w:cs="Tahoma"/>
        </w:rPr>
        <w:t>Yasmin</w:t>
      </w:r>
      <w:proofErr w:type="spellEnd"/>
      <w:r w:rsidRPr="00D07D91">
        <w:rPr>
          <w:rFonts w:ascii="Palatino Linotype" w:eastAsia="Calibri" w:hAnsi="Palatino Linotype" w:cs="Tahoma"/>
        </w:rPr>
        <w:t xml:space="preserve">,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w:t>
      </w:r>
      <w:r w:rsidRPr="00D07D91">
        <w:rPr>
          <w:rFonts w:ascii="Palatino Linotype" w:eastAsia="Calibri" w:hAnsi="Palatino Linotype" w:cs="Tahoma"/>
        </w:rPr>
        <w:lastRenderedPageBreak/>
        <w:t>Organismo Garante Nacional acredite la prueba de daño para la reserva de información bajo los argumentos siguientes:</w:t>
      </w:r>
    </w:p>
    <w:p w:rsidR="0051529D" w:rsidRPr="00D07D91" w:rsidRDefault="0051529D" w:rsidP="0051529D">
      <w:pPr>
        <w:spacing w:after="0" w:line="360" w:lineRule="auto"/>
        <w:jc w:val="both"/>
        <w:rPr>
          <w:rFonts w:ascii="Palatino Linotype" w:eastAsia="Calibri" w:hAnsi="Palatino Linotype" w:cs="Tahoma"/>
        </w:rPr>
      </w:pPr>
    </w:p>
    <w:p w:rsidR="0051529D" w:rsidRPr="00D07D91" w:rsidRDefault="0051529D" w:rsidP="0051529D">
      <w:pPr>
        <w:numPr>
          <w:ilvl w:val="0"/>
          <w:numId w:val="5"/>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rsidR="0051529D" w:rsidRPr="00D07D91" w:rsidRDefault="0051529D" w:rsidP="0051529D">
      <w:pPr>
        <w:spacing w:after="0" w:line="360" w:lineRule="auto"/>
        <w:jc w:val="both"/>
        <w:rPr>
          <w:rFonts w:ascii="Palatino Linotype" w:eastAsia="Calibri" w:hAnsi="Palatino Linotype" w:cs="Tahoma"/>
        </w:rPr>
      </w:pPr>
    </w:p>
    <w:p w:rsidR="0051529D" w:rsidRPr="00D07D91" w:rsidRDefault="0051529D" w:rsidP="0051529D">
      <w:pPr>
        <w:numPr>
          <w:ilvl w:val="0"/>
          <w:numId w:val="5"/>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rsidR="0051529D" w:rsidRPr="00D07D91" w:rsidRDefault="0051529D" w:rsidP="0051529D">
      <w:pPr>
        <w:spacing w:after="0" w:line="360" w:lineRule="auto"/>
        <w:jc w:val="both"/>
        <w:rPr>
          <w:rFonts w:ascii="Palatino Linotype" w:eastAsia="Calibri" w:hAnsi="Palatino Linotype" w:cs="Tahoma"/>
        </w:rPr>
      </w:pPr>
    </w:p>
    <w:p w:rsidR="0051529D" w:rsidRPr="00D07D91" w:rsidRDefault="0051529D" w:rsidP="0051529D">
      <w:pPr>
        <w:numPr>
          <w:ilvl w:val="0"/>
          <w:numId w:val="5"/>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rsidR="0051529D" w:rsidRDefault="0051529D" w:rsidP="006F0B86">
      <w:pPr>
        <w:spacing w:after="0" w:line="360" w:lineRule="auto"/>
        <w:jc w:val="both"/>
        <w:rPr>
          <w:rFonts w:ascii="Palatino Linotype" w:eastAsia="Calibri" w:hAnsi="Palatino Linotype" w:cs="Tahoma"/>
        </w:rPr>
      </w:pPr>
    </w:p>
    <w:p w:rsidR="006F0B86" w:rsidRPr="006F0B86" w:rsidRDefault="006F0B86" w:rsidP="006F0B86">
      <w:pPr>
        <w:spacing w:after="0" w:line="360" w:lineRule="auto"/>
        <w:jc w:val="both"/>
        <w:rPr>
          <w:rFonts w:ascii="Palatino Linotype" w:eastAsia="Calibri" w:hAnsi="Palatino Linotype" w:cs="Tahoma"/>
        </w:rPr>
      </w:pPr>
      <w:bookmarkStart w:id="0" w:name="_GoBack"/>
      <w:bookmarkEnd w:id="0"/>
      <w:r w:rsidRPr="006F0B86">
        <w:rPr>
          <w:rFonts w:ascii="Palatino Linotype" w:eastAsia="Calibri"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de la información, además de analizar si el periodo de clasificación resulta acorde con la naturaleza de la información requerida. En otras palabras, la determinación que determina la existencia de información clasificada, debe contener un análisis exhaustivo de los </w:t>
      </w:r>
      <w:r w:rsidRPr="006F0B86">
        <w:rPr>
          <w:rFonts w:ascii="Palatino Linotype" w:eastAsia="Calibri" w:hAnsi="Palatino Linotype" w:cs="Tahoma"/>
        </w:rPr>
        <w:lastRenderedPageBreak/>
        <w:t>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rsidR="006F0B86" w:rsidRPr="006F0B86" w:rsidRDefault="006F0B86" w:rsidP="006F0B86">
      <w:pPr>
        <w:spacing w:after="0" w:line="360" w:lineRule="auto"/>
        <w:jc w:val="both"/>
        <w:rPr>
          <w:rFonts w:ascii="Palatino Linotype" w:eastAsia="Calibri" w:hAnsi="Palatino Linotype" w:cs="Tahoma"/>
        </w:rPr>
      </w:pPr>
    </w:p>
    <w:p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Bajo esa lógica, estimo que en el presente caso, si bien de la postura expuesta por el Sujeto Obligado se puede desprender que la información, en caso de existir puede actualizar la causal de reserva establecida en el artículo 140, fracción VI, de la Ley de Transparencia y Acceso a la Información Pública del Estado de México y Municipios, para convalidar la clasificación como información reservada, se debió efectuar el estudio de clasificación a la luz de los elementos que exigen los Lineamientos generales en materia de clasificación y desclasificación de la información, así como para la elaboración de versiones públicas.</w:t>
      </w:r>
    </w:p>
    <w:p w:rsidR="006F0B86" w:rsidRPr="006F0B86" w:rsidRDefault="006F0B86" w:rsidP="006F0B86">
      <w:pPr>
        <w:spacing w:after="0" w:line="360" w:lineRule="auto"/>
        <w:jc w:val="both"/>
        <w:rPr>
          <w:rFonts w:ascii="Palatino Linotype" w:eastAsia="Calibri" w:hAnsi="Palatino Linotype" w:cs="Tahoma"/>
        </w:rPr>
      </w:pPr>
    </w:p>
    <w:p w:rsidR="006F0B86" w:rsidRPr="006F0B86" w:rsidRDefault="006F0B86" w:rsidP="006F0B86">
      <w:pPr>
        <w:spacing w:after="0" w:line="360" w:lineRule="auto"/>
        <w:jc w:val="both"/>
        <w:rPr>
          <w:rFonts w:ascii="Palatino Linotype" w:eastAsia="Calibri" w:hAnsi="Palatino Linotype" w:cs="Tahoma"/>
        </w:rPr>
      </w:pPr>
      <w:r w:rsidRPr="006F0B86">
        <w:rPr>
          <w:rFonts w:ascii="Palatino Linotype" w:eastAsia="Calibri" w:hAnsi="Palatino Linotype" w:cs="Tahoma"/>
        </w:rPr>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rsidR="006F0B86" w:rsidRPr="006F0B86" w:rsidRDefault="006F0B86" w:rsidP="006F0B86">
      <w:pPr>
        <w:spacing w:after="0" w:line="360" w:lineRule="auto"/>
        <w:jc w:val="both"/>
        <w:rPr>
          <w:rFonts w:ascii="Palatino Linotype" w:eastAsia="Calibri" w:hAnsi="Palatino Linotype" w:cs="Tahoma"/>
        </w:rPr>
      </w:pPr>
    </w:p>
    <w:p w:rsidR="00F34C61" w:rsidRDefault="006F0B86" w:rsidP="00951B8A">
      <w:pPr>
        <w:spacing w:after="0" w:line="360" w:lineRule="auto"/>
        <w:jc w:val="both"/>
        <w:rPr>
          <w:rFonts w:ascii="Palatino Linotype" w:hAnsi="Palatino Linotype" w:cs="Tahoma"/>
        </w:rPr>
      </w:pPr>
      <w:r w:rsidRPr="006F0B86">
        <w:rPr>
          <w:rFonts w:ascii="Palatino Linotype" w:eastAsia="Calibri" w:hAnsi="Palatino Linotype" w:cs="Tahoma"/>
        </w:rPr>
        <w:t>Por lo tanto, mi postura es a favor de efectuar un análisis exhaustivo en todos aquellos casos que restrinjan el derecho de acceso a la información de los particulares, como es la figura de la clasificación de la información para verificar que se acredita la fracción correspondiente del artículo 140 de la Ley de Transparencia y Acceso a la Información Pública del Estado de México y Municipios, así como la prueba de daño y no sólo indicar que se deba entregar el Acuerdo de Clasificación.</w:t>
      </w:r>
      <w:r w:rsidR="00951B8A">
        <w:rPr>
          <w:rFonts w:ascii="Palatino Linotype" w:eastAsia="Calibri" w:hAnsi="Palatino Linotype" w:cs="Tahoma"/>
        </w:rPr>
        <w:t xml:space="preserve"> </w:t>
      </w:r>
      <w:r w:rsidRPr="006F0B86">
        <w:rPr>
          <w:rFonts w:ascii="Palatino Linotype" w:eastAsia="Calibri" w:hAnsi="Palatino Linotype" w:cs="Tahoma"/>
        </w:rPr>
        <w:t xml:space="preserve">Así, con base en los razonamientos expuestos, se emite el presente </w:t>
      </w:r>
      <w:r w:rsidRPr="006F0B86">
        <w:rPr>
          <w:rFonts w:ascii="Palatino Linotype" w:eastAsia="Calibri" w:hAnsi="Palatino Linotype" w:cs="Tahoma"/>
          <w:b/>
        </w:rPr>
        <w:t>Voto Particular</w:t>
      </w:r>
      <w:r w:rsidRPr="006F0B86">
        <w:rPr>
          <w:rFonts w:ascii="Palatino Linotype" w:eastAsia="Calibri" w:hAnsi="Palatino Linotype" w:cs="Tahoma"/>
        </w:rPr>
        <w:t>. ---------</w:t>
      </w:r>
      <w:r>
        <w:rPr>
          <w:rFonts w:ascii="Palatino Linotype" w:eastAsia="Calibri" w:hAnsi="Palatino Linotype" w:cs="Tahoma"/>
        </w:rPr>
        <w:t>-----------------------------------------------------------------------------------------</w:t>
      </w:r>
    </w:p>
    <w:p w:rsidR="00F34C61" w:rsidRDefault="00F34C61" w:rsidP="001A58CB">
      <w:pPr>
        <w:spacing w:after="0" w:line="360" w:lineRule="auto"/>
        <w:ind w:right="49"/>
        <w:jc w:val="both"/>
        <w:rPr>
          <w:rFonts w:ascii="Palatino Linotype" w:hAnsi="Palatino Linotype" w:cs="Tahoma"/>
        </w:rPr>
      </w:pPr>
    </w:p>
    <w:p w:rsidR="002F2CA2" w:rsidRDefault="002F2CA2" w:rsidP="001A58CB">
      <w:pPr>
        <w:spacing w:after="0" w:line="360" w:lineRule="auto"/>
        <w:ind w:right="49"/>
        <w:jc w:val="both"/>
        <w:rPr>
          <w:rFonts w:ascii="Palatino Linotype" w:hAnsi="Palatino Linotype" w:cs="Tahoma"/>
        </w:rPr>
      </w:pPr>
    </w:p>
    <w:p w:rsidR="002F2CA2" w:rsidRDefault="002F2CA2"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81B6B" w:rsidRDefault="00D81B6B"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622BCF" w:rsidRDefault="00622BCF" w:rsidP="001A58CB">
      <w:pPr>
        <w:spacing w:after="0" w:line="360" w:lineRule="auto"/>
        <w:ind w:right="49"/>
        <w:jc w:val="both"/>
        <w:rPr>
          <w:rFonts w:ascii="Palatino Linotype" w:hAnsi="Palatino Linotype" w:cs="Tahoma"/>
        </w:rPr>
      </w:pPr>
    </w:p>
    <w:p w:rsidR="00622BCF" w:rsidRDefault="00622BCF" w:rsidP="001A58CB">
      <w:pPr>
        <w:spacing w:after="0" w:line="360" w:lineRule="auto"/>
        <w:ind w:right="49"/>
        <w:jc w:val="both"/>
        <w:rPr>
          <w:rFonts w:ascii="Palatino Linotype" w:hAnsi="Palatino Linotype" w:cs="Tahoma"/>
        </w:rPr>
      </w:pPr>
    </w:p>
    <w:p w:rsidR="00310C37" w:rsidRDefault="00310C37" w:rsidP="001A58CB">
      <w:pPr>
        <w:spacing w:after="0" w:line="360" w:lineRule="auto"/>
        <w:ind w:right="49"/>
        <w:jc w:val="both"/>
        <w:rPr>
          <w:rFonts w:ascii="Palatino Linotype" w:hAnsi="Palatino Linotype" w:cs="Tahoma"/>
        </w:rPr>
      </w:pPr>
    </w:p>
    <w:p w:rsidR="00310C37" w:rsidRDefault="00310C37"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D51DEC" w:rsidRDefault="00D51DEC"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34C61" w:rsidRDefault="00F34C61" w:rsidP="001A58CB">
      <w:pPr>
        <w:spacing w:after="0" w:line="360" w:lineRule="auto"/>
        <w:ind w:right="49"/>
        <w:jc w:val="both"/>
        <w:rPr>
          <w:rFonts w:ascii="Palatino Linotype" w:hAnsi="Palatino Linotype" w:cs="Tahoma"/>
        </w:rPr>
      </w:pPr>
    </w:p>
    <w:p w:rsidR="00F84B95" w:rsidRDefault="00F84B95" w:rsidP="001A58CB">
      <w:pPr>
        <w:spacing w:after="0" w:line="360" w:lineRule="auto"/>
        <w:ind w:right="49"/>
        <w:jc w:val="both"/>
      </w:pPr>
    </w:p>
    <w:sectPr w:rsidR="00F84B95" w:rsidSect="00951B8A">
      <w:headerReference w:type="default" r:id="rId7"/>
      <w:footerReference w:type="default" r:id="rId8"/>
      <w:pgSz w:w="12240" w:h="15840" w:code="1"/>
      <w:pgMar w:top="1417" w:right="1701" w:bottom="1276"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F08" w:rsidRDefault="004B7F08" w:rsidP="00A80C30">
      <w:pPr>
        <w:spacing w:after="0" w:line="240" w:lineRule="auto"/>
      </w:pPr>
      <w:r>
        <w:separator/>
      </w:r>
    </w:p>
  </w:endnote>
  <w:endnote w:type="continuationSeparator" w:id="0">
    <w:p w:rsidR="004B7F08" w:rsidRDefault="004B7F08"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1529D">
              <w:rPr>
                <w:b/>
                <w:bCs/>
                <w:noProof/>
              </w:rPr>
              <w:t>6</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1529D">
              <w:rPr>
                <w:b/>
                <w:bCs/>
                <w:noProof/>
              </w:rPr>
              <w:t>6</w:t>
            </w:r>
            <w:r>
              <w:rPr>
                <w:b/>
                <w:bCs/>
                <w:sz w:val="24"/>
                <w:szCs w:val="24"/>
              </w:rPr>
              <w:fldChar w:fldCharType="end"/>
            </w:r>
          </w:p>
        </w:sdtContent>
      </w:sdt>
    </w:sdtContent>
  </w:sdt>
  <w:p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F08" w:rsidRDefault="004B7F08" w:rsidP="00A80C30">
      <w:pPr>
        <w:spacing w:after="0" w:line="240" w:lineRule="auto"/>
      </w:pPr>
      <w:r>
        <w:separator/>
      </w:r>
    </w:p>
  </w:footnote>
  <w:footnote w:type="continuationSeparator" w:id="0">
    <w:p w:rsidR="004B7F08" w:rsidRDefault="004B7F08"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6379"/>
    </w:tblGrid>
    <w:tr w:rsidR="003212EB" w:rsidRPr="001106EA" w:rsidTr="00951B8A">
      <w:trPr>
        <w:trHeight w:val="1782"/>
      </w:trPr>
      <w:tc>
        <w:tcPr>
          <w:tcW w:w="2552" w:type="dxa"/>
          <w:vAlign w:val="bottom"/>
        </w:tcPr>
        <w:p w:rsidR="003212EB" w:rsidRDefault="006F0B86"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625EEC30" wp14:editId="6E97CBC5">
                <wp:simplePos x="0" y="0"/>
                <wp:positionH relativeFrom="column">
                  <wp:posOffset>-243840</wp:posOffset>
                </wp:positionH>
                <wp:positionV relativeFrom="paragraph">
                  <wp:posOffset>-856615</wp:posOffset>
                </wp:positionV>
                <wp:extent cx="1873250" cy="112649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rsidR="003212EB" w:rsidRDefault="003212EB" w:rsidP="00285C7B">
          <w:pPr>
            <w:pStyle w:val="Encabezado"/>
            <w:tabs>
              <w:tab w:val="clear" w:pos="4252"/>
              <w:tab w:val="center" w:pos="2614"/>
            </w:tabs>
            <w:ind w:left="-255"/>
          </w:pPr>
        </w:p>
      </w:tc>
      <w:tc>
        <w:tcPr>
          <w:tcW w:w="6379" w:type="dxa"/>
          <w:vAlign w:val="center"/>
        </w:tcPr>
        <w:p w:rsidR="003212EB" w:rsidRPr="00B9745A" w:rsidRDefault="003212EB"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3212EB" w:rsidRDefault="003212EB"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3D2C84">
            <w:rPr>
              <w:rFonts w:ascii="Palatino Linotype" w:hAnsi="Palatino Linotype"/>
              <w:lang w:val="es-MX"/>
            </w:rPr>
            <w:t>02470/INFOEM/IP/RR/2023 y acumulado</w:t>
          </w:r>
        </w:p>
        <w:p w:rsidR="002F095A" w:rsidRDefault="003212EB" w:rsidP="002F095A">
          <w:pPr>
            <w:pStyle w:val="Encabezado"/>
            <w:ind w:left="-108"/>
            <w:jc w:val="both"/>
            <w:rPr>
              <w:rFonts w:ascii="Palatino Linotype" w:hAnsi="Palatino Linotype"/>
              <w:bCs/>
            </w:rPr>
          </w:pPr>
          <w:r>
            <w:rPr>
              <w:rFonts w:ascii="Palatino Linotype" w:hAnsi="Palatino Linotype" w:cs="Tahoma"/>
              <w:b/>
            </w:rPr>
            <w:t>Sujeto Obligado:</w:t>
          </w:r>
          <w:r>
            <w:rPr>
              <w:rFonts w:ascii="Palatino Linotype" w:hAnsi="Palatino Linotype"/>
              <w:bCs/>
              <w:lang w:val="es-MX"/>
            </w:rPr>
            <w:t xml:space="preserve"> </w:t>
          </w:r>
          <w:r w:rsidR="000B7F9F" w:rsidRPr="000B7F9F">
            <w:rPr>
              <w:rFonts w:ascii="Palatino Linotype" w:hAnsi="Palatino Linotype"/>
              <w:bCs/>
            </w:rPr>
            <w:t xml:space="preserve">Ayuntamiento de </w:t>
          </w:r>
          <w:r w:rsidR="003D2C84" w:rsidRPr="003D2C84">
            <w:rPr>
              <w:rFonts w:ascii="Palatino Linotype" w:hAnsi="Palatino Linotype"/>
              <w:bCs/>
            </w:rPr>
            <w:t>Ecatepec de Morelos</w:t>
          </w:r>
        </w:p>
        <w:p w:rsidR="003212EB" w:rsidRDefault="003212EB" w:rsidP="00B463E2">
          <w:pPr>
            <w:pStyle w:val="Encabezado"/>
            <w:ind w:left="-108" w:right="-250"/>
            <w:jc w:val="both"/>
            <w:rPr>
              <w:rFonts w:ascii="Palatino Linotype" w:hAnsi="Palatino Linotype" w:cs="Arial"/>
              <w:szCs w:val="20"/>
            </w:rPr>
          </w:pPr>
          <w:r w:rsidRPr="00B9745A">
            <w:rPr>
              <w:rFonts w:ascii="Palatino Linotype" w:hAnsi="Palatino Linotype" w:cs="Tahoma"/>
              <w:b/>
            </w:rPr>
            <w:t>Comisionad</w:t>
          </w:r>
          <w:r w:rsidR="00ED4DBE">
            <w:rPr>
              <w:rFonts w:ascii="Palatino Linotype" w:hAnsi="Palatino Linotype" w:cs="Tahoma"/>
              <w:b/>
            </w:rPr>
            <w:t>a</w:t>
          </w:r>
          <w:r w:rsidRPr="00B9745A">
            <w:rPr>
              <w:rFonts w:ascii="Palatino Linotype" w:hAnsi="Palatino Linotype" w:cs="Tahoma"/>
              <w:b/>
            </w:rPr>
            <w:t xml:space="preserve"> Ponente: </w:t>
          </w:r>
          <w:r w:rsidR="003D2C84" w:rsidRPr="003D2C84">
            <w:rPr>
              <w:rFonts w:ascii="Palatino Linotype" w:hAnsi="Palatino Linotype" w:cs="Arial"/>
              <w:szCs w:val="20"/>
            </w:rPr>
            <w:t>Ecatepec de Morelos</w:t>
          </w:r>
        </w:p>
        <w:p w:rsidR="006F0B86" w:rsidRPr="00285C7B" w:rsidRDefault="006F0B86" w:rsidP="00B463E2">
          <w:pPr>
            <w:pStyle w:val="Encabezado"/>
            <w:ind w:left="-108" w:right="-250"/>
            <w:jc w:val="both"/>
            <w:rPr>
              <w:rFonts w:ascii="Palatino Linotype" w:hAnsi="Palatino Linotype"/>
              <w:bCs/>
              <w:lang w:val="es-ES_tradnl"/>
            </w:rPr>
          </w:pPr>
        </w:p>
      </w:tc>
    </w:tr>
  </w:tbl>
  <w:p w:rsidR="003212EB" w:rsidRPr="001106EA" w:rsidRDefault="003212E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82310"/>
    <w:rsid w:val="000B7F9F"/>
    <w:rsid w:val="000D62C0"/>
    <w:rsid w:val="00100065"/>
    <w:rsid w:val="00130238"/>
    <w:rsid w:val="001971A0"/>
    <w:rsid w:val="001A58CB"/>
    <w:rsid w:val="001D6059"/>
    <w:rsid w:val="001F75E5"/>
    <w:rsid w:val="002071AC"/>
    <w:rsid w:val="00285C7B"/>
    <w:rsid w:val="002D6AB3"/>
    <w:rsid w:val="002F095A"/>
    <w:rsid w:val="002F2CA2"/>
    <w:rsid w:val="00304A0F"/>
    <w:rsid w:val="00310C37"/>
    <w:rsid w:val="00314859"/>
    <w:rsid w:val="003212EB"/>
    <w:rsid w:val="003A5D2E"/>
    <w:rsid w:val="003D2C84"/>
    <w:rsid w:val="003E56C5"/>
    <w:rsid w:val="00427F85"/>
    <w:rsid w:val="00437622"/>
    <w:rsid w:val="004412C6"/>
    <w:rsid w:val="00456D37"/>
    <w:rsid w:val="004738C3"/>
    <w:rsid w:val="00480115"/>
    <w:rsid w:val="00486BD3"/>
    <w:rsid w:val="00494387"/>
    <w:rsid w:val="004A7A76"/>
    <w:rsid w:val="004B7F08"/>
    <w:rsid w:val="004C0D87"/>
    <w:rsid w:val="004C7D91"/>
    <w:rsid w:val="004D26F6"/>
    <w:rsid w:val="004E5EAD"/>
    <w:rsid w:val="00506560"/>
    <w:rsid w:val="00506AB5"/>
    <w:rsid w:val="0051529D"/>
    <w:rsid w:val="005236BA"/>
    <w:rsid w:val="00524084"/>
    <w:rsid w:val="00524A4C"/>
    <w:rsid w:val="005277CD"/>
    <w:rsid w:val="00533E57"/>
    <w:rsid w:val="005378B9"/>
    <w:rsid w:val="00541BAC"/>
    <w:rsid w:val="00543C9A"/>
    <w:rsid w:val="00557EC7"/>
    <w:rsid w:val="0059209B"/>
    <w:rsid w:val="005974CA"/>
    <w:rsid w:val="00601591"/>
    <w:rsid w:val="0060453B"/>
    <w:rsid w:val="00622BCF"/>
    <w:rsid w:val="006408E2"/>
    <w:rsid w:val="00674268"/>
    <w:rsid w:val="00684986"/>
    <w:rsid w:val="00690441"/>
    <w:rsid w:val="00690DC9"/>
    <w:rsid w:val="006A2BEA"/>
    <w:rsid w:val="006C2B09"/>
    <w:rsid w:val="006F0B86"/>
    <w:rsid w:val="00711811"/>
    <w:rsid w:val="00716333"/>
    <w:rsid w:val="00750063"/>
    <w:rsid w:val="007547CE"/>
    <w:rsid w:val="00756729"/>
    <w:rsid w:val="007B1D95"/>
    <w:rsid w:val="007B6ED5"/>
    <w:rsid w:val="007B7E24"/>
    <w:rsid w:val="007D1914"/>
    <w:rsid w:val="007D3006"/>
    <w:rsid w:val="007F32AC"/>
    <w:rsid w:val="00823E1B"/>
    <w:rsid w:val="00826C7B"/>
    <w:rsid w:val="0083177F"/>
    <w:rsid w:val="00833C20"/>
    <w:rsid w:val="00837AD2"/>
    <w:rsid w:val="00842979"/>
    <w:rsid w:val="00864A25"/>
    <w:rsid w:val="008B7FC0"/>
    <w:rsid w:val="008C5810"/>
    <w:rsid w:val="008D221B"/>
    <w:rsid w:val="008E1028"/>
    <w:rsid w:val="008E2746"/>
    <w:rsid w:val="008F78B8"/>
    <w:rsid w:val="00913F1E"/>
    <w:rsid w:val="00922026"/>
    <w:rsid w:val="00940F06"/>
    <w:rsid w:val="00951B8A"/>
    <w:rsid w:val="00960C5A"/>
    <w:rsid w:val="00961702"/>
    <w:rsid w:val="009C0622"/>
    <w:rsid w:val="009C37A6"/>
    <w:rsid w:val="009C6B45"/>
    <w:rsid w:val="009F23B2"/>
    <w:rsid w:val="00A17F80"/>
    <w:rsid w:val="00A21473"/>
    <w:rsid w:val="00A54CCC"/>
    <w:rsid w:val="00A80C30"/>
    <w:rsid w:val="00A9782A"/>
    <w:rsid w:val="00AC2D47"/>
    <w:rsid w:val="00AD5399"/>
    <w:rsid w:val="00AE0A22"/>
    <w:rsid w:val="00AF77D3"/>
    <w:rsid w:val="00B031CD"/>
    <w:rsid w:val="00B22C41"/>
    <w:rsid w:val="00B43526"/>
    <w:rsid w:val="00B463E2"/>
    <w:rsid w:val="00B46E3B"/>
    <w:rsid w:val="00B55282"/>
    <w:rsid w:val="00B77094"/>
    <w:rsid w:val="00B80272"/>
    <w:rsid w:val="00BA54EE"/>
    <w:rsid w:val="00BB606D"/>
    <w:rsid w:val="00BD201D"/>
    <w:rsid w:val="00BD7B75"/>
    <w:rsid w:val="00C00E77"/>
    <w:rsid w:val="00C36D41"/>
    <w:rsid w:val="00C458FE"/>
    <w:rsid w:val="00C533E2"/>
    <w:rsid w:val="00C60C1A"/>
    <w:rsid w:val="00C75F6B"/>
    <w:rsid w:val="00C90B82"/>
    <w:rsid w:val="00CB36F3"/>
    <w:rsid w:val="00CC3620"/>
    <w:rsid w:val="00CD7937"/>
    <w:rsid w:val="00D51BFD"/>
    <w:rsid w:val="00D51DEC"/>
    <w:rsid w:val="00D6254E"/>
    <w:rsid w:val="00D71359"/>
    <w:rsid w:val="00D81B6B"/>
    <w:rsid w:val="00D96FAA"/>
    <w:rsid w:val="00DA5ADF"/>
    <w:rsid w:val="00DB121C"/>
    <w:rsid w:val="00DD5D61"/>
    <w:rsid w:val="00E01F66"/>
    <w:rsid w:val="00E15D99"/>
    <w:rsid w:val="00E3351B"/>
    <w:rsid w:val="00E43FEA"/>
    <w:rsid w:val="00E67710"/>
    <w:rsid w:val="00E678EF"/>
    <w:rsid w:val="00E7322A"/>
    <w:rsid w:val="00E878DE"/>
    <w:rsid w:val="00EA7BAB"/>
    <w:rsid w:val="00EB135A"/>
    <w:rsid w:val="00ED4DBE"/>
    <w:rsid w:val="00ED75FF"/>
    <w:rsid w:val="00EE0581"/>
    <w:rsid w:val="00EE2310"/>
    <w:rsid w:val="00EF3687"/>
    <w:rsid w:val="00F04F7C"/>
    <w:rsid w:val="00F0698C"/>
    <w:rsid w:val="00F1426D"/>
    <w:rsid w:val="00F34C61"/>
    <w:rsid w:val="00F35BFB"/>
    <w:rsid w:val="00F446B7"/>
    <w:rsid w:val="00F47181"/>
    <w:rsid w:val="00F829A6"/>
    <w:rsid w:val="00F84B95"/>
    <w:rsid w:val="00FB0274"/>
    <w:rsid w:val="00FB1738"/>
    <w:rsid w:val="00FC3DE6"/>
    <w:rsid w:val="00FE051C"/>
    <w:rsid w:val="00FF5922"/>
    <w:rsid w:val="00FF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9706388">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1555</Words>
  <Characters>8553</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Cuenta Microsoft</cp:lastModifiedBy>
  <cp:revision>3</cp:revision>
  <cp:lastPrinted>2022-10-24T14:45:00Z</cp:lastPrinted>
  <dcterms:created xsi:type="dcterms:W3CDTF">2023-06-29T16:48:00Z</dcterms:created>
  <dcterms:modified xsi:type="dcterms:W3CDTF">2023-06-30T19:49:00Z</dcterms:modified>
</cp:coreProperties>
</file>