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27434E25" w:rsidR="00F47FB5" w:rsidRPr="00F029E0" w:rsidRDefault="00AA21EE" w:rsidP="00F47FB5">
      <w:pPr>
        <w:spacing w:line="360" w:lineRule="auto"/>
        <w:jc w:val="both"/>
        <w:rPr>
          <w:rFonts w:ascii="Palatino Linotype" w:hAnsi="Palatino Linotype" w:cs="Tahoma"/>
          <w:b/>
          <w:lang w:val="es-MX"/>
        </w:rPr>
      </w:pPr>
      <w:r>
        <w:rPr>
          <w:rFonts w:ascii="Palatino Linotype" w:hAnsi="Palatino Linotype" w:cs="Tahoma"/>
          <w:b/>
        </w:rPr>
        <w:t>VOTO PARTICULAR QUE FORMULA</w:t>
      </w:r>
      <w:bookmarkStart w:id="0" w:name="_GoBack"/>
      <w:bookmarkEnd w:id="0"/>
      <w:r w:rsidR="00F47FB5" w:rsidRPr="00F029E0">
        <w:rPr>
          <w:rFonts w:ascii="Palatino Linotype" w:hAnsi="Palatino Linotype" w:cs="Tahoma"/>
          <w:b/>
        </w:rPr>
        <w:t xml:space="preserve"> LA COMISIONADA MARÍA DEL ROSARIO MEJÍA AYALA, CON RELACIÓN A LA RESOLUCIÓN EMITIDA POR EL PLENO DEL INSTITUTO DE TRANSPARENCIA, ACCESO A LA INFORMACIÓN PÚBLICA Y </w:t>
      </w:r>
      <w:r w:rsidR="003F0929" w:rsidRPr="00F029E0">
        <w:rPr>
          <w:rFonts w:ascii="Palatino Linotype" w:hAnsi="Palatino Linotype" w:cs="Tahoma"/>
          <w:b/>
        </w:rPr>
        <w:t xml:space="preserve">PROTECCIÓN DE DATOS PERSONALES DEL ESTADO </w:t>
      </w:r>
      <w:r w:rsidR="00B92067" w:rsidRPr="00F029E0">
        <w:rPr>
          <w:rFonts w:ascii="Palatino Linotype" w:hAnsi="Palatino Linotype" w:cs="Tahoma"/>
          <w:b/>
        </w:rPr>
        <w:t xml:space="preserve">DE </w:t>
      </w:r>
      <w:r w:rsidR="00171670" w:rsidRPr="00F029E0">
        <w:rPr>
          <w:rFonts w:ascii="Palatino Linotype" w:hAnsi="Palatino Linotype" w:cs="Tahoma"/>
          <w:b/>
        </w:rPr>
        <w:t xml:space="preserve">MÉXICO Y MUNICIPIOS AL RECURSO DE REVISIÓN </w:t>
      </w:r>
      <w:r w:rsidR="00171670" w:rsidRPr="00F029E0">
        <w:rPr>
          <w:rFonts w:ascii="Palatino Linotype" w:hAnsi="Palatino Linotype" w:cs="Tahoma"/>
          <w:b/>
          <w:bCs/>
          <w:color w:val="0D0D0D" w:themeColor="text1" w:themeTint="F2"/>
        </w:rPr>
        <w:t>01586/INFOEM/IP/RR/2023</w:t>
      </w:r>
      <w:r w:rsidR="00171670" w:rsidRPr="00F029E0">
        <w:rPr>
          <w:rFonts w:ascii="Palatino Linotype" w:hAnsi="Palatino Linotype" w:cs="Arial"/>
          <w:b/>
          <w:bCs/>
          <w:color w:val="000000" w:themeColor="text1"/>
        </w:rPr>
        <w:t>,</w:t>
      </w:r>
      <w:r w:rsidR="00171670" w:rsidRPr="00F029E0">
        <w:rPr>
          <w:rFonts w:ascii="Palatino Linotype" w:hAnsi="Palatino Linotype" w:cs="Tahoma"/>
          <w:b/>
        </w:rPr>
        <w:t xml:space="preserve"> PROMOVIDO EN CONTRA DE LA </w:t>
      </w:r>
      <w:r w:rsidR="00171670" w:rsidRPr="00F029E0">
        <w:rPr>
          <w:rFonts w:ascii="Palatino Linotype" w:eastAsia="Calibri" w:hAnsi="Palatino Linotype" w:cs="Tahoma"/>
          <w:b/>
          <w:lang w:eastAsia="en-US"/>
        </w:rPr>
        <w:t>SECRETARÍA DE DESARROLLO URBANO Y OBRA</w:t>
      </w:r>
      <w:r w:rsidR="001644F9">
        <w:rPr>
          <w:rFonts w:ascii="Palatino Linotype" w:hAnsi="Palatino Linotype" w:cs="Tahoma"/>
          <w:b/>
        </w:rPr>
        <w:t>.</w:t>
      </w:r>
    </w:p>
    <w:p w14:paraId="4B300B03" w14:textId="77777777" w:rsidR="00326EEA" w:rsidRPr="00F029E0" w:rsidRDefault="00326EEA" w:rsidP="00CF3F65">
      <w:pPr>
        <w:spacing w:line="360" w:lineRule="auto"/>
        <w:jc w:val="both"/>
        <w:rPr>
          <w:rFonts w:ascii="Palatino Linotype" w:hAnsi="Palatino Linotype" w:cs="Arial"/>
          <w:b/>
        </w:rPr>
      </w:pPr>
    </w:p>
    <w:p w14:paraId="51A10ACA" w14:textId="77777777" w:rsidR="007B1CFA" w:rsidRPr="00F029E0"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1" w:name="_Toc70345222"/>
      <w:r w:rsidRPr="00F029E0">
        <w:rPr>
          <w:rFonts w:ascii="Palatino Linotype" w:hAnsi="Palatino Linotype"/>
          <w:color w:val="000000" w:themeColor="text1"/>
          <w:sz w:val="24"/>
          <w:szCs w:val="24"/>
        </w:rPr>
        <w:t>Consideraciones Generales.</w:t>
      </w:r>
      <w:bookmarkEnd w:id="1"/>
    </w:p>
    <w:p w14:paraId="2A27C14C" w14:textId="77777777" w:rsidR="007B1CFA" w:rsidRPr="00F029E0" w:rsidRDefault="007B1CFA" w:rsidP="00CF3F65">
      <w:pPr>
        <w:spacing w:line="360" w:lineRule="auto"/>
        <w:rPr>
          <w:rFonts w:ascii="Palatino Linotype" w:hAnsi="Palatino Linotype"/>
        </w:rPr>
      </w:pPr>
    </w:p>
    <w:p w14:paraId="60F0E591" w14:textId="3C1E9D1E" w:rsidR="00530898" w:rsidRPr="00F029E0" w:rsidRDefault="00CF3F65" w:rsidP="008F67BC">
      <w:pPr>
        <w:spacing w:line="360" w:lineRule="auto"/>
        <w:jc w:val="both"/>
        <w:rPr>
          <w:rFonts w:ascii="Palatino Linotype" w:eastAsia="Palatino Linotype" w:hAnsi="Palatino Linotype" w:cs="Palatino Linotype"/>
          <w:b/>
        </w:rPr>
      </w:pPr>
      <w:r w:rsidRPr="00F029E0">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F029E0">
        <w:rPr>
          <w:rFonts w:ascii="Palatino Linotype" w:hAnsi="Palatino Linotype" w:cs="Arial"/>
        </w:rPr>
        <w:t xml:space="preserve"> que sustentan la Resolución del</w:t>
      </w:r>
      <w:r w:rsidR="006A7AB7" w:rsidRPr="00F029E0">
        <w:rPr>
          <w:rFonts w:ascii="Palatino Linotype" w:hAnsi="Palatino Linotype" w:cs="Arial"/>
        </w:rPr>
        <w:t xml:space="preserve"> </w:t>
      </w:r>
      <w:r w:rsidRPr="00F029E0">
        <w:rPr>
          <w:rFonts w:ascii="Palatino Linotype" w:hAnsi="Palatino Linotype" w:cs="Arial"/>
        </w:rPr>
        <w:t xml:space="preserve">Recurso de Revisión </w:t>
      </w:r>
      <w:r w:rsidR="00171670" w:rsidRPr="00F029E0">
        <w:rPr>
          <w:rFonts w:ascii="Palatino Linotype" w:hAnsi="Palatino Linotype" w:cs="Tahoma"/>
          <w:b/>
          <w:bCs/>
          <w:color w:val="0D0D0D" w:themeColor="text1" w:themeTint="F2"/>
        </w:rPr>
        <w:t>01586/INFOEM/IP/RR/2023</w:t>
      </w:r>
      <w:r w:rsidR="00171670" w:rsidRPr="00F029E0">
        <w:rPr>
          <w:rFonts w:ascii="Palatino Linotype" w:hAnsi="Palatino Linotype" w:cs="Tahoma"/>
          <w:bCs/>
          <w:color w:val="0D0D0D" w:themeColor="text1" w:themeTint="F2"/>
        </w:rPr>
        <w:t xml:space="preserve">, </w:t>
      </w:r>
      <w:r w:rsidR="008B0A68" w:rsidRPr="00F029E0">
        <w:rPr>
          <w:rFonts w:ascii="Palatino Linotype" w:hAnsi="Palatino Linotype" w:cs="Arial"/>
        </w:rPr>
        <w:t xml:space="preserve">presentado conforme al criterio mayoritario del Pleno, </w:t>
      </w:r>
      <w:r w:rsidRPr="00F029E0">
        <w:rPr>
          <w:rFonts w:ascii="Palatino Linotype" w:hAnsi="Palatino Linotype" w:cs="Arial"/>
        </w:rPr>
        <w:t>promovido en contra de</w:t>
      </w:r>
      <w:r w:rsidR="00B92067" w:rsidRPr="00F029E0">
        <w:rPr>
          <w:rFonts w:ascii="Palatino Linotype" w:hAnsi="Palatino Linotype" w:cs="Arial"/>
        </w:rPr>
        <w:t xml:space="preserve"> </w:t>
      </w:r>
      <w:r w:rsidR="0068101D" w:rsidRPr="00F029E0">
        <w:rPr>
          <w:rFonts w:ascii="Palatino Linotype" w:hAnsi="Palatino Linotype" w:cs="Arial"/>
        </w:rPr>
        <w:t>l</w:t>
      </w:r>
      <w:r w:rsidR="00B92067" w:rsidRPr="00F029E0">
        <w:rPr>
          <w:rFonts w:ascii="Palatino Linotype" w:hAnsi="Palatino Linotype" w:cs="Arial"/>
        </w:rPr>
        <w:t>a</w:t>
      </w:r>
      <w:r w:rsidR="0068101D" w:rsidRPr="00F029E0">
        <w:rPr>
          <w:rFonts w:ascii="Palatino Linotype" w:hAnsi="Palatino Linotype" w:cs="Arial"/>
        </w:rPr>
        <w:t xml:space="preserve"> </w:t>
      </w:r>
      <w:r w:rsidR="00BC1756" w:rsidRPr="00F029E0">
        <w:rPr>
          <w:rFonts w:ascii="Palatino Linotype" w:hAnsi="Palatino Linotype" w:cs="Arial"/>
        </w:rPr>
        <w:t xml:space="preserve"> </w:t>
      </w:r>
      <w:r w:rsidR="00171670" w:rsidRPr="00F029E0">
        <w:rPr>
          <w:rFonts w:ascii="Palatino Linotype" w:eastAsia="Calibri" w:hAnsi="Palatino Linotype" w:cs="Tahoma"/>
          <w:lang w:eastAsia="en-US"/>
        </w:rPr>
        <w:t>Secretaría de Desarrollo Urbano y Obra</w:t>
      </w:r>
      <w:r w:rsidR="006A7AB7" w:rsidRPr="00F029E0">
        <w:rPr>
          <w:rFonts w:ascii="Palatino Linotype" w:eastAsia="Palatino Linotype" w:hAnsi="Palatino Linotype" w:cs="Palatino Linotype"/>
          <w:b/>
        </w:rPr>
        <w:t>.</w:t>
      </w:r>
    </w:p>
    <w:p w14:paraId="66D32CD4" w14:textId="77777777" w:rsidR="00EF3513" w:rsidRPr="00F029E0" w:rsidRDefault="00EF3513" w:rsidP="008F67BC">
      <w:pPr>
        <w:spacing w:line="360" w:lineRule="auto"/>
        <w:jc w:val="both"/>
        <w:rPr>
          <w:rFonts w:ascii="Palatino Linotype" w:eastAsia="Palatino Linotype" w:hAnsi="Palatino Linotype" w:cs="Palatino Linotype"/>
          <w:b/>
        </w:rPr>
      </w:pPr>
    </w:p>
    <w:p w14:paraId="2CD2271C" w14:textId="6E2E76DA" w:rsidR="00BF358F" w:rsidRPr="00F029E0" w:rsidRDefault="00EF3513" w:rsidP="00BF358F">
      <w:pPr>
        <w:spacing w:line="360" w:lineRule="auto"/>
        <w:jc w:val="both"/>
        <w:rPr>
          <w:rFonts w:ascii="Palatino Linotype" w:hAnsi="Palatino Linotype" w:cs="Arial"/>
        </w:rPr>
      </w:pPr>
      <w:r w:rsidRPr="00F029E0">
        <w:rPr>
          <w:rFonts w:ascii="Palatino Linotype" w:eastAsia="Calibri" w:hAnsi="Palatino Linotype"/>
          <w:bCs/>
        </w:rPr>
        <w:t>El</w:t>
      </w:r>
      <w:r w:rsidRPr="00F029E0">
        <w:rPr>
          <w:rFonts w:ascii="Palatino Linotype" w:eastAsia="Calibri" w:hAnsi="Palatino Linotype"/>
          <w:b/>
        </w:rPr>
        <w:t xml:space="preserve"> RECURRENTE </w:t>
      </w:r>
      <w:r w:rsidRPr="00F029E0">
        <w:rPr>
          <w:rFonts w:ascii="Palatino Linotype" w:eastAsia="Calibri" w:hAnsi="Palatino Linotype"/>
          <w:bCs/>
        </w:rPr>
        <w:t>presentó</w:t>
      </w:r>
      <w:r w:rsidRPr="00F029E0">
        <w:rPr>
          <w:rFonts w:ascii="Palatino Linotype" w:eastAsia="Calibri" w:hAnsi="Palatino Linotype" w:cs="Arial"/>
        </w:rPr>
        <w:t xml:space="preserve"> vía Sistema de Acceso a la Información Mexiquense (</w:t>
      </w:r>
      <w:r w:rsidRPr="00F029E0">
        <w:rPr>
          <w:rFonts w:ascii="Palatino Linotype" w:eastAsia="Calibri" w:hAnsi="Palatino Linotype" w:cs="Arial"/>
          <w:b/>
        </w:rPr>
        <w:t>SAIMEX)</w:t>
      </w:r>
      <w:r w:rsidRPr="00F029E0">
        <w:rPr>
          <w:rFonts w:ascii="Palatino Linotype" w:eastAsia="Calibri" w:hAnsi="Palatino Linotype" w:cs="Arial"/>
        </w:rPr>
        <w:t xml:space="preserve">, </w:t>
      </w:r>
      <w:r w:rsidR="00BF358F" w:rsidRPr="00F029E0">
        <w:rPr>
          <w:rFonts w:ascii="Palatino Linotype" w:eastAsia="Calibri" w:hAnsi="Palatino Linotype" w:cs="Arial"/>
        </w:rPr>
        <w:t>la</w:t>
      </w:r>
      <w:r w:rsidR="008C19BE" w:rsidRPr="00F029E0">
        <w:rPr>
          <w:rFonts w:ascii="Palatino Linotype" w:eastAsia="Calibri" w:hAnsi="Palatino Linotype" w:cs="Arial"/>
        </w:rPr>
        <w:t xml:space="preserve"> solicitud</w:t>
      </w:r>
      <w:r w:rsidR="00BF358F" w:rsidRPr="00F029E0">
        <w:rPr>
          <w:rFonts w:ascii="Palatino Linotype" w:eastAsia="Calibri" w:hAnsi="Palatino Linotype" w:cs="Arial"/>
        </w:rPr>
        <w:t xml:space="preserve"> de información pública registrada con </w:t>
      </w:r>
      <w:r w:rsidR="0067381F" w:rsidRPr="00F029E0">
        <w:rPr>
          <w:rFonts w:ascii="Palatino Linotype" w:eastAsia="Calibri" w:hAnsi="Palatino Linotype" w:cs="Arial"/>
          <w:color w:val="000000" w:themeColor="text1"/>
        </w:rPr>
        <w:t>el número</w:t>
      </w:r>
      <w:r w:rsidR="00B64C7A" w:rsidRPr="00F029E0">
        <w:rPr>
          <w:rFonts w:ascii="Palatino Linotype" w:eastAsia="Calibri" w:hAnsi="Palatino Linotype" w:cs="Arial"/>
          <w:color w:val="000000" w:themeColor="text1"/>
        </w:rPr>
        <w:t xml:space="preserve"> </w:t>
      </w:r>
      <w:r w:rsidR="00B64C7A" w:rsidRPr="00F029E0">
        <w:rPr>
          <w:rFonts w:ascii="Palatino Linotype" w:eastAsia="Calibri" w:hAnsi="Palatino Linotype" w:cs="Arial"/>
          <w:b/>
          <w:bCs/>
          <w:color w:val="000000" w:themeColor="text1"/>
        </w:rPr>
        <w:t> </w:t>
      </w:r>
      <w:r w:rsidR="00171670" w:rsidRPr="00F029E0">
        <w:rPr>
          <w:rFonts w:ascii="Palatino Linotype" w:hAnsi="Palatino Linotype" w:cs="Tahoma"/>
          <w:bCs/>
        </w:rPr>
        <w:t>00057/SEDUO/IP/2023,</w:t>
      </w:r>
      <w:r w:rsidR="00BF358F" w:rsidRPr="00F029E0">
        <w:rPr>
          <w:rFonts w:ascii="Palatino Linotype" w:hAnsi="Palatino Linotype" w:cs="Arial"/>
          <w:b/>
          <w:lang w:eastAsia="es-MX"/>
        </w:rPr>
        <w:t xml:space="preserve"> </w:t>
      </w:r>
      <w:r w:rsidR="00B64C7A" w:rsidRPr="00F029E0">
        <w:rPr>
          <w:rFonts w:ascii="Palatino Linotype" w:hAnsi="Palatino Linotype" w:cs="Arial"/>
        </w:rPr>
        <w:t>mediante los</w:t>
      </w:r>
      <w:r w:rsidR="00BF358F" w:rsidRPr="00F029E0">
        <w:rPr>
          <w:rFonts w:ascii="Palatino Linotype" w:hAnsi="Palatino Linotype" w:cs="Arial"/>
        </w:rPr>
        <w:t xml:space="preserve"> cual</w:t>
      </w:r>
      <w:r w:rsidR="00B64C7A" w:rsidRPr="00F029E0">
        <w:rPr>
          <w:rFonts w:ascii="Palatino Linotype" w:hAnsi="Palatino Linotype" w:cs="Arial"/>
        </w:rPr>
        <w:t>es</w:t>
      </w:r>
      <w:r w:rsidR="00BF358F" w:rsidRPr="00F029E0">
        <w:rPr>
          <w:rFonts w:ascii="Palatino Linotype" w:hAnsi="Palatino Linotype" w:cs="Arial"/>
        </w:rPr>
        <w:t xml:space="preserve"> solicitó la siguiente información:</w:t>
      </w:r>
    </w:p>
    <w:p w14:paraId="29BF1B59" w14:textId="77777777" w:rsidR="00F029E0" w:rsidRPr="00F029E0" w:rsidRDefault="00F029E0" w:rsidP="00F029E0">
      <w:pPr>
        <w:tabs>
          <w:tab w:val="left" w:pos="4667"/>
        </w:tabs>
        <w:spacing w:line="360" w:lineRule="auto"/>
        <w:ind w:left="567" w:right="567"/>
        <w:jc w:val="both"/>
        <w:rPr>
          <w:rFonts w:ascii="Palatino Linotype" w:hAnsi="Palatino Linotype" w:cs="Tahoma"/>
          <w:b/>
          <w:bCs/>
          <w:lang w:val="es-MX"/>
        </w:rPr>
      </w:pPr>
      <w:r w:rsidRPr="00F029E0">
        <w:rPr>
          <w:rFonts w:ascii="Palatino Linotype" w:hAnsi="Palatino Linotype" w:cs="Tahoma"/>
          <w:b/>
          <w:bCs/>
        </w:rPr>
        <w:lastRenderedPageBreak/>
        <w:t>DESCRIPCIÓN CLARA Y PRECISA DE LA INFORMACIÓN SOLICITADA</w:t>
      </w:r>
    </w:p>
    <w:p w14:paraId="2388E1BA" w14:textId="77777777" w:rsidR="00F029E0" w:rsidRPr="00F029E0" w:rsidRDefault="00F029E0" w:rsidP="00F029E0">
      <w:pPr>
        <w:tabs>
          <w:tab w:val="left" w:pos="4667"/>
        </w:tabs>
        <w:spacing w:line="360" w:lineRule="auto"/>
        <w:ind w:left="567" w:right="567"/>
        <w:jc w:val="both"/>
        <w:rPr>
          <w:rFonts w:ascii="Palatino Linotype" w:hAnsi="Palatino Linotype" w:cs="Tahoma"/>
          <w:b/>
          <w:bCs/>
          <w:i/>
        </w:rPr>
      </w:pPr>
      <w:r w:rsidRPr="00F029E0">
        <w:rPr>
          <w:rFonts w:ascii="Palatino Linotype" w:hAnsi="Palatino Linotype" w:cs="Tahoma"/>
          <w:bCs/>
          <w:i/>
        </w:rPr>
        <w:t xml:space="preserve">SECRETARIA DE DESARROLLO URBANO Y OBRA SUBSECRETARÍA DE DESARROLLO URBANO AGUA Y OBRA PÚBLICA DIRECCIÓN GENERAL DE OPERACIÓN Y CONTROL URBANO DIRECCIÓN REGIONAL VALLE DE MÉXICO ZONA NORORIENTE ISRAEL PAYÁN ESCALANTE, en representación legal de la ASOCIACIÓN DE COLONOS DE RESIDENCIAL CHILUCA, A. C., personalidad que acredito con copia certificada de la escritura 19,455 de 23 de marzo de 2022, pasada ante la fe del licenciado Jaime Vázquez Castillo, Notario Público número Ciento Sesenta y Cuatro del Estado de México; señalo el correo electrónico notificaciones@payan.com.mx, así como el domicilio ubicado en Avenida Residencial Chiluca sin número, Fraccionamiento Residencial Chiluca, Atizapán de Zaragoza, Estado de México, código postal 54030, ambos para efecto de recibir notificaciones; autorizo a los licenciados en derecho Brenda Vite Nieva, Claudia Angélica Hernández Pascual, Luis Ramón Enriquez Rueda, Jorge Alberto Guzmán Hernández y Andrea Gayosso Santos; así como a los C. C. Jesús López Valladares, y Paulina García Flores, para oír y recibir toda clase de notificaciones, para revisar el expediente, para tomar apuntes y reproducir los autos incluso por medios videográficos y electrónicos, así como para recoger todo aquello que por el presente juicio deba ser entregado, comparezco para solicitar lo siguiente: </w:t>
      </w:r>
      <w:r w:rsidRPr="00F029E0">
        <w:rPr>
          <w:rFonts w:ascii="Palatino Linotype" w:hAnsi="Palatino Linotype" w:cs="Tahoma"/>
          <w:b/>
          <w:bCs/>
          <w:i/>
        </w:rPr>
        <w:t xml:space="preserve">Copia certificada del oficio 22400105060000T/DRVMZNO/1264/2022 de 25 de julio de 2022 emitido por el Arquitecto Pedro Dávila Realzola, Director </w:t>
      </w:r>
      <w:r w:rsidRPr="00F029E0">
        <w:rPr>
          <w:rFonts w:ascii="Palatino Linotype" w:hAnsi="Palatino Linotype" w:cs="Tahoma"/>
          <w:b/>
          <w:bCs/>
          <w:i/>
        </w:rPr>
        <w:lastRenderedPageBreak/>
        <w:t>Regional Valle de México Zona Nororiente, así como, de la constancia de registro de la licencia de uso de suelo número 1686/84 a la que hace referencia en dicho oficio.</w:t>
      </w:r>
    </w:p>
    <w:p w14:paraId="55485F7B" w14:textId="77777777" w:rsidR="00F029E0" w:rsidRPr="00F029E0" w:rsidRDefault="00F029E0" w:rsidP="00F029E0">
      <w:pPr>
        <w:tabs>
          <w:tab w:val="left" w:pos="4667"/>
        </w:tabs>
        <w:spacing w:line="360" w:lineRule="auto"/>
        <w:ind w:left="567" w:right="567"/>
        <w:jc w:val="both"/>
        <w:rPr>
          <w:rFonts w:ascii="Palatino Linotype" w:hAnsi="Palatino Linotype" w:cs="Tahoma"/>
          <w:bCs/>
          <w:i/>
        </w:rPr>
      </w:pPr>
      <w:r w:rsidRPr="00F029E0">
        <w:rPr>
          <w:rFonts w:ascii="Palatino Linotype" w:hAnsi="Palatino Linotype" w:cs="Tahoma"/>
          <w:bCs/>
          <w:i/>
        </w:rPr>
        <w:t>(</w:t>
      </w:r>
      <w:r w:rsidRPr="00F029E0">
        <w:rPr>
          <w:rFonts w:ascii="Palatino Linotype" w:hAnsi="Palatino Linotype" w:cs="Tahoma"/>
          <w:bCs/>
          <w:i/>
          <w:caps/>
        </w:rPr>
        <w:t>é</w:t>
      </w:r>
      <w:r w:rsidRPr="00F029E0">
        <w:rPr>
          <w:rFonts w:ascii="Palatino Linotype" w:hAnsi="Palatino Linotype" w:cs="Tahoma"/>
          <w:bCs/>
          <w:i/>
        </w:rPr>
        <w:t>nfasis añadido).</w:t>
      </w:r>
    </w:p>
    <w:p w14:paraId="1B7894DE" w14:textId="77777777" w:rsidR="0067381F" w:rsidRPr="00F029E0" w:rsidRDefault="0067381F" w:rsidP="00B64C7A">
      <w:pPr>
        <w:pStyle w:val="Prrafodelista"/>
        <w:tabs>
          <w:tab w:val="left" w:pos="567"/>
        </w:tabs>
        <w:spacing w:line="360" w:lineRule="auto"/>
        <w:ind w:left="0"/>
        <w:jc w:val="both"/>
        <w:rPr>
          <w:rFonts w:ascii="Palatino Linotype" w:eastAsia="Calibri" w:hAnsi="Palatino Linotype" w:cs="Arial"/>
          <w:color w:val="000000" w:themeColor="text1"/>
        </w:rPr>
      </w:pPr>
    </w:p>
    <w:p w14:paraId="6D02FCD7" w14:textId="7BCA6F74" w:rsidR="00F029E0" w:rsidRPr="00F029E0" w:rsidRDefault="00F029E0" w:rsidP="00F029E0">
      <w:pPr>
        <w:spacing w:line="360" w:lineRule="auto"/>
        <w:jc w:val="both"/>
        <w:rPr>
          <w:rFonts w:ascii="Palatino Linotype" w:hAnsi="Palatino Linotype" w:cs="Arial"/>
        </w:rPr>
      </w:pPr>
      <w:r w:rsidRPr="00F029E0">
        <w:rPr>
          <w:rFonts w:ascii="Palatino Linotype" w:hAnsi="Palatino Linotype" w:cs="Arial"/>
        </w:rPr>
        <w:t>El Sujeto Obligado refirió por medio de la Dirección General de Operación y Control Urbano que, derivado de la búsqueda exhaustiva y razonable en sus archivos, fueron localizados los documentos interés del Particular, no obstante, los mismos serán entregados en versión pública, toda vez que contienen datos personales y en razón de haberse solicitado los mismos por medio de copias certificadas, debe erogarse previamente el pago de los Derechos correspondientes, a fin de llevar a cabo el procedimiento respectivo, mismo que se detalló por el Sujeto Obligado.</w:t>
      </w:r>
    </w:p>
    <w:p w14:paraId="306CB59B" w14:textId="77777777" w:rsidR="00F029E0" w:rsidRPr="00F029E0" w:rsidRDefault="00F029E0" w:rsidP="0067381F">
      <w:pPr>
        <w:spacing w:line="360" w:lineRule="auto"/>
        <w:ind w:right="141"/>
        <w:jc w:val="both"/>
        <w:rPr>
          <w:rFonts w:ascii="Palatino Linotype" w:hAnsi="Palatino Linotype" w:cs="Arial"/>
        </w:rPr>
      </w:pPr>
    </w:p>
    <w:p w14:paraId="570B24AE" w14:textId="3B42595E" w:rsidR="009C666B" w:rsidRPr="00F029E0" w:rsidRDefault="00CE217B" w:rsidP="009C666B">
      <w:pPr>
        <w:spacing w:line="360" w:lineRule="auto"/>
        <w:ind w:right="141"/>
        <w:jc w:val="both"/>
        <w:rPr>
          <w:rFonts w:ascii="Palatino Linotype" w:hAnsi="Palatino Linotype" w:cs="Arial"/>
          <w:bCs/>
          <w:i/>
        </w:rPr>
      </w:pPr>
      <w:r w:rsidRPr="00F029E0">
        <w:rPr>
          <w:rFonts w:ascii="Palatino Linotype" w:hAnsi="Palatino Linotype" w:cs="Arial"/>
        </w:rPr>
        <w:t>D</w:t>
      </w:r>
      <w:r w:rsidR="0067381F" w:rsidRPr="00F029E0">
        <w:rPr>
          <w:rFonts w:ascii="Palatino Linotype" w:hAnsi="Palatino Linotype" w:cs="Arial"/>
        </w:rPr>
        <w:t xml:space="preserve">erivado de la respuesta emitida por el Sujeto Obligado, el Recurrente, </w:t>
      </w:r>
      <w:r w:rsidR="0067381F" w:rsidRPr="00F029E0">
        <w:rPr>
          <w:rFonts w:ascii="Palatino Linotype" w:hAnsi="Palatino Linotype" w:cs="Arial"/>
          <w:bCs/>
        </w:rPr>
        <w:t>interpuso el recurso de revisión, señalando sustancialmente como sus razones o motivos de inconformidad, lo siguiente:</w:t>
      </w:r>
      <w:r w:rsidRPr="00F029E0">
        <w:rPr>
          <w:rFonts w:ascii="Palatino Linotype" w:hAnsi="Palatino Linotype" w:cs="Arial"/>
          <w:bCs/>
          <w:i/>
        </w:rPr>
        <w:t xml:space="preserve"> </w:t>
      </w:r>
    </w:p>
    <w:p w14:paraId="7B6B3553" w14:textId="77777777" w:rsidR="00F029E0" w:rsidRPr="00F029E0" w:rsidRDefault="00F029E0" w:rsidP="009C666B">
      <w:pPr>
        <w:spacing w:line="360" w:lineRule="auto"/>
        <w:ind w:right="141"/>
        <w:jc w:val="both"/>
        <w:rPr>
          <w:rFonts w:ascii="Palatino Linotype" w:hAnsi="Palatino Linotype" w:cs="Arial"/>
          <w:bCs/>
          <w:i/>
        </w:rPr>
      </w:pPr>
    </w:p>
    <w:p w14:paraId="75E1F772" w14:textId="77777777" w:rsidR="00F029E0" w:rsidRPr="00F029E0" w:rsidRDefault="00F029E0" w:rsidP="00F029E0">
      <w:pPr>
        <w:tabs>
          <w:tab w:val="left" w:pos="4667"/>
        </w:tabs>
        <w:spacing w:line="360" w:lineRule="auto"/>
        <w:ind w:left="567" w:right="567"/>
        <w:jc w:val="both"/>
        <w:rPr>
          <w:rFonts w:ascii="Palatino Linotype" w:hAnsi="Palatino Linotype" w:cs="Tahoma"/>
          <w:b/>
          <w:bCs/>
          <w:lang w:val="es-MX"/>
        </w:rPr>
      </w:pPr>
      <w:r w:rsidRPr="00F029E0">
        <w:rPr>
          <w:rFonts w:ascii="Palatino Linotype" w:hAnsi="Palatino Linotype" w:cs="Tahoma"/>
          <w:b/>
          <w:bCs/>
        </w:rPr>
        <w:t>ACTO IMPUGNADO</w:t>
      </w:r>
    </w:p>
    <w:p w14:paraId="78DECB38" w14:textId="77777777" w:rsidR="00F029E0" w:rsidRPr="00F029E0" w:rsidRDefault="00F029E0" w:rsidP="00F029E0">
      <w:pPr>
        <w:autoSpaceDE w:val="0"/>
        <w:autoSpaceDN w:val="0"/>
        <w:adjustRightInd w:val="0"/>
        <w:spacing w:line="360" w:lineRule="auto"/>
        <w:ind w:left="567" w:right="539"/>
        <w:jc w:val="both"/>
        <w:rPr>
          <w:rFonts w:ascii="Palatino Linotype" w:hAnsi="Palatino Linotype"/>
          <w:i/>
          <w:lang w:eastAsia="es-MX"/>
        </w:rPr>
      </w:pPr>
      <w:r w:rsidRPr="00F029E0">
        <w:rPr>
          <w:rFonts w:ascii="Palatino Linotype" w:hAnsi="Palatino Linotype"/>
          <w:i/>
          <w:lang w:eastAsia="es-MX"/>
        </w:rPr>
        <w:t>La resolución de 1o. de marzo de 2023 dictada por el Comité de Transparencia de la Secretaría de Desarrollo Urbano y Obra del Gobierno del Estado de México (en lo sucesivo “el Comité”)respecto de la clasificación como confidencial de los datos relacionados con la solicitud de información con número de folio 00057/SEDUO/IP/2023. (Sic.)</w:t>
      </w:r>
    </w:p>
    <w:p w14:paraId="16271876" w14:textId="77777777" w:rsidR="00F029E0" w:rsidRPr="00F029E0" w:rsidRDefault="00F029E0" w:rsidP="00F029E0">
      <w:pPr>
        <w:autoSpaceDE w:val="0"/>
        <w:autoSpaceDN w:val="0"/>
        <w:adjustRightInd w:val="0"/>
        <w:spacing w:line="360" w:lineRule="auto"/>
        <w:ind w:left="567" w:right="539"/>
        <w:jc w:val="both"/>
        <w:rPr>
          <w:rFonts w:ascii="Palatino Linotype" w:hAnsi="Palatino Linotype" w:cs="Tahoma"/>
          <w:i/>
        </w:rPr>
      </w:pPr>
    </w:p>
    <w:p w14:paraId="74E216BE" w14:textId="77777777" w:rsidR="00F029E0" w:rsidRPr="00F029E0" w:rsidRDefault="00F029E0" w:rsidP="00F029E0">
      <w:pPr>
        <w:autoSpaceDE w:val="0"/>
        <w:autoSpaceDN w:val="0"/>
        <w:adjustRightInd w:val="0"/>
        <w:spacing w:line="360" w:lineRule="auto"/>
        <w:ind w:left="567" w:right="539"/>
        <w:jc w:val="both"/>
        <w:rPr>
          <w:rFonts w:ascii="Palatino Linotype" w:hAnsi="Palatino Linotype" w:cs="Tahoma"/>
          <w:b/>
        </w:rPr>
      </w:pPr>
      <w:r w:rsidRPr="00F029E0">
        <w:rPr>
          <w:rFonts w:ascii="Palatino Linotype" w:hAnsi="Palatino Linotype" w:cs="Tahoma"/>
          <w:b/>
        </w:rPr>
        <w:t>RAZONES O MOTIVOS DE LA INCONFORMIDAD</w:t>
      </w:r>
    </w:p>
    <w:p w14:paraId="208F79DA" w14:textId="77777777" w:rsidR="00F029E0" w:rsidRPr="00F029E0" w:rsidRDefault="00F029E0" w:rsidP="00F029E0">
      <w:pPr>
        <w:spacing w:line="360" w:lineRule="auto"/>
        <w:ind w:left="567" w:right="539"/>
        <w:jc w:val="both"/>
        <w:rPr>
          <w:rFonts w:ascii="Palatino Linotype" w:hAnsi="Palatino Linotype" w:cs="Tahoma"/>
          <w:i/>
        </w:rPr>
      </w:pPr>
      <w:r w:rsidRPr="00F029E0">
        <w:rPr>
          <w:rFonts w:ascii="Palatino Linotype" w:hAnsi="Palatino Linotype" w:cs="Tahoma"/>
          <w:i/>
        </w:rPr>
        <w:t>LA RESOLUCIÓN DEL COMITÉ RESULTA ILEGAL AL CLASIFICAR COMO INFIRMACIÓN CONFIDENCIAL LOS DATOS COMO TIPO DE USO, SUPERFICIE MÁXIMA DE CONSTRUCCIÓN AUTORIZADA, NIVELES, LOTE Y MANZANA, NÚMERO DE LICENCIA Y EXPEDIENTE, PUES CONTRARIO A LO DETERMINADO, DICHOS DATOS NO IDENTIFICAN NI PUEDEN IDENTIFICAR A NINGÚN PARTICULAR, POR LO QUE NO SE ACTUALIZA EL SUPUESTO PREVISTO EN EL ARTÍCULO 143, FRACCIÓN I DE LA LEY.</w:t>
      </w:r>
    </w:p>
    <w:p w14:paraId="2F2C84F2" w14:textId="77777777" w:rsidR="009C666B" w:rsidRPr="00F029E0" w:rsidRDefault="009C666B" w:rsidP="009C666B">
      <w:pPr>
        <w:spacing w:line="360" w:lineRule="auto"/>
        <w:ind w:right="141"/>
        <w:jc w:val="both"/>
        <w:rPr>
          <w:rFonts w:ascii="Palatino Linotype" w:hAnsi="Palatino Linotype" w:cs="Arial"/>
          <w:bCs/>
          <w:i/>
        </w:rPr>
      </w:pPr>
    </w:p>
    <w:p w14:paraId="2D4849E7" w14:textId="4C367169" w:rsidR="00F029E0" w:rsidRPr="00F029E0" w:rsidRDefault="00BB071F" w:rsidP="00F029E0">
      <w:pPr>
        <w:spacing w:line="360" w:lineRule="auto"/>
        <w:ind w:right="141"/>
        <w:jc w:val="both"/>
        <w:rPr>
          <w:rFonts w:ascii="Palatino Linotype" w:hAnsi="Palatino Linotype"/>
        </w:rPr>
      </w:pPr>
      <w:r w:rsidRPr="00F029E0">
        <w:rPr>
          <w:rFonts w:ascii="Palatino Linotype" w:hAnsi="Palatino Linotype"/>
        </w:rPr>
        <w:t>P</w:t>
      </w:r>
      <w:r w:rsidR="00615B7E" w:rsidRPr="00F029E0">
        <w:rPr>
          <w:rFonts w:ascii="Palatino Linotype" w:hAnsi="Palatino Linotype"/>
        </w:rPr>
        <w:t>revio estudio</w:t>
      </w:r>
      <w:r w:rsidRPr="00F029E0">
        <w:rPr>
          <w:rFonts w:ascii="Palatino Linotype" w:hAnsi="Palatino Linotype"/>
        </w:rPr>
        <w:t xml:space="preserve">, </w:t>
      </w:r>
      <w:r w:rsidR="00F47FB5" w:rsidRPr="00F029E0">
        <w:rPr>
          <w:rFonts w:ascii="Palatino Linotype" w:hAnsi="Palatino Linotype"/>
        </w:rPr>
        <w:t xml:space="preserve">la resolución determina </w:t>
      </w:r>
      <w:r w:rsidRPr="00F029E0">
        <w:rPr>
          <w:rFonts w:ascii="Palatino Linotype" w:hAnsi="Palatino Linotype"/>
        </w:rPr>
        <w:t>ORDENA</w:t>
      </w:r>
      <w:r w:rsidR="00F47FB5" w:rsidRPr="00F029E0">
        <w:rPr>
          <w:rFonts w:ascii="Palatino Linotype" w:hAnsi="Palatino Linotype"/>
        </w:rPr>
        <w:t>R</w:t>
      </w:r>
      <w:r w:rsidRPr="00F029E0">
        <w:rPr>
          <w:rFonts w:ascii="Palatino Linotype" w:hAnsi="Palatino Linotype"/>
        </w:rPr>
        <w:t xml:space="preserve"> al SUJETO OBLIGADO a que </w:t>
      </w:r>
    </w:p>
    <w:p w14:paraId="3396B0B8" w14:textId="1A23DBF9" w:rsidR="00F029E0" w:rsidRPr="00F029E0" w:rsidRDefault="00F029E0" w:rsidP="00F029E0">
      <w:pPr>
        <w:autoSpaceDE w:val="0"/>
        <w:autoSpaceDN w:val="0"/>
        <w:adjustRightInd w:val="0"/>
        <w:spacing w:line="360" w:lineRule="auto"/>
        <w:jc w:val="both"/>
        <w:rPr>
          <w:rFonts w:ascii="Palatino Linotype" w:hAnsi="Palatino Linotype"/>
        </w:rPr>
      </w:pPr>
      <w:r w:rsidRPr="00F029E0">
        <w:rPr>
          <w:rFonts w:ascii="Palatino Linotype" w:hAnsi="Palatino Linotype"/>
        </w:rPr>
        <w:t>previo pago de los derechos correspondientes y en atención al procedimiento referido en respuesta, por medio de copias certificadas, en versión pública, entregue lo siguiente:</w:t>
      </w:r>
    </w:p>
    <w:p w14:paraId="37065305" w14:textId="77777777" w:rsidR="00F029E0" w:rsidRPr="00F029E0" w:rsidRDefault="00F029E0" w:rsidP="00F029E0">
      <w:pPr>
        <w:autoSpaceDE w:val="0"/>
        <w:autoSpaceDN w:val="0"/>
        <w:adjustRightInd w:val="0"/>
        <w:spacing w:line="360" w:lineRule="auto"/>
        <w:ind w:right="539"/>
        <w:contextualSpacing/>
        <w:jc w:val="both"/>
        <w:rPr>
          <w:rFonts w:ascii="Palatino Linotype" w:hAnsi="Palatino Linotype" w:cs="Tahoma"/>
          <w:iCs/>
        </w:rPr>
      </w:pPr>
    </w:p>
    <w:p w14:paraId="08ABA7EF" w14:textId="77777777" w:rsidR="00F029E0" w:rsidRPr="00F029E0" w:rsidRDefault="00F029E0" w:rsidP="00F029E0">
      <w:pPr>
        <w:pStyle w:val="Prrafodelista"/>
        <w:numPr>
          <w:ilvl w:val="0"/>
          <w:numId w:val="41"/>
        </w:numPr>
        <w:spacing w:line="360" w:lineRule="auto"/>
        <w:ind w:right="539"/>
        <w:jc w:val="both"/>
        <w:rPr>
          <w:rFonts w:ascii="Palatino Linotype" w:hAnsi="Palatino Linotype"/>
          <w:lang w:eastAsia="es-MX"/>
        </w:rPr>
      </w:pPr>
      <w:r w:rsidRPr="00F029E0">
        <w:rPr>
          <w:rFonts w:ascii="Palatino Linotype" w:hAnsi="Palatino Linotype"/>
          <w:lang w:eastAsia="es-MX"/>
        </w:rPr>
        <w:t>Oficio 22400105060000T/DRVMZNO/1264/2022 de fecha veinticinco de julio de dos mil veintidós, emitido por la Dirección Regional Valle de México Zona Nororiente.</w:t>
      </w:r>
    </w:p>
    <w:p w14:paraId="3C562962" w14:textId="77777777" w:rsidR="00F029E0" w:rsidRPr="00F029E0" w:rsidRDefault="00F029E0" w:rsidP="00F029E0">
      <w:pPr>
        <w:pStyle w:val="Prrafodelista"/>
        <w:spacing w:line="360" w:lineRule="auto"/>
        <w:ind w:right="539"/>
        <w:jc w:val="both"/>
        <w:rPr>
          <w:rFonts w:ascii="Palatino Linotype" w:hAnsi="Palatino Linotype"/>
          <w:lang w:eastAsia="es-MX"/>
        </w:rPr>
      </w:pPr>
    </w:p>
    <w:p w14:paraId="507E58DC" w14:textId="77777777" w:rsidR="00F029E0" w:rsidRPr="00F029E0" w:rsidRDefault="00F029E0" w:rsidP="00F029E0">
      <w:pPr>
        <w:pStyle w:val="Prrafodelista"/>
        <w:numPr>
          <w:ilvl w:val="0"/>
          <w:numId w:val="41"/>
        </w:numPr>
        <w:spacing w:line="360" w:lineRule="auto"/>
        <w:ind w:right="539"/>
        <w:jc w:val="both"/>
        <w:rPr>
          <w:rFonts w:ascii="Palatino Linotype" w:hAnsi="Palatino Linotype"/>
          <w:lang w:eastAsia="es-MX"/>
        </w:rPr>
      </w:pPr>
      <w:r w:rsidRPr="00F029E0">
        <w:rPr>
          <w:rFonts w:ascii="Palatino Linotype" w:hAnsi="Palatino Linotype"/>
          <w:lang w:eastAsia="es-MX"/>
        </w:rPr>
        <w:t>Constancia de registro de la licencia de uso de suelo número 1686/84, referida en el oficio antes mencionado.</w:t>
      </w:r>
    </w:p>
    <w:p w14:paraId="4E1B9EC8" w14:textId="77777777" w:rsidR="005C4513" w:rsidRPr="00F029E0" w:rsidRDefault="005C4513" w:rsidP="005C4513">
      <w:pPr>
        <w:pStyle w:val="Prrafodelista"/>
        <w:tabs>
          <w:tab w:val="left" w:pos="9495"/>
        </w:tabs>
        <w:ind w:right="-3"/>
        <w:jc w:val="both"/>
        <w:rPr>
          <w:rFonts w:ascii="Palatino Linotype" w:hAnsi="Palatino Linotype"/>
          <w:i/>
          <w:color w:val="000000" w:themeColor="text1"/>
          <w:shd w:val="clear" w:color="auto" w:fill="FFFFFF"/>
        </w:rPr>
      </w:pPr>
    </w:p>
    <w:p w14:paraId="673865CE" w14:textId="3625A100" w:rsidR="008936B4" w:rsidRPr="00F029E0" w:rsidRDefault="008936B4" w:rsidP="008936B4">
      <w:pPr>
        <w:spacing w:before="280" w:after="280" w:line="360" w:lineRule="auto"/>
        <w:jc w:val="both"/>
        <w:rPr>
          <w:rFonts w:ascii="Palatino Linotype" w:eastAsia="Palatino Linotype" w:hAnsi="Palatino Linotype" w:cs="Palatino Linotype"/>
        </w:rPr>
      </w:pPr>
      <w:r w:rsidRPr="00F029E0">
        <w:rPr>
          <w:rFonts w:ascii="Palatino Linotype" w:eastAsia="Palatino Linotype" w:hAnsi="Palatino Linotype" w:cs="Palatino Linotype"/>
        </w:rPr>
        <w:lastRenderedPageBreak/>
        <w:t xml:space="preserve">Por otra parte la resolución ordena la entrega de la información al particular mediante copias certificadas procederá una vez que se acredite el pago de derechos correspondiente, por tanto el </w:t>
      </w:r>
      <w:r w:rsidRPr="00F029E0">
        <w:rPr>
          <w:rFonts w:ascii="Palatino Linotype" w:eastAsia="Palatino Linotype" w:hAnsi="Palatino Linotype" w:cs="Palatino Linotype"/>
          <w:b/>
        </w:rPr>
        <w:t>Sujeto Obligado</w:t>
      </w:r>
      <w:r w:rsidRPr="00F029E0">
        <w:rPr>
          <w:rFonts w:ascii="Palatino Linotype" w:eastAsia="Palatino Linotype" w:hAnsi="Palatino Linotype" w:cs="Palatino Linotype"/>
        </w:rPr>
        <w:t xml:space="preserve"> deberá hacer del conocimiento de la parte </w:t>
      </w:r>
      <w:r w:rsidRPr="00F029E0">
        <w:rPr>
          <w:rFonts w:ascii="Palatino Linotype" w:eastAsia="Palatino Linotype" w:hAnsi="Palatino Linotype" w:cs="Palatino Linotype"/>
          <w:b/>
        </w:rPr>
        <w:t>Recurrente,</w:t>
      </w:r>
      <w:r w:rsidRPr="00F029E0">
        <w:rPr>
          <w:rFonts w:ascii="Palatino Linotype" w:eastAsia="Palatino Linotype" w:hAnsi="Palatino Linotype" w:cs="Palatino Linotype"/>
        </w:rPr>
        <w:t xml:space="preserve"> vía SAIMEX</w:t>
      </w:r>
      <w:r w:rsidRPr="00F029E0">
        <w:rPr>
          <w:rFonts w:ascii="Palatino Linotype" w:eastAsia="Palatino Linotype" w:hAnsi="Palatino Linotype" w:cs="Palatino Linotype"/>
          <w:b/>
        </w:rPr>
        <w:t xml:space="preserve">, </w:t>
      </w:r>
      <w:r w:rsidRPr="00F029E0">
        <w:rPr>
          <w:rFonts w:ascii="Palatino Linotype" w:eastAsia="Palatino Linotype" w:hAnsi="Palatino Linotype" w:cs="Palatino Linotype"/>
          <w:b/>
          <w:u w:val="single"/>
        </w:rPr>
        <w:t>el costo total por la reproducción y certificación de la información requerida,</w:t>
      </w:r>
      <w:r w:rsidRPr="00F029E0">
        <w:rPr>
          <w:rFonts w:ascii="Palatino Linotype" w:eastAsia="Palatino Linotype" w:hAnsi="Palatino Linotype" w:cs="Palatino Linotype"/>
        </w:rPr>
        <w:t xml:space="preserve"> así como</w:t>
      </w:r>
      <w:r w:rsidRPr="00F029E0">
        <w:rPr>
          <w:rFonts w:ascii="Palatino Linotype" w:eastAsia="Palatino Linotype" w:hAnsi="Palatino Linotype" w:cs="Palatino Linotype"/>
          <w:b/>
        </w:rPr>
        <w:t xml:space="preserve"> </w:t>
      </w:r>
      <w:r w:rsidRPr="00F029E0">
        <w:rPr>
          <w:rFonts w:ascii="Palatino Linotype" w:eastAsia="Palatino Linotype" w:hAnsi="Palatino Linotype" w:cs="Palatino Linotype"/>
        </w:rPr>
        <w:t>el procedimiento para la entrega de la misma en el que se establezca: procedimiento para realizar el pago correspondiente, lugar, día y horarios en los que podrá presentarse a recoger las copias certificadas y el nombre del o los servidores públicos que le atenderán.</w:t>
      </w:r>
    </w:p>
    <w:p w14:paraId="3C591A5A" w14:textId="77777777" w:rsidR="008936B4" w:rsidRPr="00F029E0" w:rsidRDefault="008936B4" w:rsidP="008936B4">
      <w:pPr>
        <w:spacing w:line="360" w:lineRule="auto"/>
        <w:jc w:val="both"/>
        <w:rPr>
          <w:rFonts w:ascii="Palatino Linotype" w:eastAsia="Calibri" w:hAnsi="Palatino Linotype" w:cs="Tahoma"/>
          <w:bCs/>
          <w:lang w:val="es-MX"/>
        </w:rPr>
      </w:pPr>
      <w:r w:rsidRPr="00F029E0">
        <w:rPr>
          <w:rFonts w:ascii="Palatino Linotype" w:eastAsia="Calibri" w:hAnsi="Palatino Linotype" w:cs="Tahoma"/>
          <w:bCs/>
        </w:rPr>
        <w:t>Al respecto, se indica que el artículo 6° de la Constitución Política de los Estados Unidos Mexicanos protege el derecho de acceso a la información bajo ciertos principios, entre los que se encuentra el que refiere que toda persona, sin necesidad de acreditar interés alguno o justificar su utilización, tendrá acceso gratuito a la información pública, a sus datos  personales o a la rectificación de éstos.</w:t>
      </w:r>
    </w:p>
    <w:p w14:paraId="4154D007" w14:textId="77777777" w:rsidR="008936B4" w:rsidRPr="00F029E0" w:rsidRDefault="008936B4" w:rsidP="008936B4">
      <w:pPr>
        <w:pStyle w:val="Textoindependiente"/>
        <w:spacing w:line="360" w:lineRule="auto"/>
        <w:rPr>
          <w:rFonts w:eastAsia="Calibri" w:cs="Tahoma"/>
          <w:bCs/>
          <w:lang w:val="es-MX"/>
        </w:rPr>
      </w:pPr>
    </w:p>
    <w:p w14:paraId="6DBD7482" w14:textId="77777777" w:rsidR="008936B4" w:rsidRPr="00F029E0" w:rsidRDefault="008936B4" w:rsidP="008936B4">
      <w:pPr>
        <w:spacing w:line="360" w:lineRule="auto"/>
        <w:ind w:right="51"/>
        <w:jc w:val="both"/>
        <w:rPr>
          <w:rFonts w:ascii="Palatino Linotype" w:eastAsia="Calibri" w:hAnsi="Palatino Linotype" w:cs="Tahoma"/>
          <w:bCs/>
          <w:lang w:val="es-MX"/>
        </w:rPr>
      </w:pPr>
      <w:r w:rsidRPr="00F029E0">
        <w:rPr>
          <w:rFonts w:ascii="Palatino Linotype" w:eastAsia="Calibri" w:hAnsi="Palatino Linotype" w:cs="Tahoma"/>
          <w:bCs/>
        </w:rPr>
        <w:t>Asimismo, el artículo 17 de la Ley General de Transparencia y Acceso a la Información Pública, precisa que el ejercicio de acceso a la información será  gratuito y solamente podrá requerirse un cobro, dependiendo la modalidad y entrega de la misma. De manera coincidente lo precisa el artículo 17 de la Ley de Transparencia y Acceso a la Información Pública del Estado y Municipios, al señalar que únicamente se cubrirán los gastos de reproducción.</w:t>
      </w:r>
    </w:p>
    <w:p w14:paraId="182B8282" w14:textId="77777777" w:rsidR="008936B4" w:rsidRPr="00F029E0" w:rsidRDefault="008936B4" w:rsidP="008936B4">
      <w:pPr>
        <w:spacing w:line="360" w:lineRule="auto"/>
        <w:ind w:right="51"/>
        <w:jc w:val="both"/>
        <w:rPr>
          <w:rFonts w:ascii="Palatino Linotype" w:eastAsia="Calibri" w:hAnsi="Palatino Linotype" w:cs="Tahoma"/>
          <w:bCs/>
        </w:rPr>
      </w:pPr>
    </w:p>
    <w:p w14:paraId="583A82A0" w14:textId="77777777" w:rsidR="008936B4" w:rsidRPr="00F029E0" w:rsidRDefault="008936B4" w:rsidP="008936B4">
      <w:pPr>
        <w:pStyle w:val="Textoindependiente"/>
        <w:spacing w:line="360" w:lineRule="auto"/>
        <w:ind w:right="51"/>
        <w:jc w:val="both"/>
        <w:rPr>
          <w:rFonts w:eastAsia="Calibri" w:cs="Tahoma"/>
          <w:bCs/>
          <w:lang w:val="es-MX"/>
        </w:rPr>
      </w:pPr>
      <w:r w:rsidRPr="00F029E0">
        <w:rPr>
          <w:rFonts w:eastAsia="Calibri" w:cs="Tahoma"/>
          <w:bCs/>
          <w:lang w:val="es-MX"/>
        </w:rPr>
        <w:t xml:space="preserve">Por otra parte, el artículo 9°, fracción III, de la Ley en cita, prevé que el Principio de </w:t>
      </w:r>
      <w:r w:rsidRPr="00F029E0">
        <w:rPr>
          <w:rFonts w:eastAsia="Calibri" w:cs="Tahoma"/>
          <w:bCs/>
          <w:lang w:val="es-MX"/>
        </w:rPr>
        <w:lastRenderedPageBreak/>
        <w:t>Gratuidad consiste en que el acceso a la información pública no generará costo alguno para los solicitantes y sólo podrá requerirse el correspondiente a la modalidad de reproducción y entrega solicitada; lo anterior debe interpretarse que el sentido de la norma es eliminar cualquier barrera u obstáculo que imposibilite el derecho de acceso a la información o que este se garantice de manera discriminada; esto es, sólo para aquellos que tengan los medios económicos para cubrir el costo de la reproducción de información, lo que materializaría el impedimento de acceso a la información.</w:t>
      </w:r>
    </w:p>
    <w:p w14:paraId="57B22651" w14:textId="77777777" w:rsidR="008936B4" w:rsidRPr="00F029E0" w:rsidRDefault="008936B4" w:rsidP="008936B4">
      <w:pPr>
        <w:pStyle w:val="Textoindependiente"/>
        <w:spacing w:before="163" w:line="360" w:lineRule="auto"/>
        <w:ind w:right="49"/>
        <w:jc w:val="both"/>
        <w:rPr>
          <w:rFonts w:eastAsia="Calibri" w:cs="Tahoma"/>
          <w:bCs/>
          <w:lang w:val="es-MX"/>
        </w:rPr>
      </w:pPr>
    </w:p>
    <w:p w14:paraId="6874C45F" w14:textId="77777777" w:rsidR="008936B4" w:rsidRPr="00F029E0" w:rsidRDefault="008936B4" w:rsidP="008936B4">
      <w:pPr>
        <w:pStyle w:val="Textoindependiente"/>
        <w:spacing w:line="360" w:lineRule="auto"/>
        <w:ind w:right="49"/>
        <w:jc w:val="both"/>
        <w:rPr>
          <w:rFonts w:eastAsia="Calibri" w:cs="Tahoma"/>
          <w:bCs/>
          <w:lang w:val="es-MX"/>
        </w:rPr>
      </w:pPr>
      <w:r w:rsidRPr="00F029E0">
        <w:rPr>
          <w:rFonts w:eastAsia="Calibri" w:cs="Tahoma"/>
          <w:bCs/>
          <w:lang w:val="es-MX"/>
        </w:rPr>
        <w:t>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629E4D45" w14:textId="77777777" w:rsidR="008936B4" w:rsidRPr="00F029E0" w:rsidRDefault="008936B4" w:rsidP="008936B4">
      <w:pPr>
        <w:pStyle w:val="Textoindependiente"/>
        <w:spacing w:line="360" w:lineRule="auto"/>
        <w:rPr>
          <w:rFonts w:eastAsia="Calibri" w:cs="Tahoma"/>
          <w:bCs/>
          <w:lang w:val="es-MX"/>
        </w:rPr>
      </w:pPr>
    </w:p>
    <w:p w14:paraId="6E074B52" w14:textId="77777777" w:rsidR="008936B4" w:rsidRPr="00F029E0" w:rsidRDefault="008936B4" w:rsidP="008936B4">
      <w:pPr>
        <w:pStyle w:val="Textoindependiente"/>
        <w:spacing w:line="360" w:lineRule="auto"/>
        <w:ind w:right="49"/>
        <w:jc w:val="both"/>
        <w:rPr>
          <w:rFonts w:eastAsia="Calibri" w:cs="Tahoma"/>
          <w:bCs/>
          <w:lang w:val="es-MX"/>
        </w:rPr>
      </w:pPr>
      <w:r w:rsidRPr="00F029E0">
        <w:rPr>
          <w:rFonts w:eastAsia="Calibri" w:cs="Tahoma"/>
          <w:bCs/>
          <w:lang w:val="es-MX"/>
        </w:rPr>
        <w:t>Diversos tratadistas se han referido al principio de gratuidad en función de que el derecho de acceso a la información es un derecho fundamental.</w:t>
      </w:r>
    </w:p>
    <w:p w14:paraId="28E18147" w14:textId="77777777" w:rsidR="008936B4" w:rsidRPr="00F029E0" w:rsidRDefault="008936B4" w:rsidP="008936B4">
      <w:pPr>
        <w:pStyle w:val="Textoindependiente"/>
        <w:spacing w:line="360" w:lineRule="auto"/>
        <w:ind w:right="49"/>
        <w:rPr>
          <w:rFonts w:eastAsia="Calibri" w:cs="Tahoma"/>
          <w:bCs/>
          <w:lang w:val="es-MX"/>
        </w:rPr>
      </w:pPr>
    </w:p>
    <w:p w14:paraId="6E293743" w14:textId="77777777" w:rsidR="008936B4" w:rsidRPr="00F029E0" w:rsidRDefault="008936B4" w:rsidP="008936B4">
      <w:pPr>
        <w:pStyle w:val="Textoindependiente"/>
        <w:spacing w:line="360" w:lineRule="auto"/>
        <w:ind w:right="49"/>
        <w:jc w:val="both"/>
        <w:rPr>
          <w:rFonts w:eastAsia="Calibri" w:cs="Tahoma"/>
          <w:bCs/>
          <w:lang w:val="es-MX"/>
        </w:rPr>
      </w:pPr>
      <w:r w:rsidRPr="00F029E0">
        <w:rPr>
          <w:rFonts w:eastAsia="Calibri" w:cs="Tahoma"/>
          <w:bCs/>
          <w:lang w:val="es-MX"/>
        </w:rPr>
        <w:t>Para Miguel Carbonell el cobro de alguna cantidad de dinero al solicitante se debe hacer solamente en el caso de que la reproducción de la información solicitada así lo amerite. Dicho costo de reproducción deberá ajustarse a lo que cueste precisamente dicha reproducción, sin que pueda exceder del costo de los materiales en los que asiente la información. En el caso de las copias certificadas, habría que entender que la certificación no podría generar costos adicionales, ya que entonces se podría inhibir indebidamente el ejercicio amplio y completo del derecho de acceso a la información.</w:t>
      </w:r>
      <w:r w:rsidRPr="0008332D">
        <w:rPr>
          <w:rFonts w:eastAsia="Calibri" w:cs="Tahoma"/>
          <w:bCs/>
          <w:sz w:val="18"/>
          <w:szCs w:val="18"/>
        </w:rPr>
        <w:footnoteReference w:id="1"/>
      </w:r>
    </w:p>
    <w:p w14:paraId="3E3A0791" w14:textId="77777777" w:rsidR="008936B4" w:rsidRPr="00F029E0" w:rsidRDefault="008936B4" w:rsidP="008936B4">
      <w:pPr>
        <w:pStyle w:val="Textoindependiente"/>
        <w:spacing w:line="360" w:lineRule="auto"/>
        <w:rPr>
          <w:rFonts w:eastAsia="Calibri" w:cs="Tahoma"/>
          <w:bCs/>
          <w:lang w:val="es-MX"/>
        </w:rPr>
      </w:pPr>
    </w:p>
    <w:p w14:paraId="534113D3" w14:textId="77777777" w:rsidR="008936B4" w:rsidRPr="00F029E0" w:rsidRDefault="008936B4" w:rsidP="008936B4">
      <w:pPr>
        <w:pStyle w:val="Textoindependiente"/>
        <w:spacing w:line="360" w:lineRule="auto"/>
        <w:ind w:right="49"/>
        <w:jc w:val="both"/>
        <w:rPr>
          <w:rFonts w:eastAsia="Calibri" w:cs="Tahoma"/>
          <w:bCs/>
          <w:lang w:val="es-MX"/>
        </w:rPr>
      </w:pPr>
      <w:r w:rsidRPr="00F029E0">
        <w:rPr>
          <w:rFonts w:eastAsia="Calibri" w:cs="Tahoma"/>
          <w:bCs/>
          <w:lang w:val="es-MX"/>
        </w:rPr>
        <w:t>De esa suerte, los costos que establezcan las leyes de ingresos por concepto de cualquier formato para acceder a la información pública deben ser asequibles y homogéneos, de manera que no se obstaculice ese derecho constitucional.</w:t>
      </w:r>
    </w:p>
    <w:p w14:paraId="02A270CE" w14:textId="77777777" w:rsidR="008936B4" w:rsidRPr="00F029E0" w:rsidRDefault="008936B4" w:rsidP="008936B4">
      <w:pPr>
        <w:pStyle w:val="Textoindependiente"/>
        <w:spacing w:line="360" w:lineRule="auto"/>
        <w:ind w:right="49"/>
        <w:rPr>
          <w:rFonts w:eastAsia="Calibri" w:cs="Tahoma"/>
          <w:bCs/>
          <w:lang w:val="es-MX"/>
        </w:rPr>
      </w:pPr>
    </w:p>
    <w:p w14:paraId="2CCE3893" w14:textId="77777777" w:rsidR="008936B4" w:rsidRPr="00F029E0" w:rsidRDefault="008936B4" w:rsidP="008936B4">
      <w:pPr>
        <w:pStyle w:val="Textoindependiente"/>
        <w:spacing w:line="360" w:lineRule="auto"/>
        <w:ind w:right="49"/>
        <w:jc w:val="both"/>
        <w:rPr>
          <w:rFonts w:eastAsia="Calibri" w:cs="Tahoma"/>
          <w:bCs/>
          <w:lang w:val="es-MX"/>
        </w:rPr>
      </w:pPr>
      <w:r w:rsidRPr="00F029E0">
        <w:rPr>
          <w:rFonts w:eastAsia="Calibri" w:cs="Tahoma"/>
          <w:bCs/>
          <w:lang w:val="es-MX"/>
        </w:rPr>
        <w:t>En tanto que si sólo es debido cobrar el costo de reproducción, se entiende que el fin de éste no debe ser recaudatorio, sino el de sólo recuperar la erogación extra que tuvo que realizar el Estado a efecto de otorgar la información solicitada.</w:t>
      </w:r>
    </w:p>
    <w:p w14:paraId="7E5D198C" w14:textId="77777777" w:rsidR="008936B4" w:rsidRPr="00F029E0" w:rsidRDefault="008936B4" w:rsidP="008936B4">
      <w:pPr>
        <w:spacing w:line="360" w:lineRule="auto"/>
        <w:ind w:right="49"/>
        <w:jc w:val="both"/>
        <w:rPr>
          <w:rFonts w:ascii="Palatino Linotype" w:eastAsia="Calibri" w:hAnsi="Palatino Linotype" w:cs="Tahoma"/>
          <w:bCs/>
          <w:lang w:val="es-MX"/>
        </w:rPr>
      </w:pPr>
    </w:p>
    <w:p w14:paraId="54A9FEE7" w14:textId="77777777" w:rsidR="008936B4" w:rsidRPr="00F029E0" w:rsidRDefault="008936B4" w:rsidP="008936B4">
      <w:pPr>
        <w:pStyle w:val="Textoindependiente"/>
        <w:spacing w:line="360" w:lineRule="auto"/>
        <w:ind w:right="49"/>
        <w:jc w:val="both"/>
        <w:rPr>
          <w:rFonts w:eastAsia="Calibri" w:cs="Tahoma"/>
          <w:bCs/>
          <w:lang w:val="es-MX"/>
        </w:rPr>
      </w:pPr>
      <w:r w:rsidRPr="00F029E0">
        <w:rPr>
          <w:rFonts w:eastAsia="Calibri" w:cs="Tahoma"/>
          <w:bCs/>
          <w:lang w:val="es-MX"/>
        </w:rPr>
        <w:t>Los fines recaudatorios son una limitante de la garantía constitucional del derecho de acceso a la información y contravienen su naturaleza general.</w:t>
      </w:r>
    </w:p>
    <w:p w14:paraId="1D1815B1" w14:textId="77777777" w:rsidR="008936B4" w:rsidRPr="00F029E0" w:rsidRDefault="008936B4" w:rsidP="008936B4">
      <w:pPr>
        <w:pStyle w:val="Textoindependiente"/>
        <w:spacing w:line="360" w:lineRule="auto"/>
        <w:ind w:right="49"/>
        <w:jc w:val="both"/>
        <w:rPr>
          <w:rFonts w:eastAsia="Calibri" w:cs="Tahoma"/>
          <w:bCs/>
          <w:lang w:val="es-MX"/>
        </w:rPr>
      </w:pPr>
    </w:p>
    <w:p w14:paraId="7922E158" w14:textId="182F749A" w:rsidR="008936B4" w:rsidRPr="00F029E0" w:rsidRDefault="008936B4" w:rsidP="008936B4">
      <w:pPr>
        <w:spacing w:line="360" w:lineRule="auto"/>
        <w:jc w:val="both"/>
        <w:rPr>
          <w:rFonts w:ascii="Palatino Linotype" w:eastAsia="Calibri" w:hAnsi="Palatino Linotype" w:cs="Tahoma"/>
          <w:b/>
          <w:bCs/>
          <w:lang w:val="es-MX"/>
        </w:rPr>
      </w:pPr>
      <w:r w:rsidRPr="00F029E0">
        <w:rPr>
          <w:rFonts w:ascii="Palatino Linotype" w:eastAsia="Calibri" w:hAnsi="Palatino Linotype" w:cs="Tahoma"/>
          <w:bCs/>
        </w:rPr>
        <w:t xml:space="preserve">Asimismo, </w:t>
      </w:r>
      <w:r w:rsidRPr="00F029E0">
        <w:rPr>
          <w:rFonts w:ascii="Palatino Linotype" w:eastAsia="Calibri" w:hAnsi="Palatino Linotype" w:cs="Tahoma"/>
          <w:b/>
          <w:bCs/>
        </w:rPr>
        <w:t xml:space="preserve">en el presente caso es evidente que el pago que se pretendiera aplicar para la expedición de la información requerida por RECURRENTE, no resulta aplicable </w:t>
      </w:r>
      <w:r w:rsidRPr="00F029E0">
        <w:rPr>
          <w:rFonts w:ascii="Palatino Linotype" w:eastAsia="Calibri" w:hAnsi="Palatino Linotype" w:cs="Tahoma"/>
          <w:bCs/>
        </w:rPr>
        <w:t xml:space="preserve">toda vez que el legislador ha tenido el tino de establecer en la ley una medida de que puede contribuir a la reparación integral de la persona afectada y consiste en una dimensión colectiva de responsabilidad, complementaria de la antes descrita, y que consiste en que </w:t>
      </w:r>
      <w:r w:rsidRPr="00F029E0">
        <w:rPr>
          <w:rFonts w:ascii="Palatino Linotype" w:eastAsia="Calibri" w:hAnsi="Palatino Linotype" w:cs="Tahoma"/>
          <w:b/>
          <w:bCs/>
        </w:rPr>
        <w:t>el Sujeto Obligado entregue la información sin costo alguno para el solicitante cuando el Instituto determine que por negligencia no se hubiere atendido alguna solicitud en los términos de la ley.</w:t>
      </w:r>
    </w:p>
    <w:p w14:paraId="4A2BE454" w14:textId="77777777" w:rsidR="008936B4" w:rsidRPr="00F029E0" w:rsidRDefault="008936B4" w:rsidP="008936B4">
      <w:pPr>
        <w:pStyle w:val="Textoindependiente"/>
        <w:spacing w:line="360" w:lineRule="auto"/>
        <w:rPr>
          <w:rFonts w:eastAsia="Calibri" w:cs="Tahoma"/>
          <w:bCs/>
          <w:lang w:val="es-MX"/>
        </w:rPr>
      </w:pPr>
    </w:p>
    <w:p w14:paraId="10E351FF" w14:textId="77777777" w:rsidR="008936B4" w:rsidRPr="00F029E0" w:rsidRDefault="008936B4" w:rsidP="008936B4">
      <w:pPr>
        <w:pStyle w:val="Textoindependiente"/>
        <w:spacing w:line="360" w:lineRule="auto"/>
        <w:ind w:right="247"/>
        <w:jc w:val="both"/>
        <w:rPr>
          <w:rFonts w:eastAsia="Calibri" w:cs="Tahoma"/>
          <w:bCs/>
          <w:lang w:val="es-MX"/>
        </w:rPr>
      </w:pPr>
      <w:r w:rsidRPr="00F029E0">
        <w:rPr>
          <w:rFonts w:eastAsia="Calibri" w:cs="Tahoma"/>
          <w:bCs/>
          <w:lang w:val="es-MX"/>
        </w:rPr>
        <w:t>Por lo que toda vez que se trata de una “máxima autoridad” de la que se espera el más alto estándar en la promoción y respeto de los derechos humanos y que el hoy recurrente, de manera clara, precisa, contundente e indubitable requirió información pública a la que pretende acceder en su modalidad de copia certificada ya que se aprecia que existe una actitud negligente</w:t>
      </w:r>
      <w:r w:rsidRPr="00F029E0">
        <w:rPr>
          <w:rFonts w:eastAsia="Calibri" w:cs="Tahoma"/>
          <w:bCs/>
          <w:lang w:val="es-MX"/>
        </w:rPr>
        <w:footnoteReference w:id="2"/>
      </w:r>
      <w:r w:rsidRPr="00F029E0">
        <w:rPr>
          <w:rFonts w:eastAsia="Calibri" w:cs="Tahoma"/>
          <w:bCs/>
          <w:lang w:val="es-MX"/>
        </w:rPr>
        <w:t xml:space="preserve"> que provocó que la solicitud no fuera atendida en los términos de la ley, ya que no se realizó el turno a las áreas competentes que cuenten con la información o deban tenerla de acuerdo a sus facultades, competencias y funciones por lo que procedería el acceso a las copias certificadas sin que medie el pago de los derechos correspondientes.</w:t>
      </w:r>
    </w:p>
    <w:p w14:paraId="7BCD5131" w14:textId="77777777" w:rsidR="008936B4" w:rsidRPr="00F029E0" w:rsidRDefault="008936B4" w:rsidP="008936B4">
      <w:pPr>
        <w:pStyle w:val="Textoindependiente"/>
        <w:spacing w:line="360" w:lineRule="auto"/>
        <w:rPr>
          <w:rFonts w:eastAsia="Calibri" w:cs="Tahoma"/>
          <w:bCs/>
          <w:lang w:val="es-MX"/>
        </w:rPr>
      </w:pPr>
    </w:p>
    <w:p w14:paraId="0EB0AF6D" w14:textId="77777777" w:rsidR="008936B4" w:rsidRPr="00F029E0" w:rsidRDefault="008936B4" w:rsidP="008936B4">
      <w:pPr>
        <w:pStyle w:val="Textoindependiente"/>
        <w:spacing w:line="360" w:lineRule="auto"/>
        <w:ind w:right="246"/>
        <w:jc w:val="both"/>
        <w:rPr>
          <w:rFonts w:eastAsia="Calibri" w:cs="Tahoma"/>
          <w:bCs/>
          <w:lang w:val="es-MX"/>
        </w:rPr>
      </w:pPr>
      <w:r w:rsidRPr="00F029E0">
        <w:rPr>
          <w:rFonts w:eastAsia="Calibri" w:cs="Tahoma"/>
          <w:bCs/>
          <w:lang w:val="es-MX"/>
        </w:rPr>
        <w:lastRenderedPageBreak/>
        <w:t>En ese mismo sentido, al perder el Sujeto Obligado la posibilidad momentánea de acceder a los derechos por la expedición de las copias certificadas, puede ser un incentivo adicional para que, en el futuro, las solicitudes de acceso a la información sean atendidas bajo el más alto estándar que promueva la plena protección del derecho en cuestión.</w:t>
      </w:r>
    </w:p>
    <w:p w14:paraId="2B46AE5C" w14:textId="77777777" w:rsidR="008936B4" w:rsidRPr="00F029E0" w:rsidRDefault="008936B4" w:rsidP="008936B4">
      <w:pPr>
        <w:pStyle w:val="Textoindependiente"/>
        <w:rPr>
          <w:rFonts w:eastAsia="Calibri" w:cs="Tahoma"/>
          <w:bCs/>
          <w:lang w:val="es-MX"/>
        </w:rPr>
      </w:pPr>
    </w:p>
    <w:p w14:paraId="519BB705" w14:textId="77777777" w:rsidR="008936B4" w:rsidRPr="00F029E0" w:rsidRDefault="008936B4" w:rsidP="008936B4">
      <w:pPr>
        <w:pStyle w:val="Textoindependiente"/>
        <w:spacing w:line="360" w:lineRule="auto"/>
        <w:ind w:right="49"/>
        <w:jc w:val="both"/>
        <w:rPr>
          <w:rFonts w:eastAsia="Calibri" w:cs="Tahoma"/>
          <w:bCs/>
          <w:lang w:val="es-MX"/>
        </w:rPr>
      </w:pPr>
      <w:r w:rsidRPr="00F029E0">
        <w:rPr>
          <w:rFonts w:eastAsia="Calibri" w:cs="Tahoma"/>
          <w:bCs/>
          <w:lang w:val="es-MX"/>
        </w:rPr>
        <w:t>Así la cosas, -se insiste- que la respuesta del sujeto Obligado, violó el derecho de acceso a la información pública del RECURRENTE, al no proporcionarle las copias certificadas con costo de la información que requería, previo el pago de los derechos correspondientes, es procedente ordenarle la entrega de la información en la modalidad inicialmente requerida pero sin que medie el pago de los derechos toda vez que se acredita una actuación negligente de la autoridad por lo resulta aplicable el artículo 234 de la Ley de Transparencia y Acceso a la Información Pública del Estado de México y Municipios.</w:t>
      </w:r>
    </w:p>
    <w:p w14:paraId="5DC90C1D" w14:textId="77777777" w:rsidR="008936B4" w:rsidRPr="00F029E0" w:rsidRDefault="008936B4" w:rsidP="008936B4">
      <w:pPr>
        <w:pStyle w:val="Textoindependiente"/>
        <w:spacing w:line="360" w:lineRule="auto"/>
        <w:ind w:right="49"/>
        <w:jc w:val="both"/>
        <w:rPr>
          <w:rFonts w:eastAsiaTheme="minorHAnsi" w:cstheme="minorBidi"/>
          <w:lang w:val="es-MX"/>
        </w:rPr>
      </w:pPr>
    </w:p>
    <w:p w14:paraId="04E29173" w14:textId="77777777" w:rsidR="008936B4" w:rsidRPr="00F029E0" w:rsidRDefault="008936B4" w:rsidP="008936B4">
      <w:pPr>
        <w:spacing w:line="360" w:lineRule="auto"/>
        <w:ind w:right="49"/>
        <w:jc w:val="both"/>
        <w:rPr>
          <w:rFonts w:ascii="Palatino Linotype" w:eastAsiaTheme="minorHAnsi" w:hAnsi="Palatino Linotype" w:cs="Tahoma"/>
          <w:bCs/>
          <w:lang w:val="es-MX"/>
        </w:rPr>
      </w:pPr>
      <w:r w:rsidRPr="00F029E0">
        <w:rPr>
          <w:rFonts w:ascii="Palatino Linotype" w:hAnsi="Palatino Linotype" w:cs="Tahoma"/>
        </w:rPr>
        <w:t>En el mismo sentido, este órgano garante no debe pasar desapercibido lo que dispone el Órgano Garante Nacional mediante el criterio</w:t>
      </w:r>
      <w:r w:rsidRPr="00F029E0">
        <w:rPr>
          <w:rFonts w:ascii="Palatino Linotype" w:eastAsia="Calibri" w:hAnsi="Palatino Linotype" w:cs="Tahoma"/>
          <w:bCs/>
        </w:rPr>
        <w:t xml:space="preserve"> </w:t>
      </w:r>
      <w:r w:rsidRPr="00F029E0">
        <w:rPr>
          <w:rFonts w:ascii="Palatino Linotype" w:eastAsia="Calibri" w:hAnsi="Palatino Linotype" w:cs="Tahoma"/>
          <w:b/>
          <w:bCs/>
        </w:rPr>
        <w:t>2/18</w:t>
      </w:r>
      <w:r w:rsidRPr="00F029E0">
        <w:rPr>
          <w:rFonts w:ascii="Palatino Linotype" w:eastAsia="Calibri" w:hAnsi="Palatino Linotype" w:cs="Tahoma"/>
          <w:bCs/>
        </w:rPr>
        <w:t xml:space="preserve"> cuyo rubro y texto refuerzan la gratuidad de la información en copias simples y certificadas, cuando menos de las primeras veinte hojas:</w:t>
      </w:r>
    </w:p>
    <w:p w14:paraId="02F2A540" w14:textId="77777777" w:rsidR="008936B4" w:rsidRPr="00F029E0" w:rsidRDefault="008936B4" w:rsidP="008936B4">
      <w:pPr>
        <w:pStyle w:val="Prrafodelista"/>
        <w:spacing w:line="360" w:lineRule="auto"/>
        <w:ind w:left="0" w:right="-93"/>
        <w:jc w:val="both"/>
        <w:rPr>
          <w:rFonts w:ascii="Palatino Linotype" w:hAnsi="Palatino Linotype" w:cs="Tahoma"/>
          <w:bCs/>
          <w:lang w:eastAsia="en-US"/>
        </w:rPr>
      </w:pPr>
    </w:p>
    <w:p w14:paraId="31BA2BC4" w14:textId="77777777" w:rsidR="008936B4" w:rsidRPr="00F029E0" w:rsidRDefault="008936B4" w:rsidP="008936B4">
      <w:pPr>
        <w:pStyle w:val="Prrafodelista"/>
        <w:spacing w:line="360" w:lineRule="auto"/>
        <w:ind w:left="567" w:right="616"/>
        <w:jc w:val="both"/>
        <w:rPr>
          <w:rFonts w:ascii="Palatino Linotype" w:hAnsi="Palatino Linotype" w:cs="Tahoma"/>
          <w:bCs/>
          <w:i/>
          <w:iCs/>
          <w:lang w:eastAsia="en-US"/>
        </w:rPr>
      </w:pPr>
      <w:r w:rsidRPr="00F029E0">
        <w:rPr>
          <w:rFonts w:ascii="Palatino Linotype" w:hAnsi="Palatino Linotype" w:cs="Tahoma"/>
          <w:b/>
          <w:i/>
          <w:iCs/>
          <w:lang w:eastAsia="en-US"/>
        </w:rPr>
        <w:t>Gratuidad de las primeras veinte hojas simples o certificadas.</w:t>
      </w:r>
      <w:r w:rsidRPr="00F029E0">
        <w:rPr>
          <w:rFonts w:ascii="Palatino Linotype" w:hAnsi="Palatino Linotype" w:cs="Tahoma"/>
          <w:bCs/>
          <w:i/>
          <w:iCs/>
          <w:lang w:eastAsia="en-US"/>
        </w:rPr>
        <w:t xml:space="preserve"> Cuando la entrega de los datos personales sea a través de copias simples o certificadas, las primeras veinte hojas serán sin costo.  </w:t>
      </w:r>
    </w:p>
    <w:p w14:paraId="4E2DDBCA" w14:textId="77777777" w:rsidR="008936B4" w:rsidRPr="00F029E0" w:rsidRDefault="008936B4" w:rsidP="008936B4">
      <w:pPr>
        <w:pStyle w:val="Prrafodelista"/>
        <w:spacing w:line="360" w:lineRule="auto"/>
        <w:ind w:left="567" w:right="616"/>
        <w:jc w:val="both"/>
        <w:rPr>
          <w:rFonts w:ascii="Palatino Linotype" w:hAnsi="Palatino Linotype" w:cs="Tahoma"/>
          <w:bCs/>
          <w:i/>
          <w:iCs/>
          <w:lang w:eastAsia="en-US"/>
        </w:rPr>
      </w:pPr>
    </w:p>
    <w:p w14:paraId="5055C034" w14:textId="77777777" w:rsidR="008936B4" w:rsidRPr="00F029E0" w:rsidRDefault="008936B4" w:rsidP="008936B4">
      <w:pPr>
        <w:pStyle w:val="Prrafodelista"/>
        <w:spacing w:line="360" w:lineRule="auto"/>
        <w:ind w:left="851" w:right="616" w:hanging="284"/>
        <w:jc w:val="both"/>
        <w:rPr>
          <w:rFonts w:ascii="Palatino Linotype" w:hAnsi="Palatino Linotype" w:cs="Tahoma"/>
          <w:bCs/>
          <w:i/>
          <w:iCs/>
          <w:lang w:eastAsia="en-US"/>
        </w:rPr>
      </w:pPr>
      <w:r w:rsidRPr="00F029E0">
        <w:rPr>
          <w:rFonts w:ascii="Palatino Linotype" w:hAnsi="Palatino Linotype" w:cs="Tahoma"/>
          <w:bCs/>
          <w:i/>
          <w:iCs/>
          <w:lang w:eastAsia="en-US"/>
        </w:rPr>
        <w:t>Resoluciones:</w:t>
      </w:r>
    </w:p>
    <w:p w14:paraId="04BB7358" w14:textId="77777777" w:rsidR="008936B4" w:rsidRPr="00F029E0" w:rsidRDefault="008936B4" w:rsidP="008936B4">
      <w:pPr>
        <w:pStyle w:val="Prrafodelista"/>
        <w:spacing w:line="360" w:lineRule="auto"/>
        <w:ind w:left="851" w:right="616" w:hanging="284"/>
        <w:jc w:val="both"/>
        <w:rPr>
          <w:rFonts w:ascii="Palatino Linotype" w:hAnsi="Palatino Linotype" w:cs="Tahoma"/>
          <w:bCs/>
          <w:i/>
          <w:iCs/>
          <w:lang w:eastAsia="en-US"/>
        </w:rPr>
      </w:pPr>
      <w:r w:rsidRPr="00F029E0">
        <w:rPr>
          <w:rFonts w:ascii="Palatino Linotype" w:hAnsi="Palatino Linotype" w:cs="Tahoma"/>
          <w:bCs/>
          <w:i/>
          <w:iCs/>
          <w:lang w:eastAsia="en-US"/>
        </w:rPr>
        <w:t>•</w:t>
      </w:r>
      <w:r w:rsidRPr="00F029E0">
        <w:rPr>
          <w:rFonts w:ascii="Palatino Linotype" w:hAnsi="Palatino Linotype" w:cs="Tahoma"/>
          <w:bCs/>
          <w:i/>
          <w:iCs/>
          <w:lang w:eastAsia="en-US"/>
        </w:rPr>
        <w:tab/>
        <w:t>RRD 0198/17. Banco Nacional del Ejército, Fuerza Aérea y Armada, S.N.C. 24 de mayo de 2017. Por unanimidad. Comisionada Ponente Areli Cano Guadiana.</w:t>
      </w:r>
    </w:p>
    <w:p w14:paraId="2644B264" w14:textId="77777777" w:rsidR="008936B4" w:rsidRPr="00F029E0" w:rsidRDefault="008936B4" w:rsidP="008936B4">
      <w:pPr>
        <w:pStyle w:val="Prrafodelista"/>
        <w:spacing w:line="360" w:lineRule="auto"/>
        <w:ind w:left="851" w:right="616" w:hanging="284"/>
        <w:jc w:val="both"/>
        <w:rPr>
          <w:rFonts w:ascii="Palatino Linotype" w:hAnsi="Palatino Linotype" w:cs="Tahoma"/>
          <w:bCs/>
          <w:i/>
          <w:iCs/>
          <w:lang w:eastAsia="en-US"/>
        </w:rPr>
      </w:pPr>
      <w:r w:rsidRPr="00F029E0">
        <w:rPr>
          <w:rFonts w:ascii="Palatino Linotype" w:hAnsi="Palatino Linotype" w:cs="Tahoma"/>
          <w:bCs/>
          <w:i/>
          <w:iCs/>
          <w:lang w:eastAsia="en-US"/>
        </w:rPr>
        <w:t>•</w:t>
      </w:r>
      <w:r w:rsidRPr="00F029E0">
        <w:rPr>
          <w:rFonts w:ascii="Palatino Linotype" w:hAnsi="Palatino Linotype" w:cs="Tahoma"/>
          <w:bCs/>
          <w:i/>
          <w:iCs/>
          <w:lang w:eastAsia="en-US"/>
        </w:rPr>
        <w:tab/>
        <w:t>RRD 0297/17. Policía Federal antes Policía Federal Preventiva. 21 de junio de 2017. Por unanimidad. Comisionado Ponente Oscar Mauricio Guerra Ford.</w:t>
      </w:r>
    </w:p>
    <w:p w14:paraId="347C5B61" w14:textId="77777777" w:rsidR="008936B4" w:rsidRPr="00F029E0" w:rsidRDefault="008936B4" w:rsidP="008936B4">
      <w:pPr>
        <w:pStyle w:val="Prrafodelista"/>
        <w:spacing w:line="360" w:lineRule="auto"/>
        <w:ind w:left="851" w:right="616" w:hanging="284"/>
        <w:jc w:val="both"/>
        <w:rPr>
          <w:rFonts w:ascii="Palatino Linotype" w:hAnsi="Palatino Linotype" w:cs="Tahoma"/>
          <w:bCs/>
          <w:i/>
          <w:iCs/>
          <w:lang w:eastAsia="en-US"/>
        </w:rPr>
      </w:pPr>
      <w:r w:rsidRPr="00F029E0">
        <w:rPr>
          <w:rFonts w:ascii="Palatino Linotype" w:hAnsi="Palatino Linotype" w:cs="Tahoma"/>
          <w:bCs/>
          <w:i/>
          <w:iCs/>
          <w:lang w:eastAsia="en-US"/>
        </w:rPr>
        <w:t>•</w:t>
      </w:r>
      <w:r w:rsidRPr="00F029E0">
        <w:rPr>
          <w:rFonts w:ascii="Palatino Linotype" w:hAnsi="Palatino Linotype" w:cs="Tahoma"/>
          <w:bCs/>
          <w:i/>
          <w:iCs/>
          <w:lang w:eastAsia="en-US"/>
        </w:rPr>
        <w:tab/>
        <w:t>RRD 0250/17. Secretaría de Relaciones Exteriores. 28 de junio de 2017. Por unanimidad. Comisionado Ponente Rosendoevgueni Monterrey Chepov.</w:t>
      </w:r>
    </w:p>
    <w:p w14:paraId="21CA62CB" w14:textId="77777777" w:rsidR="008936B4" w:rsidRPr="00F029E0" w:rsidRDefault="008936B4" w:rsidP="008936B4">
      <w:pPr>
        <w:pStyle w:val="Textoindependiente"/>
        <w:spacing w:before="24" w:line="360" w:lineRule="auto"/>
        <w:ind w:left="102" w:right="254"/>
        <w:jc w:val="both"/>
        <w:rPr>
          <w:rFonts w:eastAsiaTheme="minorHAnsi" w:cstheme="minorBidi"/>
          <w:lang w:val="es-MX"/>
        </w:rPr>
      </w:pPr>
    </w:p>
    <w:p w14:paraId="6C3CD551" w14:textId="77777777" w:rsidR="008936B4" w:rsidRPr="00F029E0" w:rsidRDefault="008936B4" w:rsidP="008936B4">
      <w:pPr>
        <w:pStyle w:val="Textoindependiente"/>
        <w:spacing w:line="360" w:lineRule="auto"/>
        <w:ind w:left="102" w:right="197"/>
        <w:jc w:val="both"/>
        <w:rPr>
          <w:rFonts w:eastAsia="Calibri" w:cs="Tahoma"/>
          <w:bCs/>
          <w:lang w:val="es-MX"/>
        </w:rPr>
      </w:pPr>
      <w:r w:rsidRPr="00F029E0">
        <w:rPr>
          <w:rFonts w:eastAsia="Calibri" w:cs="Tahoma"/>
          <w:bCs/>
          <w:lang w:val="es-MX"/>
        </w:rPr>
        <w:t>No se omite manifestar que el ordenar la entrega de la información sin costo por reproducción en el caso de las solicitudes en copias certificadas no irroga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14:paraId="74D080E1" w14:textId="77777777" w:rsidR="008936B4" w:rsidRPr="00F029E0" w:rsidRDefault="008936B4" w:rsidP="008936B4">
      <w:pPr>
        <w:pStyle w:val="Textoindependiente"/>
        <w:spacing w:line="360" w:lineRule="auto"/>
        <w:rPr>
          <w:rFonts w:eastAsia="Calibri" w:cs="Tahoma"/>
          <w:bCs/>
          <w:lang w:val="es-MX"/>
        </w:rPr>
      </w:pPr>
    </w:p>
    <w:p w14:paraId="7DED2CB3" w14:textId="77777777" w:rsidR="008936B4" w:rsidRPr="00F029E0" w:rsidRDefault="008936B4" w:rsidP="008936B4">
      <w:pPr>
        <w:pStyle w:val="Textoindependiente"/>
        <w:spacing w:line="360" w:lineRule="auto"/>
        <w:ind w:left="102" w:right="202"/>
        <w:jc w:val="both"/>
        <w:rPr>
          <w:rFonts w:eastAsia="Calibri" w:cs="Tahoma"/>
          <w:bCs/>
          <w:lang w:val="es-MX"/>
        </w:rPr>
      </w:pPr>
      <w:r w:rsidRPr="00F029E0">
        <w:rPr>
          <w:rFonts w:eastAsia="Calibri" w:cs="Tahoma"/>
          <w:bCs/>
          <w:lang w:val="es-MX"/>
        </w:rPr>
        <w:t>Los fines recaudatorios son una limitante de la garantía constitucional del derecho de acceso a la información y contravienen su naturaleza general, ya que inhiben indebidamente el ejercicio amplio y completo del derecho de acceso a la información.</w:t>
      </w:r>
    </w:p>
    <w:p w14:paraId="0ED8BDB3" w14:textId="77777777" w:rsidR="008936B4" w:rsidRPr="00F029E0" w:rsidRDefault="008936B4" w:rsidP="008936B4">
      <w:pPr>
        <w:pStyle w:val="Textoindependiente"/>
        <w:spacing w:line="360" w:lineRule="auto"/>
        <w:rPr>
          <w:rFonts w:eastAsia="Calibri" w:cs="Tahoma"/>
          <w:bCs/>
          <w:lang w:val="es-MX"/>
        </w:rPr>
      </w:pPr>
    </w:p>
    <w:p w14:paraId="2BF23A72" w14:textId="77777777" w:rsidR="008936B4" w:rsidRPr="00F029E0" w:rsidRDefault="008936B4" w:rsidP="008936B4">
      <w:pPr>
        <w:pStyle w:val="Textoindependiente"/>
        <w:spacing w:line="360" w:lineRule="auto"/>
        <w:ind w:left="102" w:right="195"/>
        <w:jc w:val="both"/>
        <w:rPr>
          <w:rFonts w:eastAsia="Calibri" w:cs="Tahoma"/>
          <w:bCs/>
          <w:lang w:val="es-MX"/>
        </w:rPr>
      </w:pPr>
      <w:r w:rsidRPr="00F029E0">
        <w:rPr>
          <w:rFonts w:eastAsia="Calibri" w:cs="Tahoma"/>
          <w:bCs/>
          <w:lang w:val="es-MX"/>
        </w:rPr>
        <w:t>En materia de costos según refiere el Código Financiero del Estado de México, en el artículo 148, se establecen los derechos por la expedición de documentos solicitados en el ejercicio del derecho a la información pública, no estableciéndose un máximo de hojas para determinar el no cobro, lo cual no abona al ejercicio del Control de Convencionalidad; mismo que obliga a todas las autoridades, a determinar sobre aquello que más beneficie a la persona, garantizando en todo momento, sus derechos.</w:t>
      </w:r>
    </w:p>
    <w:p w14:paraId="06B8E6A8" w14:textId="77777777" w:rsidR="008936B4" w:rsidRPr="00F029E0" w:rsidRDefault="008936B4" w:rsidP="008936B4">
      <w:pPr>
        <w:pStyle w:val="Textoindependiente"/>
        <w:spacing w:line="360" w:lineRule="auto"/>
        <w:rPr>
          <w:rFonts w:eastAsia="Calibri" w:cs="Tahoma"/>
          <w:bCs/>
          <w:lang w:val="es-MX"/>
        </w:rPr>
      </w:pPr>
    </w:p>
    <w:p w14:paraId="7E757A31" w14:textId="77777777" w:rsidR="008936B4" w:rsidRPr="00F029E0" w:rsidRDefault="008936B4" w:rsidP="008936B4">
      <w:pPr>
        <w:pStyle w:val="Textoindependiente"/>
        <w:spacing w:line="360" w:lineRule="auto"/>
        <w:ind w:left="102" w:right="199"/>
        <w:jc w:val="both"/>
        <w:rPr>
          <w:rFonts w:eastAsia="Calibri" w:cs="Tahoma"/>
          <w:bCs/>
          <w:lang w:val="es-MX"/>
        </w:rPr>
      </w:pPr>
      <w:r w:rsidRPr="00F029E0">
        <w:rPr>
          <w:rFonts w:eastAsia="Calibri" w:cs="Tahoma"/>
          <w:bCs/>
          <w:lang w:val="es-MX"/>
        </w:rPr>
        <w:t>En este orden de ideas, la Suprema Corte de Justicia de la Nación también establece el derecho de gratuidad, en materia de solicitud de copias para la defensa de una persona y su intención de acudir ante el sistema interamericano se encuentra protegido por un derecho fundamental, lo que nos establece que en el caso de que las copias simples excedan de 20 hojas, se deberá determinar la gratuidad dependiendo del caso particular y si se trata de una persona en situación de vulnerabilidad, sobre todo si se presenta una interseccionalidad y se encuentra presente una situación de pobreza .</w:t>
      </w:r>
    </w:p>
    <w:p w14:paraId="7BDDAEB8" w14:textId="77777777" w:rsidR="008936B4" w:rsidRPr="00F029E0" w:rsidRDefault="008936B4" w:rsidP="008936B4">
      <w:pPr>
        <w:pStyle w:val="Textoindependiente"/>
        <w:rPr>
          <w:rFonts w:eastAsia="Calibri" w:cs="Tahoma"/>
          <w:bCs/>
          <w:lang w:val="es-MX"/>
        </w:rPr>
      </w:pPr>
    </w:p>
    <w:p w14:paraId="0284D20B" w14:textId="77777777" w:rsidR="008936B4" w:rsidRPr="00F029E0" w:rsidRDefault="008936B4" w:rsidP="008936B4">
      <w:pPr>
        <w:pStyle w:val="Textoindependiente"/>
        <w:spacing w:line="360" w:lineRule="auto"/>
        <w:ind w:left="102" w:right="196"/>
        <w:jc w:val="both"/>
        <w:rPr>
          <w:rFonts w:eastAsia="Calibri" w:cs="Tahoma"/>
          <w:bCs/>
          <w:lang w:val="es-MX"/>
        </w:rPr>
      </w:pPr>
      <w:r w:rsidRPr="00F029E0">
        <w:rPr>
          <w:rFonts w:eastAsia="Calibri" w:cs="Tahoma"/>
          <w:bCs/>
          <w:lang w:val="es-MX"/>
        </w:rPr>
        <w:t xml:space="preserve">Por otro lado, la Relatoría Especial para la Libertad de Expresión de la Organización de Estados Americanos, en su Estudio Especial sobre el Derecho de Acceso a la Información, en materia de acceso a la información establece un punto esencial de este derecho que consiste en la no onerosidad del proceso de suministro de información. En realidad, este elemento es una garantía para el </w:t>
      </w:r>
      <w:r w:rsidRPr="00F029E0">
        <w:rPr>
          <w:rFonts w:eastAsia="Calibri" w:cs="Tahoma"/>
          <w:bCs/>
          <w:lang w:val="es-MX"/>
        </w:rPr>
        <w:lastRenderedPageBreak/>
        <w:t>ejercicio de este derecho sobre los que se ensayaron distintos sistemas para asegurar que el costo de la solicitud y su suministro no sea excesivo y suponga un desincentivo para las personas. Reiterando más adelante en su Informe “El Derecho de Acceso a la Información en el marco jurídico interamericano que las solicitudes de información al Estado”, deben cumplir dentro de otras características la de ser “gratuita o de bajo costo, de tal manera que no desaliente las solicitudes de información.” Lo mismo se recalca en el Caso Barreto Leiva vs. Venezuela, Sentencia de 17 de noviembre de 2009.</w:t>
      </w:r>
    </w:p>
    <w:p w14:paraId="3C7A9396" w14:textId="77777777" w:rsidR="008936B4" w:rsidRPr="00F029E0" w:rsidRDefault="008936B4" w:rsidP="008936B4">
      <w:pPr>
        <w:pStyle w:val="Textoindependiente"/>
        <w:spacing w:line="360" w:lineRule="auto"/>
        <w:ind w:left="102"/>
        <w:rPr>
          <w:rFonts w:eastAsia="Calibri" w:cs="Tahoma"/>
          <w:bCs/>
          <w:lang w:val="es-MX"/>
        </w:rPr>
      </w:pPr>
    </w:p>
    <w:p w14:paraId="457CC60C" w14:textId="77777777" w:rsidR="008936B4" w:rsidRPr="00F029E0" w:rsidRDefault="008936B4" w:rsidP="008936B4">
      <w:pPr>
        <w:pStyle w:val="Textoindependiente"/>
        <w:spacing w:line="360" w:lineRule="auto"/>
        <w:ind w:left="102"/>
        <w:rPr>
          <w:rFonts w:eastAsia="Calibri" w:cs="Tahoma"/>
          <w:bCs/>
          <w:lang w:val="es-MX"/>
        </w:rPr>
      </w:pPr>
      <w:r w:rsidRPr="00F029E0">
        <w:rPr>
          <w:rFonts w:eastAsia="Calibri" w:cs="Tahoma"/>
          <w:bCs/>
          <w:lang w:val="es-MX"/>
        </w:rPr>
        <w:t>Lo anterior expone razones suficientes para la emisión y presentación del presente Voto Particular.---------------------------------------------------------------------------------------------------------------------------------------------------------------------------------------------------------------------------------------------------------------------------------------------------------------------------</w:t>
      </w:r>
      <w:r w:rsidRPr="00F029E0">
        <w:rPr>
          <w:rFonts w:eastAsia="Calibri" w:cs="Tahoma"/>
          <w:bCs/>
          <w:lang w:val="es-MX"/>
        </w:rPr>
        <w:tab/>
      </w:r>
    </w:p>
    <w:p w14:paraId="5EC6A20F" w14:textId="77777777" w:rsidR="008936B4" w:rsidRPr="00F029E0" w:rsidRDefault="008936B4" w:rsidP="008936B4">
      <w:pPr>
        <w:spacing w:line="360" w:lineRule="auto"/>
        <w:jc w:val="both"/>
        <w:rPr>
          <w:rFonts w:ascii="Palatino Linotype" w:eastAsia="Calibri" w:hAnsi="Palatino Linotype" w:cs="Tahoma"/>
          <w:bCs/>
          <w:lang w:val="es-MX"/>
        </w:rPr>
      </w:pPr>
    </w:p>
    <w:p w14:paraId="418D8358" w14:textId="77777777" w:rsidR="008936B4" w:rsidRPr="00F029E0"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Pr="00F029E0" w:rsidRDefault="00D96441" w:rsidP="005C4513">
      <w:pPr>
        <w:spacing w:before="240" w:after="240" w:line="360" w:lineRule="auto"/>
        <w:jc w:val="both"/>
        <w:rPr>
          <w:rFonts w:ascii="Palatino Linotype" w:hAnsi="Palatino Linotype" w:cs="Arial"/>
        </w:rPr>
      </w:pPr>
    </w:p>
    <w:sectPr w:rsidR="00D96441" w:rsidRPr="00F029E0"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9BA76" w14:textId="77777777" w:rsidR="00355BD7" w:rsidRDefault="00355BD7" w:rsidP="00C80F8C">
      <w:r>
        <w:separator/>
      </w:r>
    </w:p>
  </w:endnote>
  <w:endnote w:type="continuationSeparator" w:id="0">
    <w:p w14:paraId="311A4260" w14:textId="77777777" w:rsidR="00355BD7" w:rsidRDefault="00355B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7C86D" w14:textId="77777777" w:rsidR="00355BD7" w:rsidRDefault="00355BD7" w:rsidP="00C80F8C">
      <w:r>
        <w:separator/>
      </w:r>
    </w:p>
  </w:footnote>
  <w:footnote w:type="continuationSeparator" w:id="0">
    <w:p w14:paraId="09566DCE" w14:textId="77777777" w:rsidR="00355BD7" w:rsidRDefault="00355BD7" w:rsidP="00C80F8C">
      <w:r>
        <w:continuationSeparator/>
      </w:r>
    </w:p>
  </w:footnote>
  <w:footnote w:id="1">
    <w:p w14:paraId="18A4C541" w14:textId="77777777" w:rsidR="008936B4" w:rsidRDefault="008936B4" w:rsidP="008936B4">
      <w:pPr>
        <w:jc w:val="both"/>
        <w:rPr>
          <w:rFonts w:eastAsiaTheme="minorHAnsi" w:cstheme="minorBidi"/>
          <w:sz w:val="22"/>
          <w:szCs w:val="22"/>
          <w:lang w:val="es-MX"/>
        </w:rPr>
      </w:pPr>
      <w:r>
        <w:rPr>
          <w:rStyle w:val="Refdenotaalpie"/>
          <w:sz w:val="18"/>
          <w:szCs w:val="18"/>
        </w:rPr>
        <w:footnoteRef/>
      </w:r>
      <w:r>
        <w:rPr>
          <w:sz w:val="18"/>
          <w:szCs w:val="18"/>
        </w:rPr>
        <w:t xml:space="preserve"> Carbonell, Miguel y Bustillos, Roqueñi, (Coordinadores), Hacia una democracia de contenidos: La reforma constitucional en materia de transparencia, Universidad Nacional Autónoma de México, Instituto Federal de Acceso a la Información e Instituto de Acceso a la Información Pública del Distrito Federal, México, 2008, Páginas 11 y 12.</w:t>
      </w:r>
    </w:p>
  </w:footnote>
  <w:footnote w:id="2">
    <w:p w14:paraId="05440247" w14:textId="77777777" w:rsidR="008936B4" w:rsidRDefault="008936B4" w:rsidP="008936B4">
      <w:pPr>
        <w:pStyle w:val="Textonotapie"/>
        <w:jc w:val="both"/>
      </w:pPr>
      <w:r>
        <w:rPr>
          <w:rStyle w:val="Refdenotaalpie"/>
        </w:rPr>
        <w:footnoteRef/>
      </w:r>
      <w:r>
        <w:t xml:space="preserve"> Entendiendo por negligente la más simple y llana definición contenida en el Diccionario de la Lengua Española: “Negligente. Del lat. neglĭgens, -entis, part. act. de negligĕre 'descuidar'. 1. adj. descuidado. U. t. c. s. 2. adj. Falto de aplicación. U. t. c. s.” consultado el 22 de marzo de 2022 en https://dle.rae.es/negligente.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355BD7">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355BD7"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2005E73F" w14:textId="77777777" w:rsidR="00171670" w:rsidRDefault="00F47FB5" w:rsidP="00F47FB5">
    <w:pPr>
      <w:pStyle w:val="Encabezado"/>
      <w:ind w:left="2835" w:right="-250"/>
      <w:rPr>
        <w:rFonts w:ascii="Palatino Linotype" w:hAnsi="Palatino Linotype" w:cs="Tahoma"/>
        <w:bCs/>
        <w:color w:val="0D0D0D" w:themeColor="text1" w:themeTint="F2"/>
        <w:sz w:val="22"/>
        <w:szCs w:val="22"/>
      </w:rPr>
    </w:pPr>
    <w:r>
      <w:rPr>
        <w:rFonts w:ascii="Palatino Linotype" w:hAnsi="Palatino Linotype" w:cs="Tahoma"/>
        <w:b/>
      </w:rPr>
      <w:t xml:space="preserve">Recurso de Revisión: </w:t>
    </w:r>
    <w:r w:rsidR="00171670">
      <w:rPr>
        <w:rFonts w:ascii="Palatino Linotype" w:hAnsi="Palatino Linotype" w:cs="Tahoma"/>
        <w:bCs/>
        <w:color w:val="0D0D0D" w:themeColor="text1" w:themeTint="F2"/>
        <w:sz w:val="22"/>
        <w:szCs w:val="22"/>
      </w:rPr>
      <w:t>01586/INFOEM/IP/RR/2023</w:t>
    </w:r>
  </w:p>
  <w:p w14:paraId="71104997" w14:textId="06EC8D83" w:rsidR="00634485" w:rsidRDefault="00F47FB5" w:rsidP="00171670">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171670">
      <w:rPr>
        <w:rFonts w:ascii="Palatino Linotype" w:eastAsia="Calibri" w:hAnsi="Palatino Linotype" w:cs="Tahoma"/>
        <w:sz w:val="22"/>
        <w:szCs w:val="22"/>
        <w:lang w:eastAsia="en-US"/>
      </w:rPr>
      <w:t>Secretaría de Desarrollo Urbano y Obra</w:t>
    </w:r>
    <w:r w:rsidR="006822E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355BD7">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6"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1B2C55"/>
    <w:multiLevelType w:val="hybridMultilevel"/>
    <w:tmpl w:val="6FBE48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2"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7"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0"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9"/>
  </w:num>
  <w:num w:numId="3">
    <w:abstractNumId w:val="9"/>
  </w:num>
  <w:num w:numId="4">
    <w:abstractNumId w:val="13"/>
  </w:num>
  <w:num w:numId="5">
    <w:abstractNumId w:val="30"/>
  </w:num>
  <w:num w:numId="6">
    <w:abstractNumId w:val="28"/>
  </w:num>
  <w:num w:numId="7">
    <w:abstractNumId w:val="22"/>
  </w:num>
  <w:num w:numId="8">
    <w:abstractNumId w:val="3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6"/>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lvlOverride w:ilvl="2"/>
    <w:lvlOverride w:ilvl="3"/>
    <w:lvlOverride w:ilvl="4"/>
    <w:lvlOverride w:ilvl="5"/>
    <w:lvlOverride w:ilvl="6"/>
    <w:lvlOverride w:ilvl="7"/>
    <w:lvlOverride w:ilvl="8"/>
  </w:num>
  <w:num w:numId="39">
    <w:abstractNumId w:val="17"/>
  </w:num>
  <w:num w:numId="4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0D34"/>
    <w:rsid w:val="00043D11"/>
    <w:rsid w:val="00055D60"/>
    <w:rsid w:val="00061126"/>
    <w:rsid w:val="0008332D"/>
    <w:rsid w:val="0008542A"/>
    <w:rsid w:val="000B37D9"/>
    <w:rsid w:val="000B3FFD"/>
    <w:rsid w:val="000B4A04"/>
    <w:rsid w:val="000C43E5"/>
    <w:rsid w:val="000C4453"/>
    <w:rsid w:val="000D656A"/>
    <w:rsid w:val="000E27BB"/>
    <w:rsid w:val="00105578"/>
    <w:rsid w:val="001112E6"/>
    <w:rsid w:val="00115E7A"/>
    <w:rsid w:val="00135555"/>
    <w:rsid w:val="001644F9"/>
    <w:rsid w:val="00171670"/>
    <w:rsid w:val="0018216B"/>
    <w:rsid w:val="001960A5"/>
    <w:rsid w:val="001B3D11"/>
    <w:rsid w:val="001B40A8"/>
    <w:rsid w:val="001C7B07"/>
    <w:rsid w:val="0020666A"/>
    <w:rsid w:val="00216C06"/>
    <w:rsid w:val="002378AC"/>
    <w:rsid w:val="00266831"/>
    <w:rsid w:val="00284217"/>
    <w:rsid w:val="00294490"/>
    <w:rsid w:val="002D5B21"/>
    <w:rsid w:val="002E7D97"/>
    <w:rsid w:val="003026CE"/>
    <w:rsid w:val="00312863"/>
    <w:rsid w:val="00326EEA"/>
    <w:rsid w:val="003448FB"/>
    <w:rsid w:val="00355BD7"/>
    <w:rsid w:val="003B75EE"/>
    <w:rsid w:val="003C6DAB"/>
    <w:rsid w:val="003D1F47"/>
    <w:rsid w:val="003F0929"/>
    <w:rsid w:val="003F528B"/>
    <w:rsid w:val="00411692"/>
    <w:rsid w:val="00421FFF"/>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92BEE"/>
    <w:rsid w:val="005B05D8"/>
    <w:rsid w:val="005C0271"/>
    <w:rsid w:val="005C4513"/>
    <w:rsid w:val="005C481C"/>
    <w:rsid w:val="005C4ADA"/>
    <w:rsid w:val="005D1946"/>
    <w:rsid w:val="005F3A48"/>
    <w:rsid w:val="00615B7E"/>
    <w:rsid w:val="00621357"/>
    <w:rsid w:val="00634485"/>
    <w:rsid w:val="00665800"/>
    <w:rsid w:val="0067340C"/>
    <w:rsid w:val="0067381F"/>
    <w:rsid w:val="0068101D"/>
    <w:rsid w:val="006822ED"/>
    <w:rsid w:val="00685B0E"/>
    <w:rsid w:val="006A7AB7"/>
    <w:rsid w:val="006B2674"/>
    <w:rsid w:val="006E6389"/>
    <w:rsid w:val="006F0A6E"/>
    <w:rsid w:val="006F30F8"/>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F67BC"/>
    <w:rsid w:val="00956B18"/>
    <w:rsid w:val="00961995"/>
    <w:rsid w:val="00975EB9"/>
    <w:rsid w:val="00981C38"/>
    <w:rsid w:val="00997CD5"/>
    <w:rsid w:val="009B3D3A"/>
    <w:rsid w:val="009C666B"/>
    <w:rsid w:val="009D10D2"/>
    <w:rsid w:val="009E155A"/>
    <w:rsid w:val="009F0D8D"/>
    <w:rsid w:val="00A16950"/>
    <w:rsid w:val="00A303B0"/>
    <w:rsid w:val="00A53363"/>
    <w:rsid w:val="00A5360A"/>
    <w:rsid w:val="00A561C5"/>
    <w:rsid w:val="00A610D3"/>
    <w:rsid w:val="00A64683"/>
    <w:rsid w:val="00A74BB7"/>
    <w:rsid w:val="00A7532A"/>
    <w:rsid w:val="00A81140"/>
    <w:rsid w:val="00AA21EE"/>
    <w:rsid w:val="00AB78CF"/>
    <w:rsid w:val="00AC0680"/>
    <w:rsid w:val="00AE7763"/>
    <w:rsid w:val="00B014D8"/>
    <w:rsid w:val="00B05E5A"/>
    <w:rsid w:val="00B343D6"/>
    <w:rsid w:val="00B34E17"/>
    <w:rsid w:val="00B53290"/>
    <w:rsid w:val="00B64C7A"/>
    <w:rsid w:val="00B64CFB"/>
    <w:rsid w:val="00B703D7"/>
    <w:rsid w:val="00B7360E"/>
    <w:rsid w:val="00B868A5"/>
    <w:rsid w:val="00B92067"/>
    <w:rsid w:val="00BB071F"/>
    <w:rsid w:val="00BB11DB"/>
    <w:rsid w:val="00BB2AD1"/>
    <w:rsid w:val="00BC1756"/>
    <w:rsid w:val="00BD07E6"/>
    <w:rsid w:val="00BD7483"/>
    <w:rsid w:val="00BE05AB"/>
    <w:rsid w:val="00BF358F"/>
    <w:rsid w:val="00BF68F0"/>
    <w:rsid w:val="00BF6974"/>
    <w:rsid w:val="00BF6E14"/>
    <w:rsid w:val="00C156E5"/>
    <w:rsid w:val="00C27236"/>
    <w:rsid w:val="00C65950"/>
    <w:rsid w:val="00C75CBC"/>
    <w:rsid w:val="00C80F8C"/>
    <w:rsid w:val="00C85F1D"/>
    <w:rsid w:val="00C8760D"/>
    <w:rsid w:val="00CE0FA6"/>
    <w:rsid w:val="00CE217B"/>
    <w:rsid w:val="00CF3F65"/>
    <w:rsid w:val="00D03369"/>
    <w:rsid w:val="00D20156"/>
    <w:rsid w:val="00D36ABC"/>
    <w:rsid w:val="00D96441"/>
    <w:rsid w:val="00DC2CB7"/>
    <w:rsid w:val="00DC3082"/>
    <w:rsid w:val="00DD45AC"/>
    <w:rsid w:val="00DD5CD5"/>
    <w:rsid w:val="00DE1629"/>
    <w:rsid w:val="00DE5C27"/>
    <w:rsid w:val="00E37AE3"/>
    <w:rsid w:val="00E429BA"/>
    <w:rsid w:val="00EF3513"/>
    <w:rsid w:val="00F029E0"/>
    <w:rsid w:val="00F05A30"/>
    <w:rsid w:val="00F1205F"/>
    <w:rsid w:val="00F47FB5"/>
    <w:rsid w:val="00F614DA"/>
    <w:rsid w:val="00F662BC"/>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5657104">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21572764">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4497830">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75774941">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082825855">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4A4E-D5D9-4513-9A0E-A02DEEF8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2439</Words>
  <Characters>13416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2023-12-01T20:30:00Z</cp:lastPrinted>
  <dcterms:created xsi:type="dcterms:W3CDTF">2024-03-21T20:56:00Z</dcterms:created>
  <dcterms:modified xsi:type="dcterms:W3CDTF">2024-03-21T20:56:00Z</dcterms:modified>
</cp:coreProperties>
</file>