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B5673" w14:textId="77777777" w:rsidR="006C7096" w:rsidRDefault="006C7096" w:rsidP="00C169ED">
      <w:pPr>
        <w:tabs>
          <w:tab w:val="left" w:pos="1843"/>
        </w:tabs>
        <w:spacing w:after="0" w:line="360" w:lineRule="auto"/>
        <w:jc w:val="both"/>
        <w:rPr>
          <w:rFonts w:ascii="Palatino Linotype" w:hAnsi="Palatino Linotype" w:cs="Tahoma"/>
          <w:b/>
        </w:rPr>
      </w:pPr>
    </w:p>
    <w:p w14:paraId="1EC3C5F7" w14:textId="016754A4" w:rsidR="00C169ED" w:rsidRPr="000C73AC" w:rsidRDefault="00C169ED" w:rsidP="00C169ED">
      <w:pPr>
        <w:tabs>
          <w:tab w:val="left" w:pos="1843"/>
        </w:tabs>
        <w:spacing w:after="0" w:line="360" w:lineRule="auto"/>
        <w:jc w:val="both"/>
        <w:rPr>
          <w:rFonts w:ascii="Palatino Linotype" w:hAnsi="Palatino Linotype" w:cs="Tahoma"/>
          <w:b/>
        </w:rPr>
      </w:pPr>
      <w:r w:rsidRPr="000C73AC">
        <w:rPr>
          <w:rFonts w:ascii="Palatino Linotype" w:hAnsi="Palatino Linotype" w:cs="Tahoma"/>
          <w:b/>
        </w:rPr>
        <w:t xml:space="preserve">VOTO PARTICULAR QUE FORMULA EL COMISIONADO LUIS GUSTAVO PARRA NORIEGA, A LA RESOLUCIÓN DEL RECURSO DE REVISIÓN </w:t>
      </w:r>
      <w:r w:rsidR="00611276">
        <w:rPr>
          <w:rFonts w:ascii="Palatino Linotype" w:hAnsi="Palatino Linotype" w:cs="Arial"/>
          <w:b/>
          <w:bCs/>
          <w:lang w:val="es-MX" w:eastAsia="es-MX"/>
        </w:rPr>
        <w:t>12987</w:t>
      </w:r>
      <w:r w:rsidRPr="000C73AC">
        <w:rPr>
          <w:rFonts w:ascii="Palatino Linotype" w:hAnsi="Palatino Linotype" w:cs="Arial"/>
          <w:b/>
          <w:bCs/>
          <w:lang w:val="es-MX" w:eastAsia="es-MX"/>
        </w:rPr>
        <w:t>/INFOEM/IP/RR/2022</w:t>
      </w:r>
      <w:r w:rsidRPr="000C73AC">
        <w:rPr>
          <w:rFonts w:ascii="Palatino Linotype" w:hAnsi="Palatino Linotype" w:cs="Tahoma"/>
          <w:b/>
        </w:rPr>
        <w:t>, PROMOVIDO EN CONTRA DE</w:t>
      </w:r>
      <w:r w:rsidR="00611276">
        <w:rPr>
          <w:rFonts w:ascii="Palatino Linotype" w:hAnsi="Palatino Linotype" w:cs="Tahoma"/>
          <w:b/>
        </w:rPr>
        <w:t xml:space="preserve"> LA SECRETARÍA DE MOVILIDAD.</w:t>
      </w:r>
    </w:p>
    <w:p w14:paraId="578E4ECC" w14:textId="77777777" w:rsidR="00C169ED" w:rsidRPr="000C73AC" w:rsidRDefault="00C169ED" w:rsidP="00C169ED">
      <w:pPr>
        <w:tabs>
          <w:tab w:val="left" w:pos="1843"/>
        </w:tabs>
        <w:spacing w:after="0" w:line="360" w:lineRule="auto"/>
        <w:jc w:val="both"/>
        <w:rPr>
          <w:rFonts w:ascii="Palatino Linotype" w:hAnsi="Palatino Linotype" w:cs="Arial"/>
          <w:b/>
        </w:rPr>
      </w:pPr>
    </w:p>
    <w:p w14:paraId="0971DF8C" w14:textId="0EAA90E0" w:rsidR="00C169ED" w:rsidRPr="000C73AC" w:rsidRDefault="00C169ED" w:rsidP="00C169ED">
      <w:pPr>
        <w:spacing w:after="0" w:line="360" w:lineRule="auto"/>
        <w:jc w:val="both"/>
        <w:rPr>
          <w:rFonts w:ascii="Palatino Linotype" w:hAnsi="Palatino Linotype" w:cs="Tahoma"/>
        </w:rPr>
      </w:pPr>
      <w:r w:rsidRPr="000C73AC">
        <w:rPr>
          <w:rFonts w:ascii="Palatino Linotype" w:hAnsi="Palatino Linotype" w:cs="Tahoma"/>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w:t>
      </w:r>
      <w:r w:rsidR="00AF2DB1">
        <w:rPr>
          <w:rFonts w:ascii="Palatino Linotype" w:hAnsi="Palatino Linotype" w:cs="Tahoma"/>
        </w:rPr>
        <w:t xml:space="preserve"> y</w:t>
      </w:r>
      <w:r w:rsidRPr="000C73AC">
        <w:rPr>
          <w:rFonts w:ascii="Palatino Linotype" w:hAnsi="Palatino Linotype" w:cs="Tahoma"/>
        </w:rPr>
        <w:t xml:space="preserve"> 48, fracción I, de los Lineamientos para el funcionamiento del Pleno y las Comisiones del Instituto de Transparencia, Acceso a la Información Pública y Protección de Datos Personales del Estado de México y Municipios, emito el presente </w:t>
      </w:r>
      <w:r w:rsidRPr="000C73AC">
        <w:rPr>
          <w:rFonts w:ascii="Palatino Linotype" w:hAnsi="Palatino Linotype" w:cs="Tahoma"/>
          <w:b/>
        </w:rPr>
        <w:t>Voto Particular</w:t>
      </w:r>
      <w:r w:rsidRPr="000C73AC">
        <w:rPr>
          <w:rFonts w:ascii="Palatino Linotype" w:hAnsi="Palatino Linotype" w:cs="Tahoma"/>
        </w:rPr>
        <w:t xml:space="preserve"> por no compartir en su totalidad las consideraciones que sustentan la Resolución del Recurso de Revisión </w:t>
      </w:r>
      <w:r w:rsidR="00611276">
        <w:rPr>
          <w:rFonts w:ascii="Palatino Linotype" w:hAnsi="Palatino Linotype"/>
          <w:b/>
          <w:bCs/>
          <w:lang w:val="es-MX"/>
        </w:rPr>
        <w:t>12987</w:t>
      </w:r>
      <w:r w:rsidRPr="000C73AC">
        <w:rPr>
          <w:rFonts w:ascii="Palatino Linotype" w:hAnsi="Palatino Linotype"/>
          <w:b/>
          <w:bCs/>
          <w:lang w:val="es-MX"/>
        </w:rPr>
        <w:t xml:space="preserve">/INFOEM/IP/RR/2022, </w:t>
      </w:r>
      <w:r w:rsidRPr="000C73AC">
        <w:rPr>
          <w:rFonts w:ascii="Palatino Linotype" w:hAnsi="Palatino Linotype" w:cs="Tahoma"/>
        </w:rPr>
        <w:t>conforme a lo siguiente:</w:t>
      </w:r>
    </w:p>
    <w:p w14:paraId="7099C5DD" w14:textId="77777777" w:rsidR="00C169ED" w:rsidRPr="000C73AC" w:rsidRDefault="00C169ED" w:rsidP="00C169ED">
      <w:pPr>
        <w:tabs>
          <w:tab w:val="left" w:pos="1843"/>
        </w:tabs>
        <w:spacing w:after="0" w:line="360" w:lineRule="auto"/>
        <w:jc w:val="both"/>
        <w:rPr>
          <w:rFonts w:ascii="Palatino Linotype" w:hAnsi="Palatino Linotype" w:cs="Tahoma"/>
        </w:rPr>
      </w:pPr>
    </w:p>
    <w:p w14:paraId="6964FD2C" w14:textId="7BF5090D" w:rsidR="004206EF" w:rsidRDefault="00C169ED" w:rsidP="004206EF">
      <w:pPr>
        <w:spacing w:after="0" w:line="360" w:lineRule="auto"/>
        <w:jc w:val="both"/>
        <w:rPr>
          <w:rFonts w:ascii="Palatino Linotype" w:hAnsi="Palatino Linotype" w:cs="Tahoma"/>
        </w:rPr>
      </w:pPr>
      <w:r w:rsidRPr="000C73AC">
        <w:rPr>
          <w:rFonts w:ascii="Palatino Linotype" w:hAnsi="Palatino Linotype" w:cs="Tahoma"/>
        </w:rPr>
        <w:t>Como se desprende de la Resolución en comento, el Particular solicitó</w:t>
      </w:r>
      <w:r>
        <w:rPr>
          <w:rFonts w:ascii="Palatino Linotype" w:hAnsi="Palatino Linotype" w:cs="Tahoma"/>
          <w:lang w:val="es-ES_tradnl"/>
        </w:rPr>
        <w:t xml:space="preserve"> </w:t>
      </w:r>
      <w:r w:rsidR="00611276">
        <w:rPr>
          <w:rFonts w:ascii="Palatino Linotype" w:hAnsi="Palatino Linotype" w:cs="Tahoma"/>
          <w:lang w:val="es-ES_tradnl"/>
        </w:rPr>
        <w:t>diversa información relacionada con la colocación de sistemas de seguridad</w:t>
      </w:r>
      <w:r w:rsidR="006C0D08">
        <w:rPr>
          <w:rFonts w:ascii="Palatino Linotype" w:hAnsi="Palatino Linotype" w:cs="Tahoma"/>
          <w:lang w:val="es-ES_tradnl"/>
        </w:rPr>
        <w:t>, botones de pánico, cámaras y sistema de geolocalización satelital</w:t>
      </w:r>
      <w:r w:rsidR="004206EF">
        <w:rPr>
          <w:rFonts w:ascii="Palatino Linotype" w:hAnsi="Palatino Linotype" w:cs="Tahoma"/>
        </w:rPr>
        <w:t>; al respecto,</w:t>
      </w:r>
      <w:r w:rsidR="004206EF" w:rsidRPr="009105B8">
        <w:rPr>
          <w:rFonts w:ascii="Palatino Linotype" w:hAnsi="Palatino Linotype" w:cs="Tahoma"/>
        </w:rPr>
        <w:t xml:space="preserve"> </w:t>
      </w:r>
      <w:r w:rsidR="004206EF">
        <w:rPr>
          <w:rFonts w:ascii="Palatino Linotype" w:hAnsi="Palatino Linotype" w:cs="Tahoma"/>
        </w:rPr>
        <w:t xml:space="preserve">la Ponencia Resolutora ordenó </w:t>
      </w:r>
      <w:r w:rsidR="006C0D08">
        <w:rPr>
          <w:rFonts w:ascii="Palatino Linotype" w:hAnsi="Palatino Linotype" w:cs="Tahoma"/>
        </w:rPr>
        <w:t xml:space="preserve">la entrega del acuerdo de incompetencia </w:t>
      </w:r>
      <w:r w:rsidR="00B1210C" w:rsidRPr="00B1210C">
        <w:rPr>
          <w:rFonts w:ascii="Palatino Linotype" w:hAnsi="Palatino Linotype" w:cs="Tahoma"/>
        </w:rPr>
        <w:t>respecto de la información requerida en la solicitud de información 00299/SMOV/IP/2022</w:t>
      </w:r>
      <w:r w:rsidR="00B1210C">
        <w:rPr>
          <w:rFonts w:ascii="Palatino Linotype" w:hAnsi="Palatino Linotype" w:cs="Tahoma"/>
        </w:rPr>
        <w:t>.</w:t>
      </w:r>
    </w:p>
    <w:p w14:paraId="1A5CCEFF" w14:textId="77777777" w:rsidR="00B1210C" w:rsidRDefault="00B1210C" w:rsidP="004206EF">
      <w:pPr>
        <w:spacing w:after="0" w:line="360" w:lineRule="auto"/>
        <w:jc w:val="both"/>
        <w:rPr>
          <w:rFonts w:ascii="Palatino Linotype" w:hAnsi="Palatino Linotype" w:cs="Tahoma"/>
        </w:rPr>
      </w:pPr>
    </w:p>
    <w:p w14:paraId="2B69D550" w14:textId="460A6513" w:rsidR="00631A7C" w:rsidRDefault="00D73A13" w:rsidP="00D73A13">
      <w:pPr>
        <w:spacing w:after="0" w:line="360" w:lineRule="auto"/>
        <w:jc w:val="both"/>
        <w:rPr>
          <w:rFonts w:ascii="Palatino Linotype" w:hAnsi="Palatino Linotype" w:cs="Tahoma"/>
        </w:rPr>
      </w:pPr>
      <w:r>
        <w:rPr>
          <w:rFonts w:ascii="Palatino Linotype" w:hAnsi="Palatino Linotype" w:cs="Tahoma"/>
        </w:rPr>
        <w:t xml:space="preserve">En tales circunstancias, no comparto en su totalidad el sentido de la Resolución, pues si bien, parte de la solicitud se encuentra redactada de manera ambigua, aunado a que distintos documentos solicitados en efecto, no son competencia de la Secretaría de Movilidad, no obstante, </w:t>
      </w:r>
      <w:r w:rsidRPr="00D73A13">
        <w:rPr>
          <w:rFonts w:ascii="Palatino Linotype" w:hAnsi="Palatino Linotype" w:cs="Tahoma"/>
          <w:b/>
        </w:rPr>
        <w:t>por cuanto hace al tema específico de las empresas encargadas de la instalación de botones de pánico, cámaras de seguridad y canalización con el Centro</w:t>
      </w:r>
      <w:r>
        <w:rPr>
          <w:rFonts w:ascii="Palatino Linotype" w:hAnsi="Palatino Linotype" w:cs="Tahoma"/>
          <w:b/>
        </w:rPr>
        <w:t xml:space="preserve"> de Control, </w:t>
      </w:r>
      <w:r w:rsidRPr="00D73A13">
        <w:rPr>
          <w:rFonts w:ascii="Palatino Linotype" w:hAnsi="Palatino Linotype" w:cs="Tahoma"/>
          <w:b/>
        </w:rPr>
        <w:t xml:space="preserve"> Comando</w:t>
      </w:r>
      <w:r>
        <w:rPr>
          <w:rFonts w:ascii="Palatino Linotype" w:hAnsi="Palatino Linotype" w:cs="Tahoma"/>
          <w:b/>
        </w:rPr>
        <w:t>, Comunicación, Cómputo y Calidad</w:t>
      </w:r>
      <w:r w:rsidRPr="00D73A13">
        <w:rPr>
          <w:rFonts w:ascii="Palatino Linotype" w:hAnsi="Palatino Linotype" w:cs="Tahoma"/>
          <w:b/>
        </w:rPr>
        <w:t xml:space="preserve"> de la Secretaría de Seguridad del Estado </w:t>
      </w:r>
      <w:r w:rsidRPr="00D73A13">
        <w:rPr>
          <w:rFonts w:ascii="Palatino Linotype" w:hAnsi="Palatino Linotype" w:cs="Tahoma"/>
          <w:b/>
        </w:rPr>
        <w:lastRenderedPageBreak/>
        <w:t>de México</w:t>
      </w:r>
      <w:r>
        <w:rPr>
          <w:rFonts w:ascii="Palatino Linotype" w:hAnsi="Palatino Linotype" w:cs="Tahoma"/>
        </w:rPr>
        <w:t>, en las unidades móviles utilizadas para el transporte de pasajeros, es de señalar que el Sujeto Obligado si tiene competencia para administrar documentos y/o información que debió haber sido ordenada en la Resolución emitida al Recurso de Revisi</w:t>
      </w:r>
      <w:r w:rsidR="00631A7C">
        <w:rPr>
          <w:rFonts w:ascii="Palatino Linotype" w:hAnsi="Palatino Linotype" w:cs="Tahoma"/>
        </w:rPr>
        <w:t>ón al rubro, lo anterior, toda vez que</w:t>
      </w:r>
      <w:r w:rsidR="00631A7C" w:rsidRPr="00631A7C">
        <w:rPr>
          <w:rFonts w:ascii="Palatino Linotype" w:hAnsi="Palatino Linotype" w:cs="Tahoma"/>
        </w:rPr>
        <w:t xml:space="preserve"> la propia Secretaría de Movilidad, en su página electrónica oficial, </w:t>
      </w:r>
      <w:r w:rsidR="00631A7C" w:rsidRPr="003F583D">
        <w:rPr>
          <w:rFonts w:ascii="Palatino Linotype" w:hAnsi="Palatino Linotype" w:cs="Tahoma"/>
          <w:color w:val="0070C0"/>
          <w:u w:val="single"/>
        </w:rPr>
        <w:t>http://smovilidad.edomex.gob.mx/transporte_rosa,</w:t>
      </w:r>
      <w:r w:rsidR="00631A7C" w:rsidRPr="003F583D">
        <w:rPr>
          <w:rFonts w:ascii="Palatino Linotype" w:hAnsi="Palatino Linotype" w:cs="Tahoma"/>
          <w:color w:val="0070C0"/>
        </w:rPr>
        <w:t xml:space="preserve">  </w:t>
      </w:r>
      <w:r w:rsidR="00631A7C" w:rsidRPr="00631A7C">
        <w:rPr>
          <w:rFonts w:ascii="Palatino Linotype" w:hAnsi="Palatino Linotype" w:cs="Tahoma"/>
        </w:rPr>
        <w:t xml:space="preserve">define al transporte rosa como </w:t>
      </w:r>
      <w:r w:rsidR="00631A7C">
        <w:rPr>
          <w:rFonts w:ascii="Palatino Linotype" w:hAnsi="Palatino Linotype" w:cs="Tahoma"/>
        </w:rPr>
        <w:t xml:space="preserve"> </w:t>
      </w:r>
      <w:r w:rsidR="00631A7C" w:rsidRPr="00631A7C">
        <w:rPr>
          <w:rFonts w:ascii="Palatino Linotype" w:hAnsi="Palatino Linotype" w:cs="Tahoma"/>
        </w:rPr>
        <w:t xml:space="preserve">“…un programa que ofrece seguridad, rapidez y eficiencia a todas sus usuarias, siendo un transporte exclusivo para mujeres en la modalidad de Transporte Masivo en el Estado de México.”, esto es, el programa al ser publicado en la página electrónica del Sujeto Obligado, se encuentra activo y es </w:t>
      </w:r>
      <w:r w:rsidR="00631A7C">
        <w:rPr>
          <w:rFonts w:ascii="Palatino Linotype" w:hAnsi="Palatino Linotype" w:cs="Tahoma"/>
        </w:rPr>
        <w:t>competencia del Sujeto Obligado; a</w:t>
      </w:r>
      <w:r w:rsidR="00631A7C" w:rsidRPr="00631A7C">
        <w:rPr>
          <w:rFonts w:ascii="Palatino Linotype" w:hAnsi="Palatino Linotype" w:cs="Tahoma"/>
        </w:rPr>
        <w:t>sí, el Sujeto Obligado, contempla el “Transporte rosa”, como uno de los programas para erradicar la violencia de Género, al utilizar autobuses</w:t>
      </w:r>
      <w:r w:rsidR="00631A7C">
        <w:rPr>
          <w:rFonts w:ascii="Palatino Linotype" w:hAnsi="Palatino Linotype" w:cs="Tahoma"/>
        </w:rPr>
        <w:t xml:space="preserve">. </w:t>
      </w:r>
    </w:p>
    <w:p w14:paraId="41B7DF9D" w14:textId="77777777" w:rsidR="00631A7C" w:rsidRDefault="00631A7C" w:rsidP="00D73A13">
      <w:pPr>
        <w:spacing w:after="0" w:line="360" w:lineRule="auto"/>
        <w:jc w:val="both"/>
        <w:rPr>
          <w:rFonts w:ascii="Palatino Linotype" w:hAnsi="Palatino Linotype" w:cs="Tahoma"/>
        </w:rPr>
      </w:pPr>
    </w:p>
    <w:p w14:paraId="1EF719E3" w14:textId="77777777" w:rsidR="00631A7C" w:rsidRDefault="00631A7C" w:rsidP="00631A7C">
      <w:pPr>
        <w:spacing w:after="0" w:line="360" w:lineRule="auto"/>
        <w:ind w:right="-150"/>
        <w:jc w:val="both"/>
        <w:textAlignment w:val="baseline"/>
        <w:rPr>
          <w:rFonts w:ascii="Palatino Linotype" w:eastAsia="Times New Roman" w:hAnsi="Palatino Linotype" w:cs="Segoe UI"/>
          <w:b/>
          <w:bCs/>
          <w:i/>
          <w:iCs/>
          <w:lang w:eastAsia="es-MX"/>
        </w:rPr>
      </w:pPr>
      <w:r w:rsidRPr="00631A7C">
        <w:rPr>
          <w:rFonts w:ascii="Palatino Linotype" w:eastAsia="Times New Roman" w:hAnsi="Palatino Linotype" w:cs="Segoe UI"/>
          <w:lang w:eastAsia="es-MX"/>
        </w:rPr>
        <w:t>Ahora bien, en el propio Manual, contempla que las Direcciones Generales (Zonas I, II, III y IV), tienen la función de “</w:t>
      </w:r>
      <w:r w:rsidRPr="00631A7C">
        <w:rPr>
          <w:rFonts w:ascii="Palatino Linotype" w:eastAsia="Times New Roman" w:hAnsi="Palatino Linotype" w:cs="Segoe UI"/>
          <w:b/>
          <w:bCs/>
          <w:i/>
          <w:iCs/>
          <w:lang w:eastAsia="es-MX"/>
        </w:rPr>
        <w:t>Promover la instrumentación de programas y proyectos estratégicos</w:t>
      </w:r>
      <w:r w:rsidRPr="00631A7C">
        <w:rPr>
          <w:rFonts w:ascii="Palatino Linotype" w:eastAsia="Times New Roman" w:hAnsi="Palatino Linotype" w:cs="Segoe UI"/>
          <w:i/>
          <w:iCs/>
          <w:lang w:eastAsia="es-MX"/>
        </w:rPr>
        <w:t xml:space="preserve"> que permitan mejorar las condiciones en que se realizan los desplazamientos, eficientar la operación y prestación del servicio público de transporte, en sus diversas modalidades, </w:t>
      </w:r>
      <w:r w:rsidRPr="00631A7C">
        <w:rPr>
          <w:rFonts w:ascii="Palatino Linotype" w:eastAsia="Times New Roman" w:hAnsi="Palatino Linotype" w:cs="Segoe UI"/>
          <w:b/>
          <w:bCs/>
          <w:i/>
          <w:iCs/>
          <w:lang w:eastAsia="es-MX"/>
        </w:rPr>
        <w:t>así como la implementación de corredores de mediana capacidad promoviendo el derecho humano de la movilidad, la equidad de género, el combate a la violencia en contra de las mujeres, adolescentes, niñas y niños, y cualquier tipo de discriminación.”</w:t>
      </w:r>
    </w:p>
    <w:p w14:paraId="1D86F111" w14:textId="77777777" w:rsidR="00631A7C" w:rsidRPr="00631A7C" w:rsidRDefault="00631A7C" w:rsidP="00631A7C">
      <w:pPr>
        <w:spacing w:after="0" w:line="360" w:lineRule="auto"/>
        <w:ind w:right="-150"/>
        <w:jc w:val="both"/>
        <w:textAlignment w:val="baseline"/>
        <w:rPr>
          <w:rFonts w:ascii="Palatino Linotype" w:eastAsia="Times New Roman" w:hAnsi="Palatino Linotype" w:cs="Segoe UI"/>
          <w:b/>
          <w:bCs/>
          <w:i/>
          <w:iCs/>
          <w:lang w:eastAsia="es-MX"/>
        </w:rPr>
      </w:pPr>
    </w:p>
    <w:p w14:paraId="78513AC5" w14:textId="77777777" w:rsidR="00631A7C" w:rsidRPr="00631A7C" w:rsidRDefault="00631A7C" w:rsidP="00631A7C">
      <w:pPr>
        <w:spacing w:after="0" w:line="360" w:lineRule="auto"/>
        <w:ind w:right="-150"/>
        <w:jc w:val="both"/>
        <w:textAlignment w:val="baseline"/>
        <w:rPr>
          <w:rFonts w:ascii="Palatino Linotype" w:eastAsia="Times New Roman" w:hAnsi="Palatino Linotype" w:cs="Segoe UI"/>
          <w:lang w:eastAsia="es-MX"/>
        </w:rPr>
      </w:pPr>
      <w:r w:rsidRPr="00631A7C">
        <w:rPr>
          <w:rFonts w:ascii="Palatino Linotype" w:eastAsia="Times New Roman" w:hAnsi="Palatino Linotype" w:cs="Segoe UI"/>
          <w:iCs/>
          <w:lang w:eastAsia="es-MX"/>
        </w:rPr>
        <w:t xml:space="preserve">Aunado a lo anterior, </w:t>
      </w:r>
      <w:r w:rsidRPr="00631A7C">
        <w:rPr>
          <w:rFonts w:ascii="Palatino Linotype" w:eastAsia="Times New Roman" w:hAnsi="Palatino Linotype" w:cs="Segoe UI"/>
          <w:lang w:eastAsia="es-MX"/>
        </w:rPr>
        <w:t>se encontró fuente obligacional, a través del “ACUERDO DEL SECRETARIO DE TRANSPORTE POR EL QUE SE DA A CONOCER LA NORMA TÉCNICA DE LOS SERVICIOS DE TAXI SEGURO Y TAXI ROSA CON ENLACE A UN CENTRO DE MONITOREO CON EL SERVICIO DE ATENCION A LLAMADAS DE EMERGENCIA 0-6-6”, publicado en el Periódico Oficial del Gobierno del Estado Libre y Soberano de México “Gaceta del Gobierno”, del catorce de abril de dos mil catorce, que contempla en sus disposiciones segunda y tercera, lo siguiente:</w:t>
      </w:r>
    </w:p>
    <w:p w14:paraId="5F489645" w14:textId="77777777" w:rsidR="00631A7C" w:rsidRPr="00631A7C" w:rsidRDefault="00631A7C" w:rsidP="00631A7C">
      <w:pPr>
        <w:spacing w:after="0" w:line="360" w:lineRule="auto"/>
        <w:ind w:right="-150"/>
        <w:textAlignment w:val="baseline"/>
        <w:rPr>
          <w:rFonts w:ascii="Palatino Linotype" w:eastAsia="Times New Roman" w:hAnsi="Palatino Linotype" w:cs="Segoe UI"/>
          <w:lang w:eastAsia="es-MX"/>
        </w:rPr>
      </w:pPr>
    </w:p>
    <w:p w14:paraId="7EB9B4E5" w14:textId="77777777" w:rsidR="00631A7C" w:rsidRPr="00631A7C" w:rsidRDefault="00631A7C" w:rsidP="00631A7C">
      <w:pPr>
        <w:spacing w:after="0" w:line="360" w:lineRule="auto"/>
        <w:ind w:left="567" w:right="616"/>
        <w:jc w:val="both"/>
        <w:textAlignment w:val="baseline"/>
        <w:rPr>
          <w:rFonts w:ascii="Palatino Linotype" w:eastAsia="Times New Roman" w:hAnsi="Palatino Linotype" w:cs="Segoe UI"/>
          <w:i/>
          <w:iCs/>
          <w:sz w:val="20"/>
          <w:lang w:eastAsia="es-MX"/>
        </w:rPr>
      </w:pPr>
      <w:r w:rsidRPr="00631A7C">
        <w:rPr>
          <w:rFonts w:ascii="Palatino Linotype" w:eastAsia="Times New Roman" w:hAnsi="Palatino Linotype" w:cs="Segoe UI"/>
          <w:b/>
          <w:i/>
          <w:iCs/>
          <w:sz w:val="20"/>
          <w:lang w:eastAsia="es-MX"/>
        </w:rPr>
        <w:lastRenderedPageBreak/>
        <w:t>SEGUNDA</w:t>
      </w:r>
      <w:r w:rsidRPr="00631A7C">
        <w:rPr>
          <w:rFonts w:ascii="Palatino Linotype" w:eastAsia="Times New Roman" w:hAnsi="Palatino Linotype" w:cs="Segoe UI"/>
          <w:i/>
          <w:iCs/>
          <w:sz w:val="20"/>
          <w:lang w:eastAsia="es-MX"/>
        </w:rPr>
        <w:t>. Las personas jurídicas colectivas concesionarias del transporte público del Estado de México, que prestan el servicio discrecional de pasaje en la modalidad individual de automóvil de alquiler en sus variantes de sitio y radio servicio, deberán solicitar la autorización correspondiente, mediante petición por escrito al Director General de Operación del Transporte de la zona donde preste el servicio, con copia a la Subsecretaría de Operación del Transporte, la Dirección General del Registro del Transporte Público y al Instituto del Transporte del Estado de México, a partir de la fecha de publicación del presente Acuerdo.</w:t>
      </w:r>
    </w:p>
    <w:p w14:paraId="355DC19C" w14:textId="77777777" w:rsidR="00631A7C" w:rsidRPr="00631A7C" w:rsidRDefault="00631A7C" w:rsidP="00631A7C">
      <w:pPr>
        <w:spacing w:after="0" w:line="360" w:lineRule="auto"/>
        <w:ind w:left="567" w:right="616"/>
        <w:jc w:val="both"/>
        <w:textAlignment w:val="baseline"/>
        <w:rPr>
          <w:rFonts w:ascii="Palatino Linotype" w:eastAsia="Times New Roman" w:hAnsi="Palatino Linotype" w:cs="Segoe UI"/>
          <w:i/>
          <w:iCs/>
          <w:sz w:val="20"/>
          <w:lang w:eastAsia="es-MX"/>
        </w:rPr>
      </w:pPr>
    </w:p>
    <w:p w14:paraId="68D9406E" w14:textId="77777777" w:rsidR="00631A7C" w:rsidRDefault="00631A7C" w:rsidP="00631A7C">
      <w:pPr>
        <w:spacing w:after="0" w:line="360" w:lineRule="auto"/>
        <w:ind w:left="567" w:right="616"/>
        <w:jc w:val="both"/>
        <w:textAlignment w:val="baseline"/>
        <w:rPr>
          <w:rFonts w:ascii="Palatino Linotype" w:eastAsia="Times New Roman" w:hAnsi="Palatino Linotype" w:cs="Segoe UI"/>
          <w:i/>
          <w:iCs/>
          <w:sz w:val="20"/>
          <w:lang w:eastAsia="es-MX"/>
        </w:rPr>
      </w:pPr>
      <w:r w:rsidRPr="003F583D">
        <w:rPr>
          <w:rFonts w:ascii="Palatino Linotype" w:eastAsia="Times New Roman" w:hAnsi="Palatino Linotype" w:cs="Segoe UI"/>
          <w:b/>
          <w:i/>
          <w:iCs/>
          <w:sz w:val="20"/>
          <w:lang w:eastAsia="es-MX"/>
        </w:rPr>
        <w:t>TERCERA</w:t>
      </w:r>
      <w:r w:rsidRPr="00631A7C">
        <w:rPr>
          <w:rFonts w:ascii="Palatino Linotype" w:eastAsia="Times New Roman" w:hAnsi="Palatino Linotype" w:cs="Segoe UI"/>
          <w:i/>
          <w:iCs/>
          <w:sz w:val="20"/>
          <w:lang w:eastAsia="es-MX"/>
        </w:rPr>
        <w:t>. Los concesionarios que soliciten la autorización para la prestación del servicio de taxi seguro y taxi rosa, deberán anexar los documentos siguientes:</w:t>
      </w:r>
    </w:p>
    <w:p w14:paraId="038B3021" w14:textId="77777777" w:rsidR="003F583D" w:rsidRPr="00631A7C" w:rsidRDefault="003F583D" w:rsidP="00631A7C">
      <w:pPr>
        <w:spacing w:after="0" w:line="360" w:lineRule="auto"/>
        <w:ind w:left="567" w:right="616"/>
        <w:jc w:val="both"/>
        <w:textAlignment w:val="baseline"/>
        <w:rPr>
          <w:rFonts w:ascii="Palatino Linotype" w:eastAsia="Times New Roman" w:hAnsi="Palatino Linotype" w:cs="Segoe UI"/>
          <w:i/>
          <w:iCs/>
          <w:sz w:val="20"/>
          <w:lang w:eastAsia="es-MX"/>
        </w:rPr>
      </w:pPr>
    </w:p>
    <w:p w14:paraId="7189B617" w14:textId="77777777" w:rsidR="00631A7C" w:rsidRPr="00631A7C" w:rsidRDefault="00631A7C" w:rsidP="003F583D">
      <w:pPr>
        <w:pStyle w:val="Prrafodelista"/>
        <w:numPr>
          <w:ilvl w:val="0"/>
          <w:numId w:val="1"/>
        </w:numPr>
        <w:spacing w:line="360" w:lineRule="auto"/>
        <w:ind w:right="616"/>
        <w:jc w:val="both"/>
        <w:textAlignment w:val="baseline"/>
        <w:rPr>
          <w:rFonts w:ascii="Palatino Linotype" w:hAnsi="Palatino Linotype" w:cs="Segoe UI"/>
          <w:b/>
          <w:bCs/>
          <w:i/>
          <w:iCs/>
          <w:sz w:val="20"/>
          <w:szCs w:val="22"/>
          <w:lang w:val="es-ES" w:eastAsia="es-MX"/>
        </w:rPr>
      </w:pPr>
      <w:r w:rsidRPr="00631A7C">
        <w:rPr>
          <w:rFonts w:ascii="Palatino Linotype" w:hAnsi="Palatino Linotype" w:cs="Segoe UI"/>
          <w:b/>
          <w:bCs/>
          <w:i/>
          <w:iCs/>
          <w:sz w:val="20"/>
          <w:szCs w:val="22"/>
          <w:lang w:val="es-ES" w:eastAsia="es-MX"/>
        </w:rPr>
        <w:t>Acta Constitutiva.</w:t>
      </w:r>
    </w:p>
    <w:p w14:paraId="4B1B9368" w14:textId="77777777" w:rsidR="00631A7C" w:rsidRPr="00631A7C" w:rsidRDefault="00631A7C" w:rsidP="003F583D">
      <w:pPr>
        <w:pStyle w:val="Prrafodelista"/>
        <w:numPr>
          <w:ilvl w:val="0"/>
          <w:numId w:val="1"/>
        </w:numPr>
        <w:spacing w:line="360" w:lineRule="auto"/>
        <w:ind w:right="616"/>
        <w:jc w:val="both"/>
        <w:textAlignment w:val="baseline"/>
        <w:rPr>
          <w:rFonts w:ascii="Palatino Linotype" w:hAnsi="Palatino Linotype" w:cs="Segoe UI"/>
          <w:i/>
          <w:iCs/>
          <w:sz w:val="20"/>
          <w:szCs w:val="22"/>
          <w:lang w:val="es-ES" w:eastAsia="es-MX"/>
        </w:rPr>
      </w:pPr>
      <w:r w:rsidRPr="00631A7C">
        <w:rPr>
          <w:rFonts w:ascii="Palatino Linotype" w:hAnsi="Palatino Linotype" w:cs="Segoe UI"/>
          <w:i/>
          <w:iCs/>
          <w:sz w:val="20"/>
          <w:szCs w:val="22"/>
          <w:lang w:val="es-ES" w:eastAsia="es-MX"/>
        </w:rPr>
        <w:t>Padrón de las concesiones que prestarán el servicio de Transporte Seguro o Taxi Rosa, especificando:</w:t>
      </w:r>
    </w:p>
    <w:p w14:paraId="7BF2CAC7" w14:textId="77777777" w:rsidR="00631A7C" w:rsidRPr="00631A7C" w:rsidRDefault="00631A7C" w:rsidP="003F583D">
      <w:pPr>
        <w:pStyle w:val="Prrafodelista"/>
        <w:numPr>
          <w:ilvl w:val="1"/>
          <w:numId w:val="1"/>
        </w:numPr>
        <w:spacing w:line="360" w:lineRule="auto"/>
        <w:ind w:left="927" w:right="616"/>
        <w:jc w:val="both"/>
        <w:textAlignment w:val="baseline"/>
        <w:rPr>
          <w:rFonts w:ascii="Palatino Linotype" w:hAnsi="Palatino Linotype" w:cs="Segoe UI"/>
          <w:i/>
          <w:iCs/>
          <w:sz w:val="20"/>
          <w:szCs w:val="22"/>
          <w:lang w:val="es-ES" w:eastAsia="es-MX"/>
        </w:rPr>
      </w:pPr>
      <w:r w:rsidRPr="00631A7C">
        <w:rPr>
          <w:rFonts w:ascii="Palatino Linotype" w:hAnsi="Palatino Linotype" w:cs="Segoe UI"/>
          <w:i/>
          <w:iCs/>
          <w:sz w:val="20"/>
          <w:szCs w:val="22"/>
          <w:lang w:val="es-ES" w:eastAsia="es-MX"/>
        </w:rPr>
        <w:t>Clave de concesión;</w:t>
      </w:r>
    </w:p>
    <w:p w14:paraId="2C5A37DE" w14:textId="77777777" w:rsidR="00631A7C" w:rsidRPr="00631A7C" w:rsidRDefault="00631A7C" w:rsidP="003F583D">
      <w:pPr>
        <w:pStyle w:val="Prrafodelista"/>
        <w:numPr>
          <w:ilvl w:val="1"/>
          <w:numId w:val="1"/>
        </w:numPr>
        <w:spacing w:line="360" w:lineRule="auto"/>
        <w:ind w:left="927" w:right="616"/>
        <w:jc w:val="both"/>
        <w:textAlignment w:val="baseline"/>
        <w:rPr>
          <w:rFonts w:ascii="Palatino Linotype" w:hAnsi="Palatino Linotype" w:cs="Segoe UI"/>
          <w:b/>
          <w:bCs/>
          <w:i/>
          <w:iCs/>
          <w:sz w:val="20"/>
          <w:szCs w:val="22"/>
          <w:lang w:val="es-ES" w:eastAsia="es-MX"/>
        </w:rPr>
      </w:pPr>
      <w:r w:rsidRPr="00631A7C">
        <w:rPr>
          <w:rFonts w:ascii="Palatino Linotype" w:hAnsi="Palatino Linotype" w:cs="Segoe UI"/>
          <w:b/>
          <w:bCs/>
          <w:i/>
          <w:iCs/>
          <w:sz w:val="20"/>
          <w:szCs w:val="22"/>
          <w:lang w:val="es-ES" w:eastAsia="es-MX"/>
        </w:rPr>
        <w:t>Placa;</w:t>
      </w:r>
    </w:p>
    <w:p w14:paraId="1C1E17FE" w14:textId="77777777" w:rsidR="00631A7C" w:rsidRPr="00631A7C" w:rsidRDefault="00631A7C" w:rsidP="003F583D">
      <w:pPr>
        <w:pStyle w:val="Prrafodelista"/>
        <w:numPr>
          <w:ilvl w:val="1"/>
          <w:numId w:val="1"/>
        </w:numPr>
        <w:spacing w:line="360" w:lineRule="auto"/>
        <w:ind w:left="927" w:right="616"/>
        <w:jc w:val="both"/>
        <w:textAlignment w:val="baseline"/>
        <w:rPr>
          <w:rFonts w:ascii="Palatino Linotype" w:hAnsi="Palatino Linotype" w:cs="Segoe UI"/>
          <w:b/>
          <w:bCs/>
          <w:i/>
          <w:iCs/>
          <w:sz w:val="20"/>
          <w:szCs w:val="22"/>
          <w:lang w:val="es-ES" w:eastAsia="es-MX"/>
        </w:rPr>
      </w:pPr>
      <w:r w:rsidRPr="00631A7C">
        <w:rPr>
          <w:rFonts w:ascii="Palatino Linotype" w:hAnsi="Palatino Linotype" w:cs="Segoe UI"/>
          <w:b/>
          <w:bCs/>
          <w:i/>
          <w:iCs/>
          <w:sz w:val="20"/>
          <w:szCs w:val="22"/>
          <w:lang w:val="es-ES" w:eastAsia="es-MX"/>
        </w:rPr>
        <w:t>Datos del vehículo de autorización; y</w:t>
      </w:r>
    </w:p>
    <w:p w14:paraId="498B24AB" w14:textId="77777777" w:rsidR="00631A7C" w:rsidRPr="00631A7C" w:rsidRDefault="00631A7C" w:rsidP="003F583D">
      <w:pPr>
        <w:pStyle w:val="Prrafodelista"/>
        <w:numPr>
          <w:ilvl w:val="1"/>
          <w:numId w:val="1"/>
        </w:numPr>
        <w:spacing w:line="360" w:lineRule="auto"/>
        <w:ind w:left="927" w:right="616"/>
        <w:jc w:val="both"/>
        <w:textAlignment w:val="baseline"/>
        <w:rPr>
          <w:rFonts w:ascii="Palatino Linotype" w:hAnsi="Palatino Linotype" w:cs="Segoe UI"/>
          <w:i/>
          <w:iCs/>
          <w:sz w:val="20"/>
          <w:szCs w:val="22"/>
          <w:lang w:val="es-ES" w:eastAsia="es-MX"/>
        </w:rPr>
      </w:pPr>
      <w:r w:rsidRPr="00631A7C">
        <w:rPr>
          <w:rFonts w:ascii="Palatino Linotype" w:hAnsi="Palatino Linotype" w:cs="Segoe UI"/>
          <w:i/>
          <w:iCs/>
          <w:sz w:val="20"/>
          <w:szCs w:val="22"/>
          <w:lang w:val="es-ES" w:eastAsia="es-MX"/>
        </w:rPr>
        <w:t>Vigencia de la concesión.</w:t>
      </w:r>
    </w:p>
    <w:p w14:paraId="7A0A9334" w14:textId="77777777" w:rsidR="00631A7C" w:rsidRPr="00631A7C" w:rsidRDefault="00631A7C" w:rsidP="003F583D">
      <w:pPr>
        <w:pStyle w:val="Prrafodelista"/>
        <w:numPr>
          <w:ilvl w:val="0"/>
          <w:numId w:val="1"/>
        </w:numPr>
        <w:spacing w:line="360" w:lineRule="auto"/>
        <w:ind w:right="616"/>
        <w:jc w:val="both"/>
        <w:textAlignment w:val="baseline"/>
        <w:rPr>
          <w:rFonts w:ascii="Palatino Linotype" w:hAnsi="Palatino Linotype" w:cs="Segoe UI"/>
          <w:i/>
          <w:iCs/>
          <w:sz w:val="20"/>
          <w:szCs w:val="22"/>
          <w:lang w:val="es-ES" w:eastAsia="es-MX"/>
        </w:rPr>
      </w:pPr>
      <w:r w:rsidRPr="00631A7C">
        <w:rPr>
          <w:rFonts w:ascii="Palatino Linotype" w:hAnsi="Palatino Linotype" w:cs="Segoe UI"/>
          <w:i/>
          <w:iCs/>
          <w:sz w:val="20"/>
          <w:szCs w:val="22"/>
          <w:lang w:val="es-ES" w:eastAsia="es-MX"/>
        </w:rPr>
        <w:t>Padrón de operadores con número de licencia y tarjeta de identificación personal del operador.</w:t>
      </w:r>
    </w:p>
    <w:p w14:paraId="02BE1EFE" w14:textId="77777777" w:rsidR="00631A7C" w:rsidRDefault="00631A7C" w:rsidP="003F583D">
      <w:pPr>
        <w:pStyle w:val="Prrafodelista"/>
        <w:numPr>
          <w:ilvl w:val="0"/>
          <w:numId w:val="1"/>
        </w:numPr>
        <w:spacing w:line="360" w:lineRule="auto"/>
        <w:ind w:right="616"/>
        <w:jc w:val="both"/>
        <w:textAlignment w:val="baseline"/>
        <w:rPr>
          <w:rFonts w:ascii="Palatino Linotype" w:hAnsi="Palatino Linotype" w:cs="Segoe UI"/>
          <w:i/>
          <w:iCs/>
          <w:sz w:val="20"/>
          <w:szCs w:val="22"/>
          <w:lang w:val="es-ES" w:eastAsia="es-MX"/>
        </w:rPr>
      </w:pPr>
      <w:r w:rsidRPr="00631A7C">
        <w:rPr>
          <w:rFonts w:ascii="Palatino Linotype" w:hAnsi="Palatino Linotype" w:cs="Segoe UI"/>
          <w:i/>
          <w:iCs/>
          <w:sz w:val="20"/>
          <w:szCs w:val="22"/>
          <w:lang w:val="es-ES" w:eastAsia="es-MX"/>
        </w:rPr>
        <w:t>Carta del concesionario nombrando a la empresa que le brindará el servicio de los sistemas seguridad.</w:t>
      </w:r>
    </w:p>
    <w:p w14:paraId="0DC20DAD" w14:textId="77777777" w:rsidR="003F583D" w:rsidRPr="00631A7C" w:rsidRDefault="003F583D" w:rsidP="003F583D">
      <w:pPr>
        <w:pStyle w:val="Prrafodelista"/>
        <w:spacing w:line="360" w:lineRule="auto"/>
        <w:ind w:left="927" w:right="616"/>
        <w:jc w:val="both"/>
        <w:textAlignment w:val="baseline"/>
        <w:rPr>
          <w:rFonts w:ascii="Palatino Linotype" w:hAnsi="Palatino Linotype" w:cs="Segoe UI"/>
          <w:i/>
          <w:iCs/>
          <w:sz w:val="20"/>
          <w:szCs w:val="22"/>
          <w:lang w:val="es-ES" w:eastAsia="es-MX"/>
        </w:rPr>
      </w:pPr>
    </w:p>
    <w:p w14:paraId="52B7955E" w14:textId="77777777" w:rsidR="00631A7C" w:rsidRPr="00631A7C" w:rsidRDefault="00631A7C" w:rsidP="00631A7C">
      <w:pPr>
        <w:spacing w:after="0" w:line="360" w:lineRule="auto"/>
        <w:ind w:left="567" w:right="616"/>
        <w:jc w:val="both"/>
        <w:textAlignment w:val="baseline"/>
        <w:rPr>
          <w:rFonts w:ascii="Palatino Linotype" w:hAnsi="Palatino Linotype" w:cs="Segoe UI"/>
          <w:i/>
          <w:iCs/>
          <w:sz w:val="20"/>
          <w:lang w:eastAsia="es-MX"/>
        </w:rPr>
      </w:pPr>
      <w:r w:rsidRPr="00631A7C">
        <w:rPr>
          <w:rFonts w:ascii="Palatino Linotype" w:hAnsi="Palatino Linotype" w:cs="Segoe UI"/>
          <w:i/>
          <w:iCs/>
          <w:sz w:val="20"/>
          <w:lang w:eastAsia="es-MX"/>
        </w:rPr>
        <w:t>Todos los cambios en el padrón de vehículos u operadores deberán hacerse de conocimiento de la Dirección General del Registro de Transporte Público.</w:t>
      </w:r>
    </w:p>
    <w:p w14:paraId="67EA1F99" w14:textId="77777777" w:rsidR="00631A7C" w:rsidRPr="00631A7C" w:rsidRDefault="00631A7C" w:rsidP="00631A7C">
      <w:pPr>
        <w:spacing w:after="0" w:line="360" w:lineRule="auto"/>
        <w:ind w:left="567" w:right="616"/>
        <w:jc w:val="both"/>
        <w:textAlignment w:val="baseline"/>
        <w:rPr>
          <w:rFonts w:ascii="Palatino Linotype" w:hAnsi="Palatino Linotype" w:cs="Segoe UI"/>
          <w:i/>
          <w:iCs/>
          <w:sz w:val="20"/>
          <w:lang w:eastAsia="es-MX"/>
        </w:rPr>
      </w:pPr>
    </w:p>
    <w:p w14:paraId="1BCB295E" w14:textId="77777777" w:rsidR="00631A7C" w:rsidRDefault="00631A7C" w:rsidP="00631A7C">
      <w:pPr>
        <w:spacing w:after="0" w:line="360" w:lineRule="auto"/>
        <w:ind w:left="567" w:right="616"/>
        <w:jc w:val="both"/>
        <w:textAlignment w:val="baseline"/>
        <w:rPr>
          <w:rFonts w:ascii="Palatino Linotype" w:hAnsi="Palatino Linotype" w:cs="Segoe UI"/>
          <w:i/>
          <w:iCs/>
          <w:sz w:val="20"/>
          <w:lang w:eastAsia="es-MX"/>
        </w:rPr>
      </w:pPr>
      <w:r w:rsidRPr="003F583D">
        <w:rPr>
          <w:rFonts w:ascii="Palatino Linotype" w:hAnsi="Palatino Linotype" w:cs="Segoe UI"/>
          <w:b/>
          <w:i/>
          <w:iCs/>
          <w:sz w:val="20"/>
          <w:lang w:eastAsia="es-MX"/>
        </w:rPr>
        <w:t>NOVENA</w:t>
      </w:r>
      <w:r w:rsidRPr="00631A7C">
        <w:rPr>
          <w:rFonts w:ascii="Palatino Linotype" w:hAnsi="Palatino Linotype" w:cs="Segoe UI"/>
          <w:i/>
          <w:iCs/>
          <w:sz w:val="20"/>
          <w:lang w:eastAsia="es-MX"/>
        </w:rPr>
        <w:t>. Las personas jurídicas colectivas concesionarias que cumplan con la Norma Técnica y que reciban una autorización para operar como Taxi Seguro o Taxi Rosa, deberán cumplir con los requisitos siguientes:</w:t>
      </w:r>
    </w:p>
    <w:p w14:paraId="42604D88" w14:textId="77777777" w:rsidR="003F583D" w:rsidRPr="00631A7C" w:rsidRDefault="003F583D" w:rsidP="00631A7C">
      <w:pPr>
        <w:spacing w:after="0" w:line="360" w:lineRule="auto"/>
        <w:ind w:left="567" w:right="616"/>
        <w:jc w:val="both"/>
        <w:textAlignment w:val="baseline"/>
        <w:rPr>
          <w:rFonts w:ascii="Palatino Linotype" w:hAnsi="Palatino Linotype" w:cs="Segoe UI"/>
          <w:i/>
          <w:iCs/>
          <w:sz w:val="20"/>
          <w:lang w:eastAsia="es-MX"/>
        </w:rPr>
      </w:pPr>
    </w:p>
    <w:p w14:paraId="5BFECD7E" w14:textId="77777777" w:rsidR="00631A7C" w:rsidRPr="00631A7C" w:rsidRDefault="00631A7C" w:rsidP="00631A7C">
      <w:pPr>
        <w:spacing w:after="0" w:line="360" w:lineRule="auto"/>
        <w:ind w:left="567" w:right="616"/>
        <w:jc w:val="both"/>
        <w:textAlignment w:val="baseline"/>
        <w:rPr>
          <w:rFonts w:ascii="Palatino Linotype" w:hAnsi="Palatino Linotype" w:cs="Segoe UI"/>
          <w:b/>
          <w:bCs/>
          <w:i/>
          <w:iCs/>
          <w:sz w:val="20"/>
          <w:lang w:eastAsia="es-MX"/>
        </w:rPr>
      </w:pPr>
      <w:r w:rsidRPr="00631A7C">
        <w:rPr>
          <w:rFonts w:ascii="Palatino Linotype" w:hAnsi="Palatino Linotype" w:cs="Segoe UI"/>
          <w:b/>
          <w:bCs/>
          <w:i/>
          <w:iCs/>
          <w:sz w:val="20"/>
          <w:lang w:eastAsia="es-MX"/>
        </w:rPr>
        <w:lastRenderedPageBreak/>
        <w:t>- Contar y operar un sistema de geolocalización, videovigilancia y botón de pánico, enlazados a la empresa autorizada, quien canalizará la información de las emergencias previamente validadas al Centro de Mando y Comunicación de la SSC;</w:t>
      </w:r>
    </w:p>
    <w:p w14:paraId="591E4C83" w14:textId="77777777" w:rsidR="00631A7C" w:rsidRPr="00631A7C" w:rsidRDefault="00631A7C" w:rsidP="00631A7C">
      <w:pPr>
        <w:spacing w:after="0" w:line="360" w:lineRule="auto"/>
        <w:ind w:left="567" w:right="616"/>
        <w:jc w:val="both"/>
        <w:textAlignment w:val="baseline"/>
        <w:rPr>
          <w:rFonts w:ascii="Palatino Linotype" w:hAnsi="Palatino Linotype" w:cs="Segoe UI"/>
          <w:i/>
          <w:iCs/>
          <w:sz w:val="20"/>
          <w:lang w:eastAsia="es-MX"/>
        </w:rPr>
      </w:pPr>
      <w:r w:rsidRPr="00631A7C">
        <w:rPr>
          <w:rFonts w:ascii="Palatino Linotype" w:hAnsi="Palatino Linotype" w:cs="Segoe UI"/>
          <w:i/>
          <w:iCs/>
          <w:sz w:val="20"/>
          <w:lang w:eastAsia="es-MX"/>
        </w:rPr>
        <w:t>- Tener un centro de control y monitoreo de flota, en el cual se realizará el monitoreo de las unidades de manera remota;</w:t>
      </w:r>
    </w:p>
    <w:p w14:paraId="7A6A3373" w14:textId="77777777" w:rsidR="00631A7C" w:rsidRPr="00631A7C" w:rsidRDefault="00631A7C" w:rsidP="00631A7C">
      <w:pPr>
        <w:spacing w:after="0" w:line="360" w:lineRule="auto"/>
        <w:ind w:left="567" w:right="616"/>
        <w:jc w:val="both"/>
        <w:textAlignment w:val="baseline"/>
        <w:rPr>
          <w:rFonts w:ascii="Palatino Linotype" w:hAnsi="Palatino Linotype" w:cs="Segoe UI"/>
          <w:i/>
          <w:iCs/>
          <w:sz w:val="20"/>
          <w:lang w:eastAsia="es-MX"/>
        </w:rPr>
      </w:pPr>
      <w:r w:rsidRPr="00631A7C">
        <w:rPr>
          <w:rFonts w:ascii="Palatino Linotype" w:hAnsi="Palatino Linotype" w:cs="Segoe UI"/>
          <w:i/>
          <w:iCs/>
          <w:sz w:val="20"/>
          <w:lang w:eastAsia="es-MX"/>
        </w:rPr>
        <w:t>- El sistema permitirá al Centro de Mando y Comunicación obtener la información de los sistemas de los centros de monitoreo bajo demanda;</w:t>
      </w:r>
    </w:p>
    <w:p w14:paraId="5744B844" w14:textId="77777777" w:rsidR="00631A7C" w:rsidRPr="00631A7C" w:rsidRDefault="00631A7C" w:rsidP="00631A7C">
      <w:pPr>
        <w:spacing w:after="0" w:line="360" w:lineRule="auto"/>
        <w:ind w:left="567" w:right="616"/>
        <w:jc w:val="both"/>
        <w:textAlignment w:val="baseline"/>
        <w:rPr>
          <w:rFonts w:ascii="Palatino Linotype" w:hAnsi="Palatino Linotype" w:cs="Segoe UI"/>
          <w:i/>
          <w:iCs/>
          <w:sz w:val="20"/>
          <w:lang w:eastAsia="es-MX"/>
        </w:rPr>
      </w:pPr>
      <w:r w:rsidRPr="00631A7C">
        <w:rPr>
          <w:rFonts w:ascii="Palatino Linotype" w:hAnsi="Palatino Linotype" w:cs="Segoe UI"/>
          <w:i/>
          <w:iCs/>
          <w:sz w:val="20"/>
          <w:lang w:eastAsia="es-MX"/>
        </w:rPr>
        <w:t>- Contar con un número de atención telefónica, de preferencia lada sin costo 01 800 y/o un portal web para solicitar la prestación del servicio transporte seguro y taxi rosa;</w:t>
      </w:r>
    </w:p>
    <w:p w14:paraId="025DDB5A" w14:textId="77777777" w:rsidR="00631A7C" w:rsidRPr="00631A7C" w:rsidRDefault="00631A7C" w:rsidP="00631A7C">
      <w:pPr>
        <w:spacing w:after="0" w:line="360" w:lineRule="auto"/>
        <w:ind w:left="567" w:right="616"/>
        <w:jc w:val="both"/>
        <w:textAlignment w:val="baseline"/>
        <w:rPr>
          <w:rFonts w:ascii="Palatino Linotype" w:hAnsi="Palatino Linotype" w:cs="Segoe UI"/>
          <w:i/>
          <w:iCs/>
          <w:sz w:val="20"/>
          <w:lang w:eastAsia="es-MX"/>
        </w:rPr>
      </w:pPr>
      <w:r w:rsidRPr="00631A7C">
        <w:rPr>
          <w:rFonts w:ascii="Palatino Linotype" w:hAnsi="Palatino Linotype" w:cs="Segoe UI"/>
          <w:i/>
          <w:iCs/>
          <w:sz w:val="20"/>
          <w:lang w:eastAsia="es-MX"/>
        </w:rPr>
        <w:t>- Desarrollar aplicaciones para teléfonos inteligentes, página web, correo electrónico o mensajes SMS, donde los usuarios puedan solicitar el servicio, recibir información sobre la empresa que presta el servicio, número económico de la unidad, placas, modelo, nombre y fotografía del operador, evaluación del servicio y demás datos que contribuyan a generar certeza sobre la operación del vehículo y de la empresa;</w:t>
      </w:r>
    </w:p>
    <w:p w14:paraId="65B4CC95" w14:textId="77777777" w:rsidR="00631A7C" w:rsidRPr="00631A7C" w:rsidRDefault="00631A7C" w:rsidP="00631A7C">
      <w:pPr>
        <w:spacing w:after="0" w:line="360" w:lineRule="auto"/>
        <w:ind w:left="567" w:right="616"/>
        <w:jc w:val="both"/>
        <w:textAlignment w:val="baseline"/>
        <w:rPr>
          <w:rFonts w:ascii="Palatino Linotype" w:hAnsi="Palatino Linotype" w:cs="Segoe UI"/>
          <w:i/>
          <w:iCs/>
          <w:sz w:val="20"/>
          <w:lang w:eastAsia="es-MX"/>
        </w:rPr>
      </w:pPr>
      <w:r w:rsidRPr="00631A7C">
        <w:rPr>
          <w:rFonts w:ascii="Palatino Linotype" w:hAnsi="Palatino Linotype" w:cs="Segoe UI"/>
          <w:i/>
          <w:iCs/>
          <w:sz w:val="20"/>
          <w:lang w:eastAsia="es-MX"/>
        </w:rPr>
        <w:t>- El parque vehicular deberá tener una antigüedad menor de 2 años contada a partir del año de fabricación, a la fecha de autorización del servicio, teniendo como máximo de vida útil 10 años contados a partir de su año modelo;</w:t>
      </w:r>
    </w:p>
    <w:p w14:paraId="64195582" w14:textId="77777777" w:rsidR="00631A7C" w:rsidRPr="00631A7C" w:rsidRDefault="00631A7C" w:rsidP="00631A7C">
      <w:pPr>
        <w:spacing w:after="0" w:line="360" w:lineRule="auto"/>
        <w:ind w:left="567" w:right="616"/>
        <w:jc w:val="both"/>
        <w:textAlignment w:val="baseline"/>
        <w:rPr>
          <w:rFonts w:ascii="Palatino Linotype" w:hAnsi="Palatino Linotype" w:cs="Segoe UI"/>
          <w:i/>
          <w:iCs/>
          <w:sz w:val="20"/>
          <w:lang w:eastAsia="es-MX"/>
        </w:rPr>
      </w:pPr>
      <w:r w:rsidRPr="00631A7C">
        <w:rPr>
          <w:rFonts w:ascii="Palatino Linotype" w:hAnsi="Palatino Linotype" w:cs="Segoe UI"/>
          <w:i/>
          <w:iCs/>
          <w:sz w:val="20"/>
          <w:lang w:eastAsia="es-MX"/>
        </w:rPr>
        <w:t xml:space="preserve">- Contar con una base de datos de los operadores del servicio, la cual estará a disposición del Centro de Mando y Comunicación de la Secretaría de Seguridad Ciudadana y de la Dirección General del Registro Estatal del Transporte Público; y </w:t>
      </w:r>
    </w:p>
    <w:p w14:paraId="3AF243DA" w14:textId="77777777" w:rsidR="00631A7C" w:rsidRPr="00631A7C" w:rsidRDefault="00631A7C" w:rsidP="00631A7C">
      <w:pPr>
        <w:spacing w:after="0" w:line="360" w:lineRule="auto"/>
        <w:ind w:left="567" w:right="616"/>
        <w:jc w:val="both"/>
        <w:textAlignment w:val="baseline"/>
        <w:rPr>
          <w:rFonts w:ascii="Palatino Linotype" w:hAnsi="Palatino Linotype" w:cs="Segoe UI"/>
          <w:i/>
          <w:iCs/>
          <w:sz w:val="20"/>
          <w:lang w:eastAsia="es-MX"/>
        </w:rPr>
      </w:pPr>
      <w:r w:rsidRPr="00631A7C">
        <w:rPr>
          <w:rFonts w:ascii="Palatino Linotype" w:hAnsi="Palatino Linotype" w:cs="Segoe UI"/>
          <w:i/>
          <w:iCs/>
          <w:sz w:val="20"/>
          <w:lang w:eastAsia="es-MX"/>
        </w:rPr>
        <w:t>- Los operadores deberán portar uniforme, tarjeta de identificación personal y licencia de operador de transporte público vigente.</w:t>
      </w:r>
    </w:p>
    <w:p w14:paraId="7B21E40C" w14:textId="77777777" w:rsidR="00631A7C" w:rsidRPr="00631A7C" w:rsidRDefault="00631A7C" w:rsidP="00631A7C">
      <w:pPr>
        <w:spacing w:after="0" w:line="360" w:lineRule="auto"/>
        <w:ind w:right="-150"/>
        <w:textAlignment w:val="baseline"/>
        <w:rPr>
          <w:rFonts w:ascii="Palatino Linotype" w:eastAsia="Times New Roman" w:hAnsi="Palatino Linotype" w:cs="Segoe UI"/>
          <w:lang w:eastAsia="es-MX"/>
        </w:rPr>
      </w:pPr>
    </w:p>
    <w:p w14:paraId="5E36A91A" w14:textId="3CE572EA" w:rsidR="00631A7C" w:rsidRDefault="00631A7C" w:rsidP="00631A7C">
      <w:pPr>
        <w:spacing w:after="0" w:line="360" w:lineRule="auto"/>
        <w:ind w:right="-150"/>
        <w:jc w:val="both"/>
        <w:textAlignment w:val="baseline"/>
        <w:rPr>
          <w:rFonts w:ascii="Palatino Linotype" w:eastAsia="Times New Roman" w:hAnsi="Palatino Linotype" w:cs="Segoe UI"/>
          <w:lang w:eastAsia="es-MX"/>
        </w:rPr>
      </w:pPr>
      <w:r w:rsidRPr="00631A7C">
        <w:rPr>
          <w:rFonts w:ascii="Palatino Linotype" w:eastAsia="Times New Roman" w:hAnsi="Palatino Linotype" w:cs="Segoe UI"/>
          <w:lang w:eastAsia="es-MX"/>
        </w:rPr>
        <w:t xml:space="preserve">Así, se advierte la existencia </w:t>
      </w:r>
      <w:r w:rsidR="00C94E07">
        <w:rPr>
          <w:rFonts w:ascii="Palatino Linotype" w:eastAsia="Times New Roman" w:hAnsi="Palatino Linotype" w:cs="Segoe UI"/>
          <w:lang w:eastAsia="es-MX"/>
        </w:rPr>
        <w:t xml:space="preserve">de fuente </w:t>
      </w:r>
      <w:r w:rsidRPr="00631A7C">
        <w:rPr>
          <w:rFonts w:ascii="Palatino Linotype" w:eastAsia="Times New Roman" w:hAnsi="Palatino Linotype" w:cs="Segoe UI"/>
          <w:lang w:eastAsia="es-MX"/>
        </w:rPr>
        <w:t xml:space="preserve">obligacional </w:t>
      </w:r>
      <w:r w:rsidR="00C94E07">
        <w:rPr>
          <w:rFonts w:ascii="Palatino Linotype" w:eastAsia="Times New Roman" w:hAnsi="Palatino Linotype" w:cs="Segoe UI"/>
          <w:lang w:eastAsia="es-MX"/>
        </w:rPr>
        <w:t>para</w:t>
      </w:r>
      <w:r w:rsidRPr="00631A7C">
        <w:rPr>
          <w:rFonts w:ascii="Palatino Linotype" w:eastAsia="Times New Roman" w:hAnsi="Palatino Linotype" w:cs="Segoe UI"/>
          <w:lang w:eastAsia="es-MX"/>
        </w:rPr>
        <w:t xml:space="preserve"> poseer la información, por cuan</w:t>
      </w:r>
      <w:r>
        <w:rPr>
          <w:rFonts w:ascii="Palatino Linotype" w:eastAsia="Times New Roman" w:hAnsi="Palatino Linotype" w:cs="Segoe UI"/>
          <w:lang w:eastAsia="es-MX"/>
        </w:rPr>
        <w:t>to respecta a taxis</w:t>
      </w:r>
      <w:r w:rsidRPr="00631A7C">
        <w:rPr>
          <w:rFonts w:ascii="Palatino Linotype" w:eastAsia="Times New Roman" w:hAnsi="Palatino Linotype" w:cs="Segoe UI"/>
          <w:lang w:eastAsia="es-MX"/>
        </w:rPr>
        <w:t xml:space="preserve"> </w:t>
      </w:r>
      <w:r w:rsidR="00EA541E">
        <w:rPr>
          <w:rFonts w:ascii="Palatino Linotype" w:eastAsia="Times New Roman" w:hAnsi="Palatino Linotype" w:cs="Segoe UI"/>
          <w:lang w:eastAsia="es-MX"/>
        </w:rPr>
        <w:t xml:space="preserve">seguro y taxi rosa, </w:t>
      </w:r>
      <w:r w:rsidRPr="00631A7C">
        <w:rPr>
          <w:rFonts w:ascii="Palatino Linotype" w:eastAsia="Times New Roman" w:hAnsi="Palatino Linotype" w:cs="Segoe UI"/>
          <w:lang w:eastAsia="es-MX"/>
        </w:rPr>
        <w:t>p</w:t>
      </w:r>
      <w:r>
        <w:rPr>
          <w:rFonts w:ascii="Palatino Linotype" w:eastAsia="Times New Roman" w:hAnsi="Palatino Linotype" w:cs="Segoe UI"/>
          <w:lang w:eastAsia="es-MX"/>
        </w:rPr>
        <w:t xml:space="preserve">ues la Secretaría de Movilidad </w:t>
      </w:r>
      <w:r w:rsidRPr="00631A7C">
        <w:rPr>
          <w:rFonts w:ascii="Palatino Linotype" w:eastAsia="Times New Roman" w:hAnsi="Palatino Linotype" w:cs="Segoe UI"/>
          <w:lang w:eastAsia="es-MX"/>
        </w:rPr>
        <w:t>debe poseer estos documentos en cumplimiento al acuerdo antes trascrito</w:t>
      </w:r>
      <w:r>
        <w:rPr>
          <w:rFonts w:ascii="Palatino Linotype" w:eastAsia="Times New Roman" w:hAnsi="Palatino Linotype" w:cs="Segoe UI"/>
          <w:lang w:eastAsia="es-MX"/>
        </w:rPr>
        <w:t xml:space="preserve">, </w:t>
      </w:r>
      <w:r w:rsidRPr="00631A7C">
        <w:rPr>
          <w:rFonts w:ascii="Palatino Linotype" w:eastAsia="Times New Roman" w:hAnsi="Palatino Linotype" w:cs="Segoe UI"/>
          <w:lang w:eastAsia="es-MX"/>
        </w:rPr>
        <w:t xml:space="preserve">por lo cual, de conformidad a lo establecido en los artículos 13 y 181, de </w:t>
      </w:r>
      <w:r>
        <w:rPr>
          <w:rFonts w:ascii="Palatino Linotype" w:eastAsia="Times New Roman" w:hAnsi="Palatino Linotype" w:cs="Segoe UI"/>
          <w:lang w:eastAsia="es-MX"/>
        </w:rPr>
        <w:t>la Ley de Transparencia, se debió</w:t>
      </w:r>
      <w:r w:rsidRPr="00631A7C">
        <w:rPr>
          <w:rFonts w:ascii="Palatino Linotype" w:eastAsia="Times New Roman" w:hAnsi="Palatino Linotype" w:cs="Segoe UI"/>
          <w:lang w:eastAsia="es-MX"/>
        </w:rPr>
        <w:t xml:space="preserve"> suplir la deficiencia de la queja</w:t>
      </w:r>
      <w:r>
        <w:rPr>
          <w:rFonts w:ascii="Palatino Linotype" w:eastAsia="Times New Roman" w:hAnsi="Palatino Linotype" w:cs="Segoe UI"/>
          <w:lang w:eastAsia="es-MX"/>
        </w:rPr>
        <w:t xml:space="preserve"> en la redacción en la solicitud de acceso </w:t>
      </w:r>
      <w:r w:rsidRPr="00631A7C">
        <w:rPr>
          <w:rFonts w:ascii="Palatino Linotype" w:eastAsia="Times New Roman" w:hAnsi="Palatino Linotype" w:cs="Segoe UI"/>
          <w:lang w:eastAsia="es-MX"/>
        </w:rPr>
        <w:t>00299/SMOV/IP/2022, con el señalami</w:t>
      </w:r>
      <w:r>
        <w:rPr>
          <w:rFonts w:ascii="Palatino Linotype" w:eastAsia="Times New Roman" w:hAnsi="Palatino Linotype" w:cs="Segoe UI"/>
          <w:lang w:eastAsia="es-MX"/>
        </w:rPr>
        <w:t>ento de que los Particulares</w:t>
      </w:r>
      <w:r w:rsidRPr="00631A7C">
        <w:rPr>
          <w:rFonts w:ascii="Palatino Linotype" w:eastAsia="Times New Roman" w:hAnsi="Palatino Linotype" w:cs="Segoe UI"/>
          <w:lang w:eastAsia="es-MX"/>
        </w:rPr>
        <w:t xml:space="preserve"> no deben ser expertos en las materias de las que solicitan información, por lo cual, </w:t>
      </w:r>
      <w:r>
        <w:rPr>
          <w:rFonts w:ascii="Palatino Linotype" w:eastAsia="Times New Roman" w:hAnsi="Palatino Linotype" w:cs="Segoe UI"/>
          <w:lang w:eastAsia="es-MX"/>
        </w:rPr>
        <w:t xml:space="preserve">se debió realizar un análisis minucioso de la información solicitada, a fin de </w:t>
      </w:r>
      <w:r>
        <w:rPr>
          <w:rFonts w:ascii="Palatino Linotype" w:eastAsia="Times New Roman" w:hAnsi="Palatino Linotype" w:cs="Segoe UI"/>
          <w:lang w:eastAsia="es-MX"/>
        </w:rPr>
        <w:lastRenderedPageBreak/>
        <w:t xml:space="preserve">transparentar la correcta aplicación de las atribuciones del Sujeto Obligado, pues debemos recordar que la Dependencia Estatal es la encargada de otorgar las concesiones para el transporte público y en ese sentido, verifica que las personas físicas y/o jurídico colectivas </w:t>
      </w:r>
      <w:r w:rsidR="003F583D">
        <w:rPr>
          <w:rFonts w:ascii="Palatino Linotype" w:eastAsia="Times New Roman" w:hAnsi="Palatino Linotype" w:cs="Segoe UI"/>
          <w:lang w:eastAsia="es-MX"/>
        </w:rPr>
        <w:t xml:space="preserve">que solicitan las concesiones, cumplieron los requisitos establecidos en la normatividad correspondiente. </w:t>
      </w:r>
    </w:p>
    <w:p w14:paraId="745ABC4F" w14:textId="77777777" w:rsidR="003F583D" w:rsidRDefault="003F583D" w:rsidP="00631A7C">
      <w:pPr>
        <w:spacing w:after="0" w:line="360" w:lineRule="auto"/>
        <w:ind w:right="-150"/>
        <w:jc w:val="both"/>
        <w:textAlignment w:val="baseline"/>
        <w:rPr>
          <w:rFonts w:ascii="Palatino Linotype" w:eastAsia="Times New Roman" w:hAnsi="Palatino Linotype" w:cs="Segoe UI"/>
          <w:lang w:eastAsia="es-MX"/>
        </w:rPr>
      </w:pPr>
    </w:p>
    <w:p w14:paraId="7F8ED68E" w14:textId="2AC02D43" w:rsidR="003F583D" w:rsidRDefault="003F583D" w:rsidP="003F583D">
      <w:pPr>
        <w:spacing w:after="0" w:line="360" w:lineRule="auto"/>
        <w:jc w:val="both"/>
        <w:rPr>
          <w:rFonts w:ascii="Palatino Linotype" w:hAnsi="Palatino Linotype"/>
          <w:bCs/>
          <w:lang w:val="es-ES_tradnl"/>
        </w:rPr>
      </w:pPr>
      <w:r>
        <w:rPr>
          <w:rFonts w:ascii="Palatino Linotype" w:hAnsi="Palatino Linotype" w:cs="Tahoma"/>
        </w:rPr>
        <w:t xml:space="preserve">Entonces, la emisión del presente voto atiende a la determinación tomada en el Recurso de Revisión con folio </w:t>
      </w:r>
      <w:r>
        <w:rPr>
          <w:rFonts w:ascii="Palatino Linotype" w:hAnsi="Palatino Linotype" w:cs="Tahoma"/>
          <w:b/>
        </w:rPr>
        <w:t>12987</w:t>
      </w:r>
      <w:r w:rsidRPr="00D36A2A">
        <w:rPr>
          <w:rFonts w:ascii="Palatino Linotype" w:hAnsi="Palatino Linotype" w:cs="Tahoma"/>
          <w:b/>
        </w:rPr>
        <w:t>/INFOEM/</w:t>
      </w:r>
      <w:r>
        <w:rPr>
          <w:rFonts w:ascii="Palatino Linotype" w:hAnsi="Palatino Linotype" w:cs="Tahoma"/>
          <w:b/>
        </w:rPr>
        <w:t>IP</w:t>
      </w:r>
      <w:r w:rsidRPr="00D36A2A">
        <w:rPr>
          <w:rFonts w:ascii="Palatino Linotype" w:hAnsi="Palatino Linotype" w:cs="Tahoma"/>
          <w:b/>
        </w:rPr>
        <w:t>/RR/2022</w:t>
      </w:r>
      <w:r>
        <w:rPr>
          <w:rFonts w:ascii="Palatino Linotype" w:hAnsi="Palatino Linotype" w:cs="Tahoma"/>
        </w:rPr>
        <w:t xml:space="preserve">, pues </w:t>
      </w:r>
      <w:r w:rsidR="00EA541E">
        <w:rPr>
          <w:rFonts w:ascii="Palatino Linotype" w:hAnsi="Palatino Linotype" w:cs="Tahoma"/>
        </w:rPr>
        <w:t>desde mi óptica</w:t>
      </w:r>
      <w:r>
        <w:rPr>
          <w:rFonts w:ascii="Palatino Linotype" w:hAnsi="Palatino Linotype" w:cs="Tahoma"/>
        </w:rPr>
        <w:t xml:space="preserve">, del estudio realizado </w:t>
      </w:r>
      <w:r w:rsidR="00EA541E">
        <w:rPr>
          <w:rFonts w:ascii="Palatino Linotype" w:hAnsi="Palatino Linotype" w:cs="Tahoma"/>
        </w:rPr>
        <w:t xml:space="preserve">en el presente voto particular, </w:t>
      </w:r>
      <w:r w:rsidRPr="00D36A2A">
        <w:rPr>
          <w:rFonts w:ascii="Palatino Linotype" w:hAnsi="Palatino Linotype" w:cs="Tahoma"/>
          <w:b/>
        </w:rPr>
        <w:t xml:space="preserve">se puede advertir que </w:t>
      </w:r>
      <w:r>
        <w:rPr>
          <w:rFonts w:ascii="Palatino Linotype" w:hAnsi="Palatino Linotype" w:cs="Tahoma"/>
          <w:b/>
        </w:rPr>
        <w:t xml:space="preserve">el Sujeto Obligado en términos del artículo 19 de la Ley local de la materia, </w:t>
      </w:r>
      <w:r>
        <w:rPr>
          <w:rFonts w:ascii="Palatino Linotype" w:hAnsi="Palatino Linotype" w:cs="Tahoma"/>
        </w:rPr>
        <w:t xml:space="preserve">administra y/o posee parte de la información interés del Particular; </w:t>
      </w:r>
      <w:r>
        <w:rPr>
          <w:rFonts w:ascii="Palatino Linotype" w:hAnsi="Palatino Linotype"/>
          <w:bCs/>
          <w:iCs/>
          <w:lang w:val="es-ES_tradnl"/>
        </w:rPr>
        <w:t xml:space="preserve">en consecuencia </w:t>
      </w:r>
      <w:r w:rsidR="00EA541E">
        <w:rPr>
          <w:rFonts w:ascii="Palatino Linotype" w:hAnsi="Palatino Linotype"/>
          <w:bCs/>
          <w:iCs/>
          <w:lang w:val="es-ES_tradnl"/>
        </w:rPr>
        <w:t>con lo</w:t>
      </w:r>
      <w:r>
        <w:rPr>
          <w:rFonts w:ascii="Palatino Linotype" w:hAnsi="Palatino Linotype"/>
          <w:bCs/>
          <w:iCs/>
          <w:lang w:val="es-ES_tradnl"/>
        </w:rPr>
        <w:t xml:space="preserve"> expuesto, desde mi perspectiva, en el Recurso de Revisión con folio </w:t>
      </w:r>
      <w:r>
        <w:rPr>
          <w:rFonts w:ascii="Palatino Linotype" w:hAnsi="Palatino Linotype"/>
          <w:b/>
          <w:lang w:val="es-ES_tradnl"/>
        </w:rPr>
        <w:t xml:space="preserve">12987/INFOEM/IP/RR/2022, </w:t>
      </w:r>
      <w:r w:rsidRPr="00FB06E4">
        <w:rPr>
          <w:rFonts w:ascii="Palatino Linotype" w:hAnsi="Palatino Linotype"/>
          <w:b/>
          <w:lang w:val="es-ES_tradnl"/>
        </w:rPr>
        <w:t xml:space="preserve">no se debió ordenar la entrega del Acuerdo del Comité de Transparencia por el cual </w:t>
      </w:r>
      <w:r>
        <w:rPr>
          <w:rFonts w:ascii="Palatino Linotype" w:hAnsi="Palatino Linotype"/>
          <w:b/>
          <w:lang w:val="es-ES_tradnl"/>
        </w:rPr>
        <w:t xml:space="preserve">confirme la incompetencia para atender la totalidad de información requerida en la solicitud de acceso </w:t>
      </w:r>
      <w:r w:rsidRPr="003F583D">
        <w:rPr>
          <w:rFonts w:ascii="Palatino Linotype" w:hAnsi="Palatino Linotype"/>
          <w:b/>
          <w:lang w:val="es-ES_tradnl"/>
        </w:rPr>
        <w:t>00299/SMOV/IP/2022</w:t>
      </w:r>
      <w:r>
        <w:rPr>
          <w:rFonts w:ascii="Palatino Linotype" w:hAnsi="Palatino Linotype"/>
          <w:bCs/>
          <w:lang w:val="es-ES_tradnl"/>
        </w:rPr>
        <w:t xml:space="preserve">. </w:t>
      </w:r>
      <w:bookmarkStart w:id="0" w:name="_GoBack"/>
      <w:bookmarkEnd w:id="0"/>
    </w:p>
    <w:p w14:paraId="0344F9AF" w14:textId="77777777" w:rsidR="003F583D" w:rsidRDefault="003F583D" w:rsidP="003F583D">
      <w:pPr>
        <w:spacing w:after="0" w:line="360" w:lineRule="auto"/>
        <w:jc w:val="both"/>
        <w:rPr>
          <w:rFonts w:ascii="Palatino Linotype" w:hAnsi="Palatino Linotype"/>
          <w:bCs/>
          <w:lang w:val="es-ES_tradnl"/>
        </w:rPr>
      </w:pPr>
    </w:p>
    <w:p w14:paraId="7E6F31B6" w14:textId="77777777" w:rsidR="003F583D" w:rsidRPr="00DF675F" w:rsidRDefault="003F583D" w:rsidP="003F583D">
      <w:pPr>
        <w:spacing w:after="0" w:line="360" w:lineRule="auto"/>
        <w:jc w:val="both"/>
        <w:rPr>
          <w:rFonts w:ascii="Palatino Linotype" w:hAnsi="Palatino Linotype" w:cs="Tahoma"/>
        </w:rPr>
      </w:pPr>
      <w:r w:rsidRPr="00DF675F">
        <w:rPr>
          <w:rFonts w:ascii="Palatino Linotype" w:hAnsi="Palatino Linotype" w:cs="Tahoma"/>
        </w:rPr>
        <w:t xml:space="preserve">Así, con base en los razonamientos expuestos, se emite el Presente Voto </w:t>
      </w:r>
      <w:r>
        <w:rPr>
          <w:rFonts w:ascii="Palatino Linotype" w:hAnsi="Palatino Linotype" w:cs="Tahoma"/>
        </w:rPr>
        <w:t>Particular</w:t>
      </w:r>
      <w:r w:rsidRPr="00DF675F">
        <w:rPr>
          <w:rFonts w:ascii="Palatino Linotype" w:hAnsi="Palatino Linotype" w:cs="Tahoma"/>
        </w:rPr>
        <w:t>.</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r w:rsidRPr="001514DB">
        <w:rPr>
          <w:rFonts w:ascii="Palatino Linotype" w:hAnsi="Palatino Linotype" w:cs="Tahoma"/>
          <w:lang w:val="es-MX"/>
        </w:rPr>
        <w:t>-----------------------------</w:t>
      </w:r>
      <w:r>
        <w:rPr>
          <w:rFonts w:ascii="Palatino Linotype" w:hAnsi="Palatino Linotype" w:cs="Tahoma"/>
          <w:lang w:val="es-MX"/>
        </w:rPr>
        <w:t>----</w:t>
      </w:r>
    </w:p>
    <w:p w14:paraId="05B34380" w14:textId="77777777" w:rsidR="003F583D" w:rsidRPr="003F583D" w:rsidRDefault="003F583D" w:rsidP="003F583D">
      <w:pPr>
        <w:spacing w:after="0" w:line="360" w:lineRule="auto"/>
        <w:jc w:val="both"/>
        <w:rPr>
          <w:rFonts w:ascii="Palatino Linotype" w:hAnsi="Palatino Linotype" w:cs="Tahoma"/>
        </w:rPr>
      </w:pPr>
    </w:p>
    <w:p w14:paraId="63F33C99" w14:textId="77777777" w:rsidR="003F583D" w:rsidRPr="003F583D" w:rsidRDefault="003F583D" w:rsidP="003F583D">
      <w:pPr>
        <w:spacing w:after="0" w:line="360" w:lineRule="auto"/>
        <w:jc w:val="both"/>
        <w:rPr>
          <w:rFonts w:ascii="Palatino Linotype" w:eastAsia="Palatino Linotype" w:hAnsi="Palatino Linotype" w:cs="Palatino Linotype"/>
          <w:bCs/>
        </w:rPr>
      </w:pPr>
    </w:p>
    <w:p w14:paraId="3ED7AB88" w14:textId="77777777" w:rsidR="003F583D" w:rsidRPr="00631A7C" w:rsidRDefault="003F583D" w:rsidP="00631A7C">
      <w:pPr>
        <w:spacing w:after="0" w:line="360" w:lineRule="auto"/>
        <w:ind w:right="-150"/>
        <w:jc w:val="both"/>
        <w:textAlignment w:val="baseline"/>
        <w:rPr>
          <w:rFonts w:ascii="Palatino Linotype" w:eastAsia="Times New Roman" w:hAnsi="Palatino Linotype" w:cs="Segoe UI"/>
          <w:lang w:eastAsia="es-MX"/>
        </w:rPr>
      </w:pPr>
    </w:p>
    <w:p w14:paraId="5CDAE0A8" w14:textId="53E971CF" w:rsidR="00631A7C" w:rsidRPr="00631A7C" w:rsidRDefault="00631A7C" w:rsidP="00631A7C">
      <w:pPr>
        <w:spacing w:after="0" w:line="360" w:lineRule="auto"/>
        <w:ind w:right="-150"/>
        <w:jc w:val="both"/>
        <w:textAlignment w:val="baseline"/>
        <w:rPr>
          <w:rFonts w:ascii="Palatino Linotype" w:eastAsia="Times New Roman" w:hAnsi="Palatino Linotype" w:cs="Segoe UI"/>
          <w:iCs/>
          <w:lang w:eastAsia="es-MX"/>
        </w:rPr>
      </w:pPr>
    </w:p>
    <w:p w14:paraId="17D457FB" w14:textId="77777777" w:rsidR="00631A7C" w:rsidRDefault="00631A7C" w:rsidP="00D73A13">
      <w:pPr>
        <w:spacing w:after="0" w:line="360" w:lineRule="auto"/>
        <w:jc w:val="both"/>
        <w:rPr>
          <w:rFonts w:ascii="Palatino Linotype" w:hAnsi="Palatino Linotype" w:cs="Tahoma"/>
        </w:rPr>
      </w:pPr>
    </w:p>
    <w:p w14:paraId="7019186B" w14:textId="77777777" w:rsidR="00631A7C" w:rsidRDefault="00631A7C" w:rsidP="00D73A13">
      <w:pPr>
        <w:spacing w:after="0" w:line="360" w:lineRule="auto"/>
        <w:jc w:val="both"/>
        <w:rPr>
          <w:rFonts w:ascii="Palatino Linotype" w:hAnsi="Palatino Linotype" w:cs="Tahoma"/>
        </w:rPr>
      </w:pPr>
    </w:p>
    <w:p w14:paraId="0DCABB9B" w14:textId="77777777" w:rsidR="00631A7C" w:rsidRDefault="00631A7C" w:rsidP="00D73A13">
      <w:pPr>
        <w:spacing w:after="0" w:line="360" w:lineRule="auto"/>
        <w:jc w:val="both"/>
        <w:rPr>
          <w:rFonts w:ascii="Palatino Linotype" w:hAnsi="Palatino Linotype" w:cs="Tahoma"/>
        </w:rPr>
      </w:pPr>
    </w:p>
    <w:p w14:paraId="757DD2FE" w14:textId="77777777" w:rsidR="00B1210C" w:rsidRDefault="00B1210C" w:rsidP="004206EF">
      <w:pPr>
        <w:spacing w:after="0" w:line="360" w:lineRule="auto"/>
        <w:jc w:val="both"/>
        <w:rPr>
          <w:rFonts w:ascii="Palatino Linotype" w:eastAsia="Palatino Linotype" w:hAnsi="Palatino Linotype" w:cs="Palatino Linotype"/>
        </w:rPr>
      </w:pPr>
    </w:p>
    <w:p w14:paraId="4412BE5C" w14:textId="77777777" w:rsidR="00327D28" w:rsidRDefault="00327D28" w:rsidP="009105B8">
      <w:pPr>
        <w:spacing w:after="0" w:line="360" w:lineRule="auto"/>
        <w:jc w:val="both"/>
        <w:rPr>
          <w:rFonts w:ascii="Palatino Linotype" w:eastAsia="Calibri" w:hAnsi="Palatino Linotype" w:cs="Tahoma"/>
        </w:rPr>
      </w:pPr>
    </w:p>
    <w:p w14:paraId="6C2A8305" w14:textId="77777777" w:rsidR="009105B8" w:rsidRDefault="009105B8" w:rsidP="009105B8">
      <w:pPr>
        <w:spacing w:after="0" w:line="360" w:lineRule="auto"/>
        <w:jc w:val="both"/>
        <w:rPr>
          <w:rFonts w:ascii="Palatino Linotype" w:hAnsi="Palatino Linotype" w:cs="Tahoma"/>
        </w:rPr>
      </w:pPr>
    </w:p>
    <w:p w14:paraId="35F15871" w14:textId="77777777" w:rsidR="009105B8" w:rsidRDefault="009105B8" w:rsidP="009105B8">
      <w:pPr>
        <w:spacing w:after="0" w:line="360" w:lineRule="auto"/>
        <w:jc w:val="both"/>
        <w:rPr>
          <w:rFonts w:ascii="Palatino Linotype" w:hAnsi="Palatino Linotype" w:cs="Tahoma"/>
        </w:rPr>
      </w:pPr>
    </w:p>
    <w:p w14:paraId="06DACA2F" w14:textId="77777777" w:rsidR="009105B8" w:rsidRDefault="009105B8" w:rsidP="009105B8">
      <w:pPr>
        <w:spacing w:after="0" w:line="360" w:lineRule="auto"/>
        <w:jc w:val="both"/>
        <w:rPr>
          <w:rFonts w:ascii="Palatino Linotype" w:hAnsi="Palatino Linotype" w:cs="Tahoma"/>
        </w:rPr>
      </w:pPr>
    </w:p>
    <w:p w14:paraId="128B2C77" w14:textId="77777777" w:rsidR="009105B8" w:rsidRDefault="009105B8" w:rsidP="009105B8">
      <w:pPr>
        <w:spacing w:after="0" w:line="360" w:lineRule="auto"/>
        <w:jc w:val="both"/>
        <w:rPr>
          <w:rFonts w:ascii="Palatino Linotype" w:hAnsi="Palatino Linotype" w:cs="Tahoma"/>
        </w:rPr>
      </w:pPr>
    </w:p>
    <w:p w14:paraId="152F6DC5" w14:textId="1ACA28BC" w:rsidR="0034226E" w:rsidRDefault="002D2584" w:rsidP="002D2584">
      <w:pPr>
        <w:tabs>
          <w:tab w:val="left" w:pos="1170"/>
        </w:tabs>
        <w:spacing w:after="0" w:line="360" w:lineRule="auto"/>
        <w:jc w:val="both"/>
      </w:pPr>
      <w:r>
        <w:tab/>
      </w:r>
    </w:p>
    <w:p w14:paraId="38C70831" w14:textId="77777777" w:rsidR="0034226E" w:rsidRDefault="0034226E" w:rsidP="00F34C61">
      <w:pPr>
        <w:spacing w:after="0" w:line="360" w:lineRule="auto"/>
        <w:jc w:val="both"/>
      </w:pPr>
    </w:p>
    <w:p w14:paraId="398B8EF5" w14:textId="77777777" w:rsidR="005F4D1D" w:rsidRDefault="005F4D1D" w:rsidP="00F34C61">
      <w:pPr>
        <w:spacing w:after="0" w:line="360" w:lineRule="auto"/>
        <w:jc w:val="both"/>
      </w:pPr>
    </w:p>
    <w:p w14:paraId="39F8172F" w14:textId="77777777" w:rsidR="005F4D1D" w:rsidRDefault="005F4D1D" w:rsidP="00F34C61">
      <w:pPr>
        <w:spacing w:after="0" w:line="360" w:lineRule="auto"/>
        <w:jc w:val="both"/>
      </w:pPr>
    </w:p>
    <w:p w14:paraId="7D9E392B" w14:textId="77777777" w:rsidR="005F4D1D" w:rsidRDefault="005F4D1D" w:rsidP="00F34C61">
      <w:pPr>
        <w:spacing w:after="0" w:line="360" w:lineRule="auto"/>
        <w:jc w:val="both"/>
      </w:pPr>
    </w:p>
    <w:p w14:paraId="5B693E0B" w14:textId="77777777" w:rsidR="006C667E" w:rsidRDefault="006C667E" w:rsidP="00F34C61">
      <w:pPr>
        <w:spacing w:after="0" w:line="360" w:lineRule="auto"/>
        <w:jc w:val="both"/>
      </w:pPr>
    </w:p>
    <w:sectPr w:rsidR="006C667E" w:rsidSect="00C25D84">
      <w:headerReference w:type="default" r:id="rId8"/>
      <w:footerReference w:type="default" r:id="rId9"/>
      <w:pgSz w:w="12240" w:h="15840" w:code="1"/>
      <w:pgMar w:top="1417" w:right="1701" w:bottom="1134" w:left="1701" w:header="426" w:footer="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CA8C0" w14:textId="77777777" w:rsidR="001F23E6" w:rsidRDefault="001F23E6" w:rsidP="00A80C30">
      <w:pPr>
        <w:spacing w:after="0" w:line="240" w:lineRule="auto"/>
      </w:pPr>
      <w:r>
        <w:separator/>
      </w:r>
    </w:p>
  </w:endnote>
  <w:endnote w:type="continuationSeparator" w:id="0">
    <w:p w14:paraId="343893A5" w14:textId="77777777" w:rsidR="001F23E6" w:rsidRDefault="001F23E6"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5440139"/>
      <w:docPartObj>
        <w:docPartGallery w:val="Page Numbers (Bottom of Page)"/>
        <w:docPartUnique/>
      </w:docPartObj>
    </w:sdtPr>
    <w:sdtEndPr/>
    <w:sdtContent>
      <w:sdt>
        <w:sdtPr>
          <w:id w:val="-1769616900"/>
          <w:docPartObj>
            <w:docPartGallery w:val="Page Numbers (Top of Page)"/>
            <w:docPartUnique/>
          </w:docPartObj>
        </w:sdtPr>
        <w:sdtEndPr/>
        <w:sdtContent>
          <w:p w14:paraId="3182D66A" w14:textId="55A40E1F" w:rsidR="00C25D84" w:rsidRDefault="00C25D84">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EA541E">
              <w:rPr>
                <w:b/>
                <w:bCs/>
                <w:noProof/>
              </w:rPr>
              <w:t>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A541E">
              <w:rPr>
                <w:b/>
                <w:bCs/>
                <w:noProof/>
              </w:rPr>
              <w:t>6</w:t>
            </w:r>
            <w:r>
              <w:rPr>
                <w:b/>
                <w:bCs/>
                <w:sz w:val="24"/>
                <w:szCs w:val="24"/>
              </w:rPr>
              <w:fldChar w:fldCharType="end"/>
            </w:r>
          </w:p>
        </w:sdtContent>
      </w:sdt>
    </w:sdtContent>
  </w:sdt>
  <w:p w14:paraId="0581D3D8" w14:textId="77777777" w:rsidR="00AE69B1" w:rsidRDefault="00AE69B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66610" w14:textId="77777777" w:rsidR="001F23E6" w:rsidRDefault="001F23E6" w:rsidP="00A80C30">
      <w:pPr>
        <w:spacing w:after="0" w:line="240" w:lineRule="auto"/>
      </w:pPr>
      <w:r>
        <w:separator/>
      </w:r>
    </w:p>
  </w:footnote>
  <w:footnote w:type="continuationSeparator" w:id="0">
    <w:p w14:paraId="01AC30B3" w14:textId="77777777" w:rsidR="001F23E6" w:rsidRDefault="001F23E6"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812"/>
    </w:tblGrid>
    <w:tr w:rsidR="0077694E" w:rsidRPr="001106EA" w14:paraId="1FC3852C" w14:textId="77777777" w:rsidTr="00C25D84">
      <w:trPr>
        <w:trHeight w:val="1696"/>
      </w:trPr>
      <w:tc>
        <w:tcPr>
          <w:tcW w:w="3119" w:type="dxa"/>
          <w:vAlign w:val="bottom"/>
        </w:tcPr>
        <w:p w14:paraId="3BB07D34" w14:textId="44CC82DC" w:rsidR="00AE69B1" w:rsidRDefault="00C25D84"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709952" behindDoc="0" locked="0" layoutInCell="1" allowOverlap="1" wp14:anchorId="449244AA" wp14:editId="0EDE95FB">
                <wp:simplePos x="0" y="0"/>
                <wp:positionH relativeFrom="column">
                  <wp:posOffset>-272415</wp:posOffset>
                </wp:positionH>
                <wp:positionV relativeFrom="paragraph">
                  <wp:posOffset>17780</wp:posOffset>
                </wp:positionV>
                <wp:extent cx="1873250" cy="1126490"/>
                <wp:effectExtent l="0" t="0" r="0" b="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5E60A2A5" w14:textId="4E0BF485" w:rsidR="00285C7B" w:rsidRDefault="00285C7B" w:rsidP="00285C7B">
          <w:pPr>
            <w:pStyle w:val="Encabezado"/>
            <w:tabs>
              <w:tab w:val="clear" w:pos="4252"/>
              <w:tab w:val="center" w:pos="2614"/>
            </w:tabs>
            <w:ind w:left="-255"/>
          </w:pPr>
        </w:p>
      </w:tc>
      <w:tc>
        <w:tcPr>
          <w:tcW w:w="5812" w:type="dxa"/>
          <w:vAlign w:val="center"/>
        </w:tcPr>
        <w:p w14:paraId="5D63E913" w14:textId="77777777" w:rsidR="00AE69B1"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2136C39E" w14:textId="77777777" w:rsidR="00611276" w:rsidRDefault="001F75E5" w:rsidP="00611276">
          <w:pPr>
            <w:pStyle w:val="Encabezado"/>
            <w:ind w:left="-108" w:right="-250"/>
            <w:jc w:val="both"/>
            <w:rPr>
              <w:rFonts w:ascii="Palatino Linotype" w:hAnsi="Palatino Linotype"/>
              <w:b/>
              <w:lang w:val="es-ES_tradnl"/>
            </w:rPr>
          </w:pPr>
          <w:r w:rsidRPr="00B9745A">
            <w:rPr>
              <w:rFonts w:ascii="Palatino Linotype" w:hAnsi="Palatino Linotype" w:cs="Tahoma"/>
              <w:b/>
            </w:rPr>
            <w:t xml:space="preserve">Recurso de Revisión: </w:t>
          </w:r>
          <w:r w:rsidR="00611276">
            <w:rPr>
              <w:rFonts w:ascii="Palatino Linotype" w:hAnsi="Palatino Linotype"/>
              <w:lang w:val="es-MX"/>
            </w:rPr>
            <w:t>12987</w:t>
          </w:r>
          <w:r w:rsidR="005F4D1D">
            <w:rPr>
              <w:rFonts w:ascii="Palatino Linotype" w:hAnsi="Palatino Linotype"/>
              <w:lang w:val="es-MX"/>
            </w:rPr>
            <w:t>/INFOEM/IP/</w:t>
          </w:r>
          <w:r w:rsidR="00CD7496">
            <w:rPr>
              <w:rFonts w:ascii="Palatino Linotype" w:hAnsi="Palatino Linotype"/>
              <w:lang w:val="es-MX"/>
            </w:rPr>
            <w:t>RR</w:t>
          </w:r>
          <w:r w:rsidR="005F4D1D">
            <w:rPr>
              <w:rFonts w:ascii="Palatino Linotype" w:hAnsi="Palatino Linotype"/>
              <w:lang w:val="es-MX"/>
            </w:rPr>
            <w:t>/2022</w:t>
          </w:r>
        </w:p>
        <w:p w14:paraId="2336ABAD" w14:textId="4CFB5253" w:rsidR="00100065" w:rsidRPr="00611276" w:rsidRDefault="001F75E5" w:rsidP="00611276">
          <w:pPr>
            <w:pStyle w:val="Encabezado"/>
            <w:ind w:left="-108" w:right="-250"/>
            <w:jc w:val="both"/>
            <w:rPr>
              <w:rFonts w:ascii="Palatino Linotype" w:hAnsi="Palatino Linotype"/>
              <w:b/>
              <w:lang w:val="es-ES_tradnl"/>
            </w:rPr>
          </w:pPr>
          <w:r>
            <w:rPr>
              <w:rFonts w:ascii="Palatino Linotype" w:hAnsi="Palatino Linotype" w:cs="Tahoma"/>
              <w:b/>
            </w:rPr>
            <w:t>Sujeto Obligado:</w:t>
          </w:r>
          <w:r w:rsidR="00100065">
            <w:rPr>
              <w:rFonts w:ascii="Palatino Linotype" w:hAnsi="Palatino Linotype"/>
              <w:bCs/>
              <w:lang w:val="es-MX"/>
            </w:rPr>
            <w:t xml:space="preserve"> </w:t>
          </w:r>
          <w:r w:rsidR="00611276">
            <w:rPr>
              <w:rFonts w:ascii="Palatino Linotype" w:hAnsi="Palatino Linotype"/>
              <w:bCs/>
              <w:lang w:val="es-MX"/>
            </w:rPr>
            <w:t xml:space="preserve">Secretaría de Movilidad </w:t>
          </w:r>
        </w:p>
        <w:p w14:paraId="39702EE3" w14:textId="16BB004F" w:rsidR="00285C7B" w:rsidRPr="00285C7B" w:rsidRDefault="001F75E5" w:rsidP="00BA19F6">
          <w:pPr>
            <w:pStyle w:val="Encabezado"/>
            <w:ind w:left="-108" w:right="-250"/>
            <w:jc w:val="both"/>
            <w:rPr>
              <w:rFonts w:ascii="Palatino Linotype" w:hAnsi="Palatino Linotype"/>
              <w:bCs/>
              <w:lang w:val="es-ES_tradnl"/>
            </w:rPr>
          </w:pPr>
          <w:r w:rsidRPr="00B9745A">
            <w:rPr>
              <w:rFonts w:ascii="Palatino Linotype" w:hAnsi="Palatino Linotype" w:cs="Tahoma"/>
              <w:b/>
            </w:rPr>
            <w:t>Comisionado Ponente:</w:t>
          </w:r>
          <w:r w:rsidR="00741121">
            <w:rPr>
              <w:rFonts w:ascii="Palatino Linotype" w:hAnsi="Palatino Linotype" w:cs="Tahoma"/>
              <w:b/>
            </w:rPr>
            <w:t xml:space="preserve"> </w:t>
          </w:r>
          <w:r w:rsidR="00BA19F6">
            <w:rPr>
              <w:rFonts w:ascii="Palatino Linotype" w:hAnsi="Palatino Linotype" w:cs="Tahoma"/>
              <w:bCs/>
            </w:rPr>
            <w:t>Sharon Cristina Morales Martínez</w:t>
          </w:r>
        </w:p>
      </w:tc>
    </w:tr>
  </w:tbl>
  <w:p w14:paraId="2AD8A022" w14:textId="08E498F4" w:rsidR="00AE69B1" w:rsidRPr="001106EA" w:rsidRDefault="00AE69B1">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7D490B"/>
    <w:multiLevelType w:val="hybridMultilevel"/>
    <w:tmpl w:val="FA68248C"/>
    <w:lvl w:ilvl="0" w:tplc="F8209638">
      <w:start w:val="6"/>
      <w:numFmt w:val="bullet"/>
      <w:lvlText w:val="-"/>
      <w:lvlJc w:val="left"/>
      <w:pPr>
        <w:ind w:left="927" w:hanging="360"/>
      </w:pPr>
      <w:rPr>
        <w:rFonts w:ascii="Palatino Linotype" w:eastAsia="Times New Roman" w:hAnsi="Palatino Linotype" w:cs="Segoe UI" w:hint="default"/>
      </w:rPr>
    </w:lvl>
    <w:lvl w:ilvl="1" w:tplc="080A0003">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360EE"/>
    <w:rsid w:val="00052D4B"/>
    <w:rsid w:val="00054038"/>
    <w:rsid w:val="00076D80"/>
    <w:rsid w:val="00082310"/>
    <w:rsid w:val="000837B8"/>
    <w:rsid w:val="000B2304"/>
    <w:rsid w:val="000C53FC"/>
    <w:rsid w:val="000D2D8D"/>
    <w:rsid w:val="000D7C04"/>
    <w:rsid w:val="00100065"/>
    <w:rsid w:val="00102604"/>
    <w:rsid w:val="001514B8"/>
    <w:rsid w:val="001971A0"/>
    <w:rsid w:val="001D76A9"/>
    <w:rsid w:val="001F23E6"/>
    <w:rsid w:val="001F75E5"/>
    <w:rsid w:val="002234B6"/>
    <w:rsid w:val="002512C7"/>
    <w:rsid w:val="00283E3E"/>
    <w:rsid w:val="00285C7B"/>
    <w:rsid w:val="00294D8B"/>
    <w:rsid w:val="002A6749"/>
    <w:rsid w:val="002D2584"/>
    <w:rsid w:val="002D6AB3"/>
    <w:rsid w:val="002F52C6"/>
    <w:rsid w:val="00304A0F"/>
    <w:rsid w:val="00314859"/>
    <w:rsid w:val="0031661E"/>
    <w:rsid w:val="00327D28"/>
    <w:rsid w:val="00333077"/>
    <w:rsid w:val="0033747D"/>
    <w:rsid w:val="0034226E"/>
    <w:rsid w:val="00375D26"/>
    <w:rsid w:val="003E56C5"/>
    <w:rsid w:val="003F4334"/>
    <w:rsid w:val="003F583D"/>
    <w:rsid w:val="00412069"/>
    <w:rsid w:val="004206EF"/>
    <w:rsid w:val="0043082D"/>
    <w:rsid w:val="00435FA9"/>
    <w:rsid w:val="004412C6"/>
    <w:rsid w:val="004504B2"/>
    <w:rsid w:val="004738C3"/>
    <w:rsid w:val="00486BD3"/>
    <w:rsid w:val="00494387"/>
    <w:rsid w:val="004A39A5"/>
    <w:rsid w:val="004A7A76"/>
    <w:rsid w:val="004C0D87"/>
    <w:rsid w:val="004C7D91"/>
    <w:rsid w:val="004D26F6"/>
    <w:rsid w:val="00506560"/>
    <w:rsid w:val="00506AB5"/>
    <w:rsid w:val="00506F7F"/>
    <w:rsid w:val="00533E57"/>
    <w:rsid w:val="00541BAC"/>
    <w:rsid w:val="00541E89"/>
    <w:rsid w:val="00543C9A"/>
    <w:rsid w:val="00562BF3"/>
    <w:rsid w:val="005701A9"/>
    <w:rsid w:val="00592982"/>
    <w:rsid w:val="00597276"/>
    <w:rsid w:val="005974CA"/>
    <w:rsid w:val="005D1F14"/>
    <w:rsid w:val="005F4A99"/>
    <w:rsid w:val="005F4D1D"/>
    <w:rsid w:val="006008C2"/>
    <w:rsid w:val="00601591"/>
    <w:rsid w:val="00607E9F"/>
    <w:rsid w:val="006108EA"/>
    <w:rsid w:val="00611276"/>
    <w:rsid w:val="00617790"/>
    <w:rsid w:val="00631A7C"/>
    <w:rsid w:val="006408E2"/>
    <w:rsid w:val="00644AB7"/>
    <w:rsid w:val="0064790E"/>
    <w:rsid w:val="00654DC8"/>
    <w:rsid w:val="00657B98"/>
    <w:rsid w:val="0067637D"/>
    <w:rsid w:val="00684986"/>
    <w:rsid w:val="00690441"/>
    <w:rsid w:val="006A1343"/>
    <w:rsid w:val="006C0D08"/>
    <w:rsid w:val="006C2B09"/>
    <w:rsid w:val="006C667E"/>
    <w:rsid w:val="006C6E07"/>
    <w:rsid w:val="006C7096"/>
    <w:rsid w:val="007105FA"/>
    <w:rsid w:val="00716333"/>
    <w:rsid w:val="00736F3A"/>
    <w:rsid w:val="00741121"/>
    <w:rsid w:val="00744957"/>
    <w:rsid w:val="00756729"/>
    <w:rsid w:val="007772D6"/>
    <w:rsid w:val="007A518E"/>
    <w:rsid w:val="007B18BB"/>
    <w:rsid w:val="007F32AC"/>
    <w:rsid w:val="00823E1B"/>
    <w:rsid w:val="0083177F"/>
    <w:rsid w:val="00833C20"/>
    <w:rsid w:val="00842979"/>
    <w:rsid w:val="00845ECF"/>
    <w:rsid w:val="008504E7"/>
    <w:rsid w:val="008722C4"/>
    <w:rsid w:val="008755DA"/>
    <w:rsid w:val="008D717F"/>
    <w:rsid w:val="008D73ED"/>
    <w:rsid w:val="008E2746"/>
    <w:rsid w:val="008F78B8"/>
    <w:rsid w:val="009105B8"/>
    <w:rsid w:val="00911794"/>
    <w:rsid w:val="00913F1E"/>
    <w:rsid w:val="00922026"/>
    <w:rsid w:val="00922B2C"/>
    <w:rsid w:val="00940F06"/>
    <w:rsid w:val="00960C5A"/>
    <w:rsid w:val="00961702"/>
    <w:rsid w:val="00973A06"/>
    <w:rsid w:val="00993DCD"/>
    <w:rsid w:val="009B3CA8"/>
    <w:rsid w:val="009C1FCD"/>
    <w:rsid w:val="009C6B45"/>
    <w:rsid w:val="009D0346"/>
    <w:rsid w:val="009F047C"/>
    <w:rsid w:val="009F23B2"/>
    <w:rsid w:val="00A07F9E"/>
    <w:rsid w:val="00A17F80"/>
    <w:rsid w:val="00A20723"/>
    <w:rsid w:val="00A21473"/>
    <w:rsid w:val="00A223B4"/>
    <w:rsid w:val="00A2367E"/>
    <w:rsid w:val="00A246C7"/>
    <w:rsid w:val="00A445FE"/>
    <w:rsid w:val="00A47480"/>
    <w:rsid w:val="00A54CCC"/>
    <w:rsid w:val="00A63781"/>
    <w:rsid w:val="00A80C30"/>
    <w:rsid w:val="00A9782A"/>
    <w:rsid w:val="00AE69B1"/>
    <w:rsid w:val="00AF2DB1"/>
    <w:rsid w:val="00AF77D3"/>
    <w:rsid w:val="00B1210C"/>
    <w:rsid w:val="00B12920"/>
    <w:rsid w:val="00B43526"/>
    <w:rsid w:val="00B55282"/>
    <w:rsid w:val="00B55CA4"/>
    <w:rsid w:val="00B66738"/>
    <w:rsid w:val="00B80272"/>
    <w:rsid w:val="00BA19F6"/>
    <w:rsid w:val="00BA54EE"/>
    <w:rsid w:val="00BB6D49"/>
    <w:rsid w:val="00BC3976"/>
    <w:rsid w:val="00BF1992"/>
    <w:rsid w:val="00C00E77"/>
    <w:rsid w:val="00C078C5"/>
    <w:rsid w:val="00C169ED"/>
    <w:rsid w:val="00C21D22"/>
    <w:rsid w:val="00C25D84"/>
    <w:rsid w:val="00C60C1A"/>
    <w:rsid w:val="00C65041"/>
    <w:rsid w:val="00C6539E"/>
    <w:rsid w:val="00C744E6"/>
    <w:rsid w:val="00C75F6B"/>
    <w:rsid w:val="00C81022"/>
    <w:rsid w:val="00C909C3"/>
    <w:rsid w:val="00C90F81"/>
    <w:rsid w:val="00C94E07"/>
    <w:rsid w:val="00CA7C0E"/>
    <w:rsid w:val="00CB36F3"/>
    <w:rsid w:val="00CC3620"/>
    <w:rsid w:val="00CD4D63"/>
    <w:rsid w:val="00CD7496"/>
    <w:rsid w:val="00CD7937"/>
    <w:rsid w:val="00CE2AE0"/>
    <w:rsid w:val="00D014D3"/>
    <w:rsid w:val="00D257CB"/>
    <w:rsid w:val="00D35991"/>
    <w:rsid w:val="00D405FF"/>
    <w:rsid w:val="00D51BFD"/>
    <w:rsid w:val="00D52CD2"/>
    <w:rsid w:val="00D6254E"/>
    <w:rsid w:val="00D73A13"/>
    <w:rsid w:val="00DB121C"/>
    <w:rsid w:val="00DC0395"/>
    <w:rsid w:val="00DC371B"/>
    <w:rsid w:val="00DD5D61"/>
    <w:rsid w:val="00DE09ED"/>
    <w:rsid w:val="00DF05DA"/>
    <w:rsid w:val="00DF6CF9"/>
    <w:rsid w:val="00E2016D"/>
    <w:rsid w:val="00E272B4"/>
    <w:rsid w:val="00E43FEA"/>
    <w:rsid w:val="00E46405"/>
    <w:rsid w:val="00E6035B"/>
    <w:rsid w:val="00E6401F"/>
    <w:rsid w:val="00E67710"/>
    <w:rsid w:val="00E678EF"/>
    <w:rsid w:val="00E7322A"/>
    <w:rsid w:val="00E878DE"/>
    <w:rsid w:val="00E95559"/>
    <w:rsid w:val="00EA541E"/>
    <w:rsid w:val="00EB135A"/>
    <w:rsid w:val="00EB567E"/>
    <w:rsid w:val="00EC5E8F"/>
    <w:rsid w:val="00ED1A0E"/>
    <w:rsid w:val="00F028C0"/>
    <w:rsid w:val="00F03166"/>
    <w:rsid w:val="00F1426D"/>
    <w:rsid w:val="00F33290"/>
    <w:rsid w:val="00F34C61"/>
    <w:rsid w:val="00F35BFB"/>
    <w:rsid w:val="00F66D37"/>
    <w:rsid w:val="00F679CC"/>
    <w:rsid w:val="00F84B95"/>
    <w:rsid w:val="00F908B5"/>
    <w:rsid w:val="00FA229F"/>
    <w:rsid w:val="00FB560A"/>
    <w:rsid w:val="00FB6623"/>
    <w:rsid w:val="00FC3DE6"/>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631A7C"/>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31A7C"/>
    <w:pPr>
      <w:spacing w:after="0" w:line="240" w:lineRule="auto"/>
      <w:ind w:left="720"/>
      <w:contextualSpacing/>
    </w:pPr>
    <w:rPr>
      <w:rFonts w:ascii="Century Gothic" w:eastAsia="Times New Roman" w:hAnsi="Century Gothic" w:cs="Times New Roman"/>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025786419">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C519C-8BAE-466C-BDA9-C0E8BB0FB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1423</Words>
  <Characters>7832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Cuenta Microsoft</cp:lastModifiedBy>
  <cp:revision>4</cp:revision>
  <cp:lastPrinted>2023-01-16T17:11:00Z</cp:lastPrinted>
  <dcterms:created xsi:type="dcterms:W3CDTF">2023-09-04T01:03:00Z</dcterms:created>
  <dcterms:modified xsi:type="dcterms:W3CDTF">2023-09-04T16:35:00Z</dcterms:modified>
</cp:coreProperties>
</file>