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3F409086"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w:t>
      </w:r>
      <w:r w:rsidR="003F0929">
        <w:rPr>
          <w:rFonts w:ascii="Palatino Linotype" w:hAnsi="Palatino Linotype" w:cs="Tahoma"/>
          <w:b/>
        </w:rPr>
        <w:t xml:space="preserve">PROTECCIÓN DE DATOS PERSONALES DEL ESTADO </w:t>
      </w:r>
      <w:r w:rsidR="00B92067">
        <w:rPr>
          <w:rFonts w:ascii="Palatino Linotype" w:hAnsi="Palatino Linotype" w:cs="Tahoma"/>
          <w:b/>
        </w:rPr>
        <w:t xml:space="preserve">DE MÉXICO Y MUNICIPIOS AL RECURSO DE REVISIÓN </w:t>
      </w:r>
      <w:r w:rsidR="00F1233A">
        <w:rPr>
          <w:rFonts w:ascii="Palatino Linotype" w:eastAsia="Palatino Linotype" w:hAnsi="Palatino Linotype" w:cs="Palatino Linotype"/>
          <w:b/>
        </w:rPr>
        <w:t>00569/INFOEM/IP/RR/2023</w:t>
      </w:r>
      <w:r w:rsidR="00B92067">
        <w:rPr>
          <w:rFonts w:ascii="Palatino Linotype" w:hAnsi="Palatino Linotype" w:cs="Arial"/>
          <w:b/>
          <w:bCs/>
          <w:color w:val="000000" w:themeColor="text1"/>
        </w:rPr>
        <w:t>,</w:t>
      </w:r>
      <w:r w:rsidR="00B92067">
        <w:rPr>
          <w:rFonts w:ascii="Palatino Linotype" w:hAnsi="Palatino Linotype" w:cs="Tahoma"/>
          <w:b/>
        </w:rPr>
        <w:t xml:space="preserve"> PROMOVIDO EN CONTRA DEL</w:t>
      </w:r>
      <w:r w:rsidR="00F1233A">
        <w:rPr>
          <w:rFonts w:ascii="Palatino Linotype" w:hAnsi="Palatino Linotype" w:cs="Tahoma"/>
          <w:b/>
        </w:rPr>
        <w:t xml:space="preserve"> </w:t>
      </w:r>
      <w:r w:rsidR="00F1233A">
        <w:rPr>
          <w:rFonts w:ascii="Palatino Linotype" w:eastAsia="Palatino Linotype" w:hAnsi="Palatino Linotype" w:cs="Palatino Linotype"/>
          <w:b/>
        </w:rPr>
        <w:t>AYUNTAMIENTO DE VILLA GUERRERO</w:t>
      </w:r>
      <w:r w:rsidR="00CE1692">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33D33090"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F1233A">
        <w:rPr>
          <w:rFonts w:ascii="Palatino Linotype" w:eastAsia="Palatino Linotype" w:hAnsi="Palatino Linotype" w:cs="Palatino Linotype"/>
          <w:b/>
        </w:rPr>
        <w:t>00569/INFOEM/IP/RR/2023</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B92067">
        <w:rPr>
          <w:rFonts w:ascii="Palatino Linotype" w:hAnsi="Palatino Linotype" w:cs="Arial"/>
        </w:rPr>
        <w:t xml:space="preserve"> </w:t>
      </w:r>
      <w:r w:rsidR="0068101D">
        <w:rPr>
          <w:rFonts w:ascii="Palatino Linotype" w:hAnsi="Palatino Linotype" w:cs="Arial"/>
        </w:rPr>
        <w:t>l</w:t>
      </w:r>
      <w:r w:rsidR="00B92067">
        <w:rPr>
          <w:rFonts w:ascii="Palatino Linotype" w:hAnsi="Palatino Linotype" w:cs="Arial"/>
        </w:rPr>
        <w:t>a</w:t>
      </w:r>
      <w:r w:rsidR="0068101D">
        <w:rPr>
          <w:rFonts w:ascii="Palatino Linotype" w:hAnsi="Palatino Linotype" w:cs="Arial"/>
        </w:rPr>
        <w:t xml:space="preserve"> </w:t>
      </w:r>
      <w:r w:rsidR="00BC1756">
        <w:rPr>
          <w:rFonts w:ascii="Palatino Linotype" w:hAnsi="Palatino Linotype" w:cs="Arial"/>
        </w:rPr>
        <w:t xml:space="preserve"> </w:t>
      </w:r>
      <w:r w:rsidR="00B7434C">
        <w:rPr>
          <w:rFonts w:ascii="Palatino Linotype" w:eastAsia="Palatino Linotype" w:hAnsi="Palatino Linotype" w:cs="Palatino Linotype"/>
          <w:b/>
        </w:rPr>
        <w:t>Ayuntamiento de Villa Guerrero</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0F45141B"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 registrada con </w:t>
      </w:r>
      <w:r w:rsidR="0067381F">
        <w:rPr>
          <w:rFonts w:ascii="Palatino Linotype" w:eastAsia="Calibri" w:hAnsi="Palatino Linotype" w:cs="Arial"/>
          <w:color w:val="000000" w:themeColor="text1"/>
        </w:rPr>
        <w:t>el número</w:t>
      </w:r>
      <w:r w:rsidR="00B64C7A">
        <w:rPr>
          <w:rFonts w:ascii="Palatino Linotype" w:eastAsia="Calibri" w:hAnsi="Palatino Linotype" w:cs="Arial"/>
          <w:color w:val="000000" w:themeColor="text1"/>
        </w:rPr>
        <w:t xml:space="preserve"> </w:t>
      </w:r>
      <w:r w:rsidR="00B64C7A">
        <w:rPr>
          <w:rFonts w:ascii="Palatino Linotype" w:eastAsia="Calibri" w:hAnsi="Palatino Linotype" w:cs="Arial"/>
          <w:b/>
          <w:bCs/>
          <w:color w:val="000000" w:themeColor="text1"/>
        </w:rPr>
        <w:t> </w:t>
      </w:r>
      <w:r w:rsidR="00B7434C">
        <w:rPr>
          <w:rFonts w:ascii="Palatino Linotype" w:eastAsia="Palatino Linotype" w:hAnsi="Palatino Linotype" w:cs="Palatino Linotype"/>
          <w:b/>
        </w:rPr>
        <w:t>00003/VIGUERRE/IP/2023</w:t>
      </w:r>
      <w:r w:rsidR="00B64C7A">
        <w:rPr>
          <w:rFonts w:ascii="Palatino Linotype" w:hAnsi="Palatino Linotype"/>
          <w:b/>
          <w:bCs/>
        </w:rPr>
        <w:t>,</w:t>
      </w:r>
      <w:r w:rsidR="00BF358F">
        <w:rPr>
          <w:rFonts w:ascii="Palatino Linotype" w:hAnsi="Palatino Linotype" w:cs="Arial"/>
          <w:b/>
          <w:lang w:eastAsia="es-MX"/>
        </w:rPr>
        <w:t xml:space="preserve"> </w:t>
      </w:r>
      <w:r w:rsidR="00B64C7A">
        <w:rPr>
          <w:rFonts w:ascii="Palatino Linotype" w:hAnsi="Palatino Linotype" w:cs="Arial"/>
        </w:rPr>
        <w:t>mediante los</w:t>
      </w:r>
      <w:r w:rsidR="00BF358F">
        <w:rPr>
          <w:rFonts w:ascii="Palatino Linotype" w:hAnsi="Palatino Linotype" w:cs="Arial"/>
        </w:rPr>
        <w:t xml:space="preserve"> cual</w:t>
      </w:r>
      <w:r w:rsidR="00B64C7A">
        <w:rPr>
          <w:rFonts w:ascii="Palatino Linotype" w:hAnsi="Palatino Linotype" w:cs="Arial"/>
        </w:rPr>
        <w:t>es</w:t>
      </w:r>
      <w:r w:rsidR="00BF358F">
        <w:rPr>
          <w:rFonts w:ascii="Palatino Linotype" w:hAnsi="Palatino Linotype" w:cs="Arial"/>
        </w:rPr>
        <w:t xml:space="preserve"> solicitó la siguiente información:</w:t>
      </w:r>
    </w:p>
    <w:p w14:paraId="1B7894DE" w14:textId="53E41C9D" w:rsidR="0067381F" w:rsidRDefault="00B7434C" w:rsidP="00B7434C">
      <w:pPr>
        <w:pStyle w:val="Prrafodelista"/>
        <w:tabs>
          <w:tab w:val="left" w:pos="567"/>
        </w:tabs>
        <w:spacing w:line="360" w:lineRule="auto"/>
        <w:ind w:left="426" w:right="474"/>
        <w:jc w:val="both"/>
        <w:rPr>
          <w:rFonts w:ascii="Palatino Linotype" w:eastAsia="Palatino Linotype" w:hAnsi="Palatino Linotype" w:cs="Palatino Linotype"/>
          <w:b/>
          <w:i/>
          <w:sz w:val="22"/>
          <w:szCs w:val="22"/>
        </w:rPr>
      </w:pPr>
      <w:r w:rsidRPr="00705F57">
        <w:rPr>
          <w:rFonts w:ascii="Palatino Linotype" w:eastAsia="Palatino Linotype" w:hAnsi="Palatino Linotype" w:cs="Palatino Linotype"/>
          <w:i/>
          <w:sz w:val="22"/>
          <w:szCs w:val="22"/>
        </w:rPr>
        <w:lastRenderedPageBreak/>
        <w:t xml:space="preserve">“Con fundamento en lo establecido en el párrafo segundo del artículo 6º de la Constitución Política de los Estados Unidos Mexicanos, artículo 5 de la Constitución del Estado Libre y Soberano de México y 150 y 152 de la Ley de Transparencia y Acceso a la Información Pública del Estado de México y Municipios, en ejercicio del derecho fundamental de acceso a la información pública, me permito solicitar la siguiente información: </w:t>
      </w:r>
      <w:r w:rsidRPr="00705F57">
        <w:rPr>
          <w:rFonts w:ascii="Palatino Linotype" w:eastAsia="Palatino Linotype" w:hAnsi="Palatino Linotype" w:cs="Palatino Linotype"/>
          <w:b/>
          <w:i/>
          <w:sz w:val="22"/>
          <w:szCs w:val="22"/>
        </w:rPr>
        <w:t>Requiero la versión pública en formato abierto (xls) del Formato de Conciliación de Nómina correspondiente al primer y segunda quincena del mes de diciembre de 2022,</w:t>
      </w:r>
      <w:r w:rsidRPr="00705F57">
        <w:rPr>
          <w:rFonts w:ascii="Palatino Linotype" w:eastAsia="Palatino Linotype" w:hAnsi="Palatino Linotype" w:cs="Palatino Linotype"/>
          <w:i/>
          <w:sz w:val="22"/>
          <w:szCs w:val="22"/>
        </w:rPr>
        <w:t xml:space="preserve"> resaltando que el archivo solicitado, es el que el Sujeto Obligado debe remitir en la información del Módulo 4 del Informe Trimestral que entrega al OSFEM dentro del submódulo Nómina y Comprobantes Fiscales, se precisa que el Ayuntamiento deberá hacer la entrega de la misma, sin poner obstáculos o evitar la entrega del mismo, dado que, este debe ser un documento generado y en poder de la administración municipal y que forma parte de los archivos del mismo. Se solicita en versión pública, por lo que deberá adjuntar el acuerdo de clasificación del Comité de Transparencia correspondiente.</w:t>
      </w:r>
      <w:r w:rsidRPr="00705F57">
        <w:rPr>
          <w:rFonts w:ascii="Palatino Linotype" w:eastAsia="Palatino Linotype" w:hAnsi="Palatino Linotype" w:cs="Palatino Linotype"/>
          <w:b/>
          <w:i/>
          <w:sz w:val="22"/>
          <w:szCs w:val="22"/>
        </w:rPr>
        <w:t>”</w:t>
      </w:r>
    </w:p>
    <w:p w14:paraId="712A8634" w14:textId="77777777" w:rsidR="00B7434C" w:rsidRDefault="00B7434C" w:rsidP="00B64C7A">
      <w:pPr>
        <w:pStyle w:val="Prrafodelista"/>
        <w:tabs>
          <w:tab w:val="left" w:pos="567"/>
        </w:tabs>
        <w:spacing w:line="360" w:lineRule="auto"/>
        <w:ind w:left="0"/>
        <w:jc w:val="both"/>
        <w:rPr>
          <w:rFonts w:ascii="Palatino Linotype" w:eastAsia="Calibri" w:hAnsi="Palatino Linotype" w:cs="Arial"/>
          <w:color w:val="000000" w:themeColor="text1"/>
        </w:rPr>
      </w:pPr>
    </w:p>
    <w:p w14:paraId="7ECD15A4" w14:textId="77777777" w:rsidR="00B7434C" w:rsidRPr="00705F57" w:rsidRDefault="00B92067" w:rsidP="00B7434C">
      <w:pPr>
        <w:spacing w:before="240" w:after="240" w:line="360" w:lineRule="auto"/>
        <w:ind w:right="49"/>
        <w:jc w:val="both"/>
        <w:rPr>
          <w:rFonts w:ascii="Palatino Linotype" w:eastAsia="Palatino Linotype" w:hAnsi="Palatino Linotype" w:cs="Palatino Linotype"/>
        </w:rPr>
      </w:pPr>
      <w:r w:rsidRPr="006855AC">
        <w:rPr>
          <w:rFonts w:ascii="Palatino Linotype" w:eastAsia="Palatino Linotype" w:hAnsi="Palatino Linotype" w:cs="Palatino Linotype"/>
        </w:rPr>
        <w:t xml:space="preserve">El </w:t>
      </w:r>
      <w:r w:rsidRPr="006855AC">
        <w:rPr>
          <w:rFonts w:ascii="Palatino Linotype" w:eastAsia="Palatino Linotype" w:hAnsi="Palatino Linotype" w:cs="Palatino Linotype"/>
          <w:b/>
        </w:rPr>
        <w:t>Sujeto Obligado</w:t>
      </w:r>
      <w:r w:rsidRPr="006855AC">
        <w:rPr>
          <w:rFonts w:ascii="Palatino Linotype" w:eastAsia="Palatino Linotype" w:hAnsi="Palatino Linotype" w:cs="Palatino Linotype"/>
        </w:rPr>
        <w:t xml:space="preserve"> </w:t>
      </w:r>
      <w:r w:rsidR="00B7434C" w:rsidRPr="00705F57">
        <w:rPr>
          <w:rFonts w:ascii="Palatino Linotype" w:eastAsia="Palatino Linotype" w:hAnsi="Palatino Linotype" w:cs="Palatino Linotype"/>
        </w:rPr>
        <w:t>adjuntó el memorándum VG/UTyAIP/0058/2023, de fecha treinta de enero de dos mil veintitrés, emitido por el Titular de la Unidad de Transparencia, mediante el cual refiere que s</w:t>
      </w:r>
      <w:r w:rsidR="00B7434C" w:rsidRPr="00705F57">
        <w:rPr>
          <w:rFonts w:ascii="Palatino Linotype" w:hAnsi="Palatino Linotype" w:cs="Arial"/>
          <w:bCs/>
        </w:rPr>
        <w:t>e les solicitó a los servidores públicos habilitados de las áreas correspondientes, del Sujeto Obligado para que procedieran a localizar, verificar y entregar la información con la que se encuentra o en su caso verificar la inexistencia de la misma</w:t>
      </w:r>
      <w:r w:rsidR="00B7434C" w:rsidRPr="00705F57">
        <w:rPr>
          <w:rFonts w:ascii="Palatino Linotype" w:eastAsia="Palatino Linotype" w:hAnsi="Palatino Linotype" w:cs="Palatino Linotype"/>
        </w:rPr>
        <w:t>, cuyo pronunciamiento fue el siguiente:</w:t>
      </w:r>
    </w:p>
    <w:p w14:paraId="1CC42CFE" w14:textId="77777777" w:rsidR="00B7434C" w:rsidRPr="00705F57" w:rsidRDefault="00B7434C" w:rsidP="00B7434C">
      <w:pPr>
        <w:spacing w:before="240" w:after="240"/>
        <w:ind w:left="851" w:right="900"/>
        <w:jc w:val="both"/>
        <w:rPr>
          <w:rFonts w:ascii="Palatino Linotype" w:eastAsia="Palatino Linotype" w:hAnsi="Palatino Linotype" w:cs="Palatino Linotype"/>
        </w:rPr>
      </w:pPr>
      <w:r w:rsidRPr="00705F57">
        <w:rPr>
          <w:rFonts w:ascii="Palatino Linotype" w:eastAsia="Palatino Linotype" w:hAnsi="Palatino Linotype" w:cs="Palatino Linotype"/>
          <w:i/>
          <w:sz w:val="22"/>
        </w:rPr>
        <w:t xml:space="preserve">“Al respecto y con la finalidad de dar cumplimiento a lo establecido en el artículo 24 fracción Xl de la Ley de Transparencia y Acceso a la Información Pública del Estado de México y Municipios; </w:t>
      </w:r>
      <w:r w:rsidRPr="00705F57">
        <w:rPr>
          <w:rFonts w:ascii="Palatino Linotype" w:eastAsia="Palatino Linotype" w:hAnsi="Palatino Linotype" w:cs="Palatino Linotype"/>
          <w:b/>
          <w:i/>
          <w:sz w:val="22"/>
        </w:rPr>
        <w:t xml:space="preserve">le informo que, a la fecha de la presente </w:t>
      </w:r>
      <w:r w:rsidRPr="00705F57">
        <w:rPr>
          <w:rFonts w:ascii="Palatino Linotype" w:eastAsia="Palatino Linotype" w:hAnsi="Palatino Linotype" w:cs="Palatino Linotype"/>
          <w:b/>
          <w:i/>
          <w:sz w:val="22"/>
        </w:rPr>
        <w:lastRenderedPageBreak/>
        <w:t>solicitud no se cuenta con la información solicitada por el ciudadano debido a que la Cuenta Pública Anual “Formato de Conciliación de Nómina correspondiente al primer y segunda quincena del mes de diciembre de 2022”, ya que el 4to informe trimestral se presenta en la legislatura dentro de los quince primeros días del mes de marzo de cada año y este a su vez se encuentra sujeto a la revisión por parte de la legislatura y los órganos de fiscalización</w:t>
      </w:r>
      <w:r w:rsidRPr="00705F57">
        <w:rPr>
          <w:rFonts w:ascii="Palatino Linotype" w:eastAsia="Palatino Linotype" w:hAnsi="Palatino Linotype" w:cs="Palatino Linotype"/>
        </w:rPr>
        <w:t>.</w:t>
      </w:r>
    </w:p>
    <w:p w14:paraId="2CFEBBDB" w14:textId="77777777" w:rsidR="00B7434C" w:rsidRPr="00705F57" w:rsidRDefault="00B7434C" w:rsidP="00B7434C">
      <w:pPr>
        <w:spacing w:before="240" w:after="240"/>
        <w:ind w:left="851" w:right="900"/>
        <w:jc w:val="both"/>
        <w:rPr>
          <w:rFonts w:ascii="Palatino Linotype" w:eastAsia="Palatino Linotype" w:hAnsi="Palatino Linotype" w:cs="Palatino Linotype"/>
          <w:i/>
          <w:sz w:val="22"/>
        </w:rPr>
      </w:pPr>
      <w:r w:rsidRPr="00705F57">
        <w:rPr>
          <w:rFonts w:ascii="Palatino Linotype" w:eastAsia="Palatino Linotype" w:hAnsi="Palatino Linotype" w:cs="Palatino Linotype"/>
          <w:i/>
          <w:sz w:val="22"/>
        </w:rPr>
        <w:t>Lo anterior, de conformidad con el artículo 35 de la Ley Orgánica del Poder Legislativo del Estado Libre y Soberano de México, que establece:</w:t>
      </w:r>
    </w:p>
    <w:p w14:paraId="43798126" w14:textId="77777777" w:rsidR="00B7434C" w:rsidRPr="00705F57" w:rsidRDefault="00B7434C" w:rsidP="00B7434C">
      <w:pPr>
        <w:spacing w:before="240" w:after="240"/>
        <w:ind w:left="1418" w:right="1467"/>
        <w:jc w:val="both"/>
        <w:rPr>
          <w:rFonts w:ascii="Palatino Linotype" w:eastAsia="Palatino Linotype" w:hAnsi="Palatino Linotype" w:cs="Palatino Linotype"/>
          <w:i/>
          <w:sz w:val="22"/>
        </w:rPr>
      </w:pPr>
      <w:r w:rsidRPr="00705F57">
        <w:rPr>
          <w:rFonts w:ascii="Palatino Linotype" w:eastAsia="Palatino Linotype" w:hAnsi="Palatino Linotype" w:cs="Palatino Linotype"/>
          <w:i/>
          <w:sz w:val="22"/>
        </w:rPr>
        <w:t>“La Legislatura recibirá anualmente para su revisión las cuentas de gastos del Estado, correspondiente al año inmediato anterior, a más tardar el 30 de abril, y de los municipios, dentro de los primeros quince días naturales del mes de marzo. Si el día de vencimiento de los plazos señalados, corresponde a un día inhábil, se podrá recibir al día hábil inmediato siguiente…”</w:t>
      </w:r>
    </w:p>
    <w:p w14:paraId="275C5850" w14:textId="77777777" w:rsidR="00B7434C" w:rsidRPr="00705F57" w:rsidRDefault="00B7434C" w:rsidP="00B7434C">
      <w:pPr>
        <w:spacing w:before="240" w:after="240"/>
        <w:ind w:left="851" w:right="900"/>
        <w:jc w:val="both"/>
        <w:rPr>
          <w:rFonts w:ascii="Palatino Linotype" w:eastAsia="Palatino Linotype" w:hAnsi="Palatino Linotype" w:cs="Palatino Linotype"/>
          <w:i/>
          <w:sz w:val="22"/>
        </w:rPr>
      </w:pPr>
      <w:r w:rsidRPr="00705F57">
        <w:rPr>
          <w:rFonts w:ascii="Palatino Linotype" w:eastAsia="Palatino Linotype" w:hAnsi="Palatino Linotype" w:cs="Palatino Linotype"/>
          <w:i/>
          <w:sz w:val="22"/>
        </w:rPr>
        <w:t>De igual manera, el artículo 32 párrafo tercero de la Ley de Fiscalización Superior del Estado de México, indica que:</w:t>
      </w:r>
    </w:p>
    <w:p w14:paraId="1CB4AFCF" w14:textId="77777777" w:rsidR="00B7434C" w:rsidRPr="00705F57" w:rsidRDefault="00B7434C" w:rsidP="00B7434C">
      <w:pPr>
        <w:spacing w:before="240" w:after="240"/>
        <w:ind w:left="1418" w:right="1183"/>
        <w:jc w:val="both"/>
        <w:rPr>
          <w:rFonts w:ascii="Palatino Linotype" w:eastAsia="Palatino Linotype" w:hAnsi="Palatino Linotype" w:cs="Palatino Linotype"/>
          <w:i/>
          <w:sz w:val="22"/>
        </w:rPr>
      </w:pPr>
      <w:r w:rsidRPr="00705F57">
        <w:rPr>
          <w:rFonts w:ascii="Palatino Linotype" w:eastAsia="Palatino Linotype" w:hAnsi="Palatino Linotype" w:cs="Palatino Linotype"/>
          <w:i/>
          <w:sz w:val="22"/>
        </w:rPr>
        <w:t>“…Los presidentes municipales presentaran a la Legislatura las cuentas públicas de sus respectivos municipios, del ejercicio fiscal inmediato anterior, dentro de los quince primeros días del mes de marzo de cada año…”</w:t>
      </w:r>
    </w:p>
    <w:p w14:paraId="21CD9393" w14:textId="2B08B9F7" w:rsidR="009C666B" w:rsidRDefault="00B7434C" w:rsidP="00B7434C">
      <w:pPr>
        <w:spacing w:before="240" w:after="240"/>
        <w:ind w:left="851" w:right="1183"/>
        <w:jc w:val="both"/>
        <w:rPr>
          <w:rFonts w:ascii="Palatino Linotype" w:eastAsia="Palatino Linotype" w:hAnsi="Palatino Linotype" w:cs="Palatino Linotype"/>
        </w:rPr>
      </w:pPr>
      <w:r w:rsidRPr="00705F57">
        <w:rPr>
          <w:rFonts w:ascii="Palatino Linotype" w:eastAsia="Palatino Linotype" w:hAnsi="Palatino Linotype" w:cs="Palatino Linotype"/>
          <w:i/>
          <w:sz w:val="22"/>
        </w:rPr>
        <w:t>…”</w:t>
      </w:r>
      <w:r w:rsidRPr="00705F57">
        <w:rPr>
          <w:rFonts w:ascii="Palatino Linotype" w:eastAsia="Palatino Linotype" w:hAnsi="Palatino Linotype" w:cs="Palatino Linotype"/>
          <w:sz w:val="22"/>
        </w:rPr>
        <w:t xml:space="preserve"> </w:t>
      </w:r>
      <w:r w:rsidRPr="00705F57">
        <w:rPr>
          <w:rFonts w:ascii="Palatino Linotype" w:eastAsia="Palatino Linotype" w:hAnsi="Palatino Linotype" w:cs="Palatino Linotype"/>
        </w:rPr>
        <w:t>(sic)</w:t>
      </w:r>
    </w:p>
    <w:p w14:paraId="0316F22C" w14:textId="77777777" w:rsidR="00B92067" w:rsidRDefault="00B92067" w:rsidP="0067381F">
      <w:pPr>
        <w:spacing w:line="360" w:lineRule="auto"/>
        <w:ind w:right="141"/>
        <w:jc w:val="both"/>
        <w:rPr>
          <w:rFonts w:ascii="Palatino Linotype" w:hAnsi="Palatino Linotype" w:cs="Arial"/>
        </w:rPr>
      </w:pPr>
    </w:p>
    <w:p w14:paraId="570B24AE" w14:textId="77777777" w:rsidR="009C666B" w:rsidRDefault="00CE217B" w:rsidP="009C666B">
      <w:pPr>
        <w:spacing w:line="360" w:lineRule="auto"/>
        <w:ind w:right="141"/>
        <w:jc w:val="both"/>
        <w:rPr>
          <w:rFonts w:ascii="Palatino Linotype" w:hAnsi="Palatino Linotype" w:cs="Arial"/>
          <w:bCs/>
          <w:i/>
        </w:rPr>
      </w:pPr>
      <w:r>
        <w:rPr>
          <w:rFonts w:ascii="Palatino Linotype" w:hAnsi="Palatino Linotype" w:cs="Arial"/>
        </w:rPr>
        <w:t>D</w:t>
      </w:r>
      <w:r w:rsidR="0067381F">
        <w:rPr>
          <w:rFonts w:ascii="Palatino Linotype" w:hAnsi="Palatino Linotype" w:cs="Arial"/>
        </w:rPr>
        <w:t xml:space="preserve">erivado de la respuesta emitida por el Sujeto Obligado, el Recurrente, </w:t>
      </w:r>
      <w:r w:rsidR="0067381F">
        <w:rPr>
          <w:rFonts w:ascii="Palatino Linotype" w:hAnsi="Palatino Linotype" w:cs="Arial"/>
          <w:bCs/>
        </w:rPr>
        <w:t>interpuso el recurso de revisión, señalando sustancialmente como sus razones o motivos de inconformidad, lo siguiente:</w:t>
      </w:r>
      <w:r>
        <w:rPr>
          <w:rFonts w:ascii="Palatino Linotype" w:hAnsi="Palatino Linotype" w:cs="Arial"/>
          <w:bCs/>
          <w:i/>
        </w:rPr>
        <w:t xml:space="preserve"> </w:t>
      </w:r>
      <w:r w:rsidRPr="00CE217B">
        <w:rPr>
          <w:rFonts w:ascii="Palatino Linotype" w:hAnsi="Palatino Linotype" w:cs="Arial"/>
          <w:bCs/>
          <w:i/>
        </w:rPr>
        <w:t>“</w:t>
      </w:r>
    </w:p>
    <w:p w14:paraId="576D161E" w14:textId="77777777" w:rsidR="00B92067" w:rsidRDefault="00B92067" w:rsidP="00B92067">
      <w:pPr>
        <w:tabs>
          <w:tab w:val="left" w:pos="2745"/>
        </w:tabs>
        <w:spacing w:before="240" w:after="240" w:line="360" w:lineRule="auto"/>
        <w:jc w:val="both"/>
        <w:rPr>
          <w:rFonts w:ascii="Palatino Linotype" w:eastAsia="Palatino Linotype" w:hAnsi="Palatino Linotype" w:cs="Palatino Linotype"/>
          <w:b/>
          <w:lang w:val="es-MX"/>
        </w:rPr>
      </w:pPr>
      <w:r>
        <w:rPr>
          <w:rFonts w:ascii="Palatino Linotype" w:eastAsia="Palatino Linotype" w:hAnsi="Palatino Linotype" w:cs="Palatino Linotype"/>
          <w:b/>
        </w:rPr>
        <w:t xml:space="preserve">Acto impugnado: </w:t>
      </w:r>
    </w:p>
    <w:p w14:paraId="0EF66354" w14:textId="1322C226" w:rsidR="00B92067" w:rsidRDefault="00B92067" w:rsidP="00B92067">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sidR="00B7434C" w:rsidRPr="00705F57">
        <w:rPr>
          <w:rFonts w:ascii="Palatino Linotype" w:eastAsia="Palatino Linotype" w:hAnsi="Palatino Linotype" w:cs="Palatino Linotype"/>
          <w:i/>
          <w:sz w:val="22"/>
          <w:szCs w:val="22"/>
        </w:rPr>
        <w:t>no entrega información solicitada</w:t>
      </w:r>
      <w:r>
        <w:rPr>
          <w:rFonts w:ascii="Palatino Linotype" w:eastAsia="Palatino Linotype" w:hAnsi="Palatino Linotype" w:cs="Palatino Linotype"/>
          <w:i/>
          <w:sz w:val="22"/>
          <w:szCs w:val="22"/>
        </w:rPr>
        <w:t xml:space="preserve">” </w:t>
      </w:r>
      <w:r w:rsidR="00C373ED">
        <w:rPr>
          <w:rFonts w:ascii="Palatino Linotype" w:eastAsia="Palatino Linotype" w:hAnsi="Palatino Linotype" w:cs="Palatino Linotype"/>
          <w:sz w:val="22"/>
          <w:szCs w:val="22"/>
        </w:rPr>
        <w:t>(S</w:t>
      </w:r>
      <w:r w:rsidRPr="00C373ED">
        <w:rPr>
          <w:rFonts w:ascii="Palatino Linotype" w:eastAsia="Palatino Linotype" w:hAnsi="Palatino Linotype" w:cs="Palatino Linotype"/>
          <w:sz w:val="22"/>
          <w:szCs w:val="22"/>
        </w:rPr>
        <w:t>ic)</w:t>
      </w:r>
    </w:p>
    <w:p w14:paraId="1D4D4C9C" w14:textId="77777777" w:rsidR="00B92067" w:rsidRDefault="00B92067" w:rsidP="00B92067">
      <w:pPr>
        <w:spacing w:line="360" w:lineRule="auto"/>
        <w:jc w:val="both"/>
        <w:rPr>
          <w:rFonts w:ascii="Palatino Linotype" w:eastAsia="Palatino Linotype" w:hAnsi="Palatino Linotype" w:cs="Palatino Linotype"/>
        </w:rPr>
      </w:pPr>
      <w:bookmarkStart w:id="1" w:name="_heading=h.30j0zll"/>
      <w:bookmarkEnd w:id="1"/>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 xml:space="preserve">: </w:t>
      </w:r>
    </w:p>
    <w:p w14:paraId="3980ADE7" w14:textId="17CCC813" w:rsidR="00B92067" w:rsidRDefault="00B92067" w:rsidP="00B92067">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B7434C" w:rsidRPr="00705F57">
        <w:rPr>
          <w:rFonts w:ascii="Palatino Linotype" w:eastAsia="Palatino Linotype" w:hAnsi="Palatino Linotype" w:cs="Palatino Linotype"/>
          <w:i/>
          <w:sz w:val="22"/>
          <w:szCs w:val="22"/>
        </w:rPr>
        <w:t>niega el derecho de acceso a la información</w:t>
      </w:r>
      <w:r>
        <w:rPr>
          <w:rFonts w:ascii="Palatino Linotype" w:eastAsia="Palatino Linotype" w:hAnsi="Palatino Linotype" w:cs="Palatino Linotype"/>
          <w:i/>
          <w:sz w:val="22"/>
          <w:szCs w:val="22"/>
        </w:rPr>
        <w:t xml:space="preserve">” </w:t>
      </w:r>
      <w:r w:rsidR="00C373ED">
        <w:rPr>
          <w:rFonts w:ascii="Palatino Linotype" w:eastAsia="Palatino Linotype" w:hAnsi="Palatino Linotype" w:cs="Palatino Linotype"/>
          <w:sz w:val="22"/>
          <w:szCs w:val="22"/>
        </w:rPr>
        <w:t>(S</w:t>
      </w:r>
      <w:r w:rsidRPr="00C373ED">
        <w:rPr>
          <w:rFonts w:ascii="Palatino Linotype" w:eastAsia="Palatino Linotype" w:hAnsi="Palatino Linotype" w:cs="Palatino Linotype"/>
          <w:sz w:val="22"/>
          <w:szCs w:val="22"/>
        </w:rPr>
        <w:t>ic)</w:t>
      </w:r>
    </w:p>
    <w:p w14:paraId="2F2C84F2" w14:textId="77777777" w:rsidR="009C666B" w:rsidRDefault="009C666B" w:rsidP="009C666B">
      <w:pPr>
        <w:spacing w:line="360" w:lineRule="auto"/>
        <w:ind w:right="141"/>
        <w:jc w:val="both"/>
        <w:rPr>
          <w:rFonts w:ascii="Palatino Linotype" w:hAnsi="Palatino Linotype" w:cs="Arial"/>
          <w:bCs/>
          <w:i/>
        </w:rPr>
      </w:pPr>
    </w:p>
    <w:p w14:paraId="2D4849E7" w14:textId="618B1188" w:rsidR="003F0929" w:rsidRDefault="00BB071F" w:rsidP="009C666B">
      <w:pPr>
        <w:spacing w:line="360" w:lineRule="auto"/>
        <w:ind w:right="141"/>
        <w:jc w:val="both"/>
        <w:rPr>
          <w:rFonts w:ascii="Palatino Linotype" w:hAnsi="Palatino Linotype" w:cs="Arial"/>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Pr>
          <w:rFonts w:ascii="Palatino Linotype" w:hAnsi="Palatino Linotype"/>
          <w:b/>
        </w:rPr>
        <w:t>ORDENA</w:t>
      </w:r>
      <w:r w:rsidR="00F47FB5">
        <w:rPr>
          <w:rFonts w:ascii="Palatino Linotype" w:hAnsi="Palatino Linotype"/>
          <w:b/>
        </w:rPr>
        <w:t>R</w:t>
      </w:r>
      <w:r>
        <w:rPr>
          <w:rFonts w:ascii="Palatino Linotype" w:hAnsi="Palatino Linotype"/>
          <w:b/>
        </w:rPr>
        <w:t xml:space="preserve">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 haga entrega vía SAIMEX, </w:t>
      </w:r>
      <w:r w:rsidR="003F0929">
        <w:rPr>
          <w:rFonts w:ascii="Palatino Linotype" w:hAnsi="Palatino Linotype" w:cs="Arial"/>
          <w:lang w:val="es-419"/>
        </w:rPr>
        <w:t xml:space="preserve">en su caso, en versión pública, </w:t>
      </w:r>
      <w:r w:rsidR="003F0929">
        <w:rPr>
          <w:rFonts w:ascii="Palatino Linotype" w:hAnsi="Palatino Linotype" w:cs="Arial"/>
        </w:rPr>
        <w:t>de lo siguiente:</w:t>
      </w:r>
    </w:p>
    <w:p w14:paraId="2624488A" w14:textId="77777777" w:rsidR="00B7434C" w:rsidRDefault="00B7434C" w:rsidP="009C666B">
      <w:pPr>
        <w:spacing w:line="360" w:lineRule="auto"/>
        <w:ind w:right="141"/>
        <w:jc w:val="both"/>
        <w:rPr>
          <w:rFonts w:ascii="Palatino Linotype" w:hAnsi="Palatino Linotype" w:cs="Arial"/>
          <w:lang w:val="es-MX"/>
        </w:rPr>
      </w:pPr>
    </w:p>
    <w:p w14:paraId="542DEFDB" w14:textId="182AF79B" w:rsidR="00B7434C" w:rsidRPr="00705F57" w:rsidRDefault="00B7434C" w:rsidP="00B7434C">
      <w:pPr>
        <w:spacing w:before="240" w:after="240" w:line="360" w:lineRule="auto"/>
        <w:ind w:left="851"/>
        <w:jc w:val="both"/>
        <w:rPr>
          <w:rFonts w:ascii="Palatino Linotype" w:eastAsia="Palatino Linotype" w:hAnsi="Palatino Linotype" w:cs="Palatino Linotype"/>
        </w:rPr>
      </w:pPr>
      <w:r>
        <w:rPr>
          <w:rFonts w:ascii="Palatino Linotype" w:eastAsia="Palatino Linotype" w:hAnsi="Palatino Linotype" w:cs="Palatino Linotype"/>
        </w:rPr>
        <w:t>"</w:t>
      </w:r>
      <w:r w:rsidRPr="00705F57">
        <w:rPr>
          <w:rFonts w:ascii="Palatino Linotype" w:eastAsia="Palatino Linotype" w:hAnsi="Palatino Linotype" w:cs="Palatino Linotype"/>
        </w:rPr>
        <w:t>1. Conciliación de nómina de la primera y segunda quincena de diciembre de dos mil veintidós.</w:t>
      </w:r>
    </w:p>
    <w:p w14:paraId="6D2ECAC7" w14:textId="04612D77" w:rsidR="00B7434C" w:rsidRDefault="00B7434C" w:rsidP="00B7434C">
      <w:pPr>
        <w:tabs>
          <w:tab w:val="left" w:pos="851"/>
        </w:tabs>
        <w:spacing w:before="240" w:after="240"/>
        <w:ind w:left="567"/>
        <w:jc w:val="both"/>
        <w:rPr>
          <w:rFonts w:ascii="Palatino Linotype" w:eastAsia="Palatino Linotype" w:hAnsi="Palatino Linotype" w:cs="Palatino Linotype"/>
          <w:i/>
          <w:sz w:val="20"/>
          <w:szCs w:val="20"/>
        </w:rPr>
      </w:pPr>
      <w:r w:rsidRPr="00705F57">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705F57">
        <w:rPr>
          <w:rFonts w:ascii="Palatino Linotype" w:eastAsia="Palatino Linotype" w:hAnsi="Palatino Linotype" w:cs="Palatino Linotype"/>
          <w:b/>
          <w:i/>
          <w:sz w:val="20"/>
          <w:szCs w:val="20"/>
        </w:rPr>
        <w:t>Recurrente</w:t>
      </w:r>
      <w:r w:rsidRPr="00705F57">
        <w:rPr>
          <w:rFonts w:ascii="Palatino Linotype" w:eastAsia="Palatino Linotype" w:hAnsi="Palatino Linotype" w:cs="Palatino Linotype"/>
          <w:i/>
          <w:sz w:val="20"/>
          <w:szCs w:val="20"/>
        </w:rPr>
        <w:t>.</w:t>
      </w:r>
      <w:r>
        <w:rPr>
          <w:rFonts w:ascii="Palatino Linotype" w:eastAsia="Palatino Linotype" w:hAnsi="Palatino Linotype" w:cs="Palatino Linotype"/>
          <w:i/>
          <w:sz w:val="20"/>
          <w:szCs w:val="20"/>
        </w:rPr>
        <w:t>”</w:t>
      </w:r>
    </w:p>
    <w:p w14:paraId="606FB30E" w14:textId="77777777" w:rsidR="009A5ED0" w:rsidRPr="00705F57" w:rsidRDefault="009A5ED0" w:rsidP="00B7434C">
      <w:pPr>
        <w:tabs>
          <w:tab w:val="left" w:pos="851"/>
        </w:tabs>
        <w:spacing w:before="240" w:after="240"/>
        <w:ind w:left="567"/>
        <w:jc w:val="both"/>
        <w:rPr>
          <w:rFonts w:ascii="Palatino Linotype" w:eastAsia="Palatino Linotype" w:hAnsi="Palatino Linotype" w:cs="Palatino Linotype"/>
          <w:i/>
          <w:sz w:val="20"/>
          <w:szCs w:val="20"/>
        </w:rPr>
      </w:pPr>
    </w:p>
    <w:p w14:paraId="4E4DDD07" w14:textId="62C66C73" w:rsidR="009B6CFB" w:rsidRDefault="009B6CFB" w:rsidP="00B7434C">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que colman la solicitud, </w:t>
      </w:r>
      <w:r>
        <w:rPr>
          <w:rFonts w:ascii="Palatino Linotype" w:eastAsia="Calibri" w:hAnsi="Palatino Linotype" w:cs="Tahoma"/>
          <w:bCs/>
          <w:lang w:eastAsia="en-US"/>
        </w:rPr>
        <w:t>podían</w:t>
      </w:r>
      <w:r w:rsidRPr="00C242A7">
        <w:rPr>
          <w:rFonts w:ascii="Palatino Linotype" w:eastAsia="Calibri" w:hAnsi="Palatino Linotype" w:cs="Tahoma"/>
          <w:bCs/>
          <w:lang w:eastAsia="en-US"/>
        </w:rPr>
        <w:t xml:space="preserve"> contener el nombre y cargo de los elementos operativos del área de seguridad pública del </w:t>
      </w:r>
      <w:r w:rsidRPr="009B6CFB">
        <w:rPr>
          <w:rFonts w:ascii="Palatino Linotype" w:eastAsia="Calibri" w:hAnsi="Palatino Linotype" w:cs="Tahoma"/>
          <w:bCs/>
          <w:lang w:eastAsia="en-US"/>
        </w:rPr>
        <w:t>Sujeto Obligado</w:t>
      </w:r>
      <w:r w:rsidRPr="00C242A7">
        <w:rPr>
          <w:rFonts w:ascii="Palatino Linotype" w:eastAsia="Calibri" w:hAnsi="Palatino Linotype" w:cs="Tahoma"/>
          <w:bCs/>
          <w:lang w:eastAsia="en-US"/>
        </w:rPr>
        <w:t xml:space="preserve">, </w:t>
      </w:r>
      <w:r>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la entrega de la información en versión pública, así como el Acuerdo de Clasificación emitido por el Comité de Transparencia.</w:t>
      </w:r>
    </w:p>
    <w:p w14:paraId="1C2535FA" w14:textId="77777777" w:rsidR="009B6CFB" w:rsidRPr="006D51DF" w:rsidRDefault="009B6CFB" w:rsidP="009B6CFB">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Cs/>
          <w:lang w:eastAsia="en-US"/>
        </w:rPr>
        <w:lastRenderedPageBreak/>
        <w:t>Si bien</w:t>
      </w:r>
      <w:r w:rsidRPr="00C242A7">
        <w:rPr>
          <w:rFonts w:ascii="Palatino Linotype" w:eastAsia="Calibri" w:hAnsi="Palatino Linotype" w:cs="Tahoma"/>
          <w:bCs/>
          <w:lang w:eastAsia="en-US"/>
        </w:rPr>
        <w:t xml:space="preserve"> se comparten los términos generales planteados en la Resolución, así como con la reserva del nombre de aquellos servidores públicos que realizan funciones de seguridad pública, </w:t>
      </w:r>
      <w:r w:rsidRPr="00CD2984">
        <w:rPr>
          <w:rFonts w:ascii="Palatino Linotype" w:eastAsia="Calibri" w:hAnsi="Palatino Linotype" w:cs="Tahoma"/>
          <w:b/>
          <w:bCs/>
          <w:lang w:eastAsia="en-US"/>
        </w:rPr>
        <w:t>no se acompaña la clasificación del cargo de los elementos operativos</w:t>
      </w:r>
      <w:r>
        <w:rPr>
          <w:rFonts w:ascii="Palatino Linotype" w:eastAsia="Calibri" w:hAnsi="Palatino Linotype" w:cs="Tahoma"/>
          <w:bCs/>
          <w:lang w:eastAsia="en-US"/>
        </w:rPr>
        <w:t xml:space="preserve"> </w:t>
      </w:r>
      <w:r>
        <w:rPr>
          <w:rFonts w:ascii="Palatino Linotype" w:eastAsia="Calibri" w:hAnsi="Palatino Linotype" w:cs="Tahoma"/>
          <w:b/>
          <w:bCs/>
          <w:lang w:eastAsia="en-US"/>
        </w:rPr>
        <w:t>de seguridad, ya que no se configura razón alguna, por lo cual, la entrega de dicha información los haga identificables o ponga en riesgo su vida o integridad; por lo que dada la importancia de la actividad que elaboran los elementos operativos, la sociedad de tener plena certeza de su actuar, y siendo el acceso a la información pública (que tutela nuestro Instituto) un medio por el cual la sociedad puede obtener información sobre su desempeño y rendición de cuentas.</w:t>
      </w:r>
    </w:p>
    <w:p w14:paraId="5A9488E4" w14:textId="77777777" w:rsidR="009B6CFB" w:rsidRDefault="009B6CFB" w:rsidP="009B6CFB">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0F548133" w14:textId="77777777" w:rsidR="009B6CFB" w:rsidRPr="006A1040" w:rsidRDefault="009B6CFB" w:rsidP="009B6CFB">
      <w:pPr>
        <w:pStyle w:val="Ttulo1"/>
        <w:rPr>
          <w:rFonts w:ascii="Palatino Linotype" w:eastAsia="Calibri" w:hAnsi="Palatino Linotype" w:cs="Tahoma"/>
          <w:bCs w:val="0"/>
          <w:sz w:val="24"/>
          <w:lang w:eastAsia="en-US"/>
        </w:rPr>
      </w:pPr>
      <w:r w:rsidRPr="006A1040">
        <w:rPr>
          <w:rFonts w:ascii="Palatino Linotype" w:eastAsia="Palatino Linotype" w:hAnsi="Palatino Linotype" w:cs="Palatino Linotype"/>
          <w:color w:val="000000"/>
          <w:sz w:val="24"/>
          <w:lang w:val="es-ES_tradnl"/>
        </w:rPr>
        <w:t>II.- Análisis de fondo.</w:t>
      </w:r>
    </w:p>
    <w:p w14:paraId="37ED4A5C" w14:textId="77777777" w:rsidR="009B6CFB" w:rsidRDefault="009B6CFB" w:rsidP="009B6CFB">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Al respecto, se indica que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w:t>
      </w:r>
      <w:r>
        <w:rPr>
          <w:rFonts w:ascii="Palatino Linotype" w:eastAsia="Calibri" w:hAnsi="Palatino Linotype" w:cs="Tahoma"/>
          <w:bCs/>
          <w:lang w:eastAsia="en-US"/>
        </w:rPr>
        <w:lastRenderedPageBreak/>
        <w:t>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54A742E" w14:textId="77777777" w:rsidR="009B6CFB" w:rsidRDefault="009B6CFB" w:rsidP="009B6CFB">
      <w:pPr>
        <w:spacing w:before="100" w:beforeAutospacing="1" w:after="100" w:afterAutospacing="1" w:line="360" w:lineRule="auto"/>
        <w:jc w:val="both"/>
        <w:rPr>
          <w:rFonts w:ascii="Palatino Linotype" w:hAnsi="Palatino Linotype"/>
        </w:rPr>
      </w:pPr>
      <w:r>
        <w:rPr>
          <w:rFonts w:ascii="Palatino Linotype" w:hAnsi="Palatino Linotype"/>
        </w:rPr>
        <w:t>Por lo que determina</w:t>
      </w:r>
      <w:r w:rsidRPr="00700DF1">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Pr>
          <w:rFonts w:ascii="Palatino Linotype" w:hAnsi="Palatino Linotype"/>
        </w:rPr>
        <w:t xml:space="preserve">us diferentes manifestaciones. </w:t>
      </w:r>
    </w:p>
    <w:p w14:paraId="3457CA80" w14:textId="77777777" w:rsidR="009B6CFB" w:rsidRDefault="009B6CFB" w:rsidP="009B6CFB">
      <w:pPr>
        <w:spacing w:before="100" w:beforeAutospacing="1" w:after="100" w:afterAutospacing="1" w:line="360" w:lineRule="auto"/>
        <w:jc w:val="both"/>
        <w:rPr>
          <w:rFonts w:ascii="Palatino Linotype" w:hAnsi="Palatino Linotype"/>
        </w:rPr>
      </w:pPr>
      <w:r>
        <w:rPr>
          <w:rFonts w:ascii="Palatino Linotype" w:hAnsi="Palatino Linotype"/>
        </w:rPr>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Pr>
          <w:rFonts w:ascii="Palatino Linotype" w:hAnsi="Palatino Linotype"/>
        </w:rPr>
        <w:t xml:space="preserve">, </w:t>
      </w:r>
      <w:r w:rsidRPr="00CB2F05">
        <w:rPr>
          <w:rFonts w:ascii="Palatino Linotype" w:hAnsi="Palatino Linotype"/>
          <w:b/>
        </w:rPr>
        <w:t>no se comparte que se clasifique como reservado el  cargo de los elementos operativos de la Dirección de Seguridad Pública,</w:t>
      </w:r>
      <w:r w:rsidRPr="00B17E67">
        <w:rPr>
          <w:rFonts w:ascii="Palatino Linotype" w:hAnsi="Palatino Linotype"/>
        </w:rPr>
        <w:t xml:space="preserve"> </w:t>
      </w:r>
      <w:r w:rsidRPr="00CE3168">
        <w:rPr>
          <w:rFonts w:ascii="Palatino Linotype" w:hAnsi="Palatino Linotype"/>
        </w:rPr>
        <w:t xml:space="preserve"> </w:t>
      </w:r>
      <w:r w:rsidRPr="006F62BA">
        <w:rPr>
          <w:rFonts w:ascii="Palatino Linotype" w:hAnsi="Palatino Linotype"/>
        </w:rPr>
        <w:t>ya que no se aprecia</w:t>
      </w:r>
      <w:r>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Pr>
          <w:rFonts w:ascii="Palatino Linotype" w:hAnsi="Palatino Linotype"/>
        </w:rPr>
        <w:t xml:space="preserve">, ni </w:t>
      </w:r>
      <w:r w:rsidRPr="000625B1">
        <w:rPr>
          <w:rFonts w:ascii="Palatino Linotype" w:hAnsi="Palatino Linotype"/>
        </w:rPr>
        <w:t xml:space="preserve">de qué forma dicha información comprometa la </w:t>
      </w:r>
      <w:r>
        <w:rPr>
          <w:rFonts w:ascii="Palatino Linotype" w:hAnsi="Palatino Linotype"/>
        </w:rPr>
        <w:t>seguridad pública del Municipio.</w:t>
      </w:r>
    </w:p>
    <w:p w14:paraId="27005669" w14:textId="77777777" w:rsidR="009B6CFB" w:rsidRPr="002F2209" w:rsidRDefault="009B6CFB" w:rsidP="009B6CFB">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t>Tenemos que l</w:t>
      </w:r>
      <w:r w:rsidRPr="002F2209">
        <w:rPr>
          <w:rFonts w:ascii="Palatino Linotype" w:hAnsi="Palatino Linotype" w:cs="Tahoma"/>
        </w:rPr>
        <w:t xml:space="preserve">a 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w:t>
      </w:r>
      <w:r w:rsidRPr="002F2209">
        <w:rPr>
          <w:rFonts w:ascii="Palatino Linotype" w:hAnsi="Palatino Linotype" w:cs="Tahoma"/>
        </w:rPr>
        <w:lastRenderedPageBreak/>
        <w:t xml:space="preserve">factores de riesgo ligados a la criminalidad, fortalecer la estructura social, crear las condiciones necesarias para contrarrestar las causas del delito y construir corporaciones policiacas profesionales y capacitadas. </w:t>
      </w:r>
    </w:p>
    <w:p w14:paraId="52FFBFAD" w14:textId="77777777" w:rsidR="009B6CFB" w:rsidRDefault="009B6CFB" w:rsidP="009B6CFB">
      <w:pPr>
        <w:pStyle w:val="Prrafodelista"/>
        <w:spacing w:line="360" w:lineRule="auto"/>
        <w:ind w:left="0"/>
        <w:jc w:val="both"/>
        <w:rPr>
          <w:rFonts w:ascii="Palatino Linotype" w:hAnsi="Palatino Linotype" w:cs="Tahoma"/>
        </w:rPr>
      </w:pPr>
    </w:p>
    <w:p w14:paraId="38693F44"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38ACF15D" w14:textId="77777777" w:rsidR="009B6CFB" w:rsidRDefault="009B6CFB" w:rsidP="009B6CFB">
      <w:pPr>
        <w:pStyle w:val="Prrafodelista"/>
        <w:spacing w:line="360" w:lineRule="auto"/>
        <w:ind w:left="0"/>
        <w:jc w:val="both"/>
        <w:rPr>
          <w:rFonts w:ascii="Palatino Linotype" w:hAnsi="Palatino Linotype" w:cs="Tahoma"/>
        </w:rPr>
      </w:pPr>
    </w:p>
    <w:p w14:paraId="5DB45892"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6AB6C66F" w14:textId="77777777" w:rsidR="009B6CFB" w:rsidRDefault="009B6CFB" w:rsidP="009B6CFB">
      <w:pPr>
        <w:pStyle w:val="Prrafodelista"/>
        <w:spacing w:line="360" w:lineRule="auto"/>
        <w:ind w:left="0"/>
        <w:jc w:val="both"/>
        <w:rPr>
          <w:rFonts w:ascii="Palatino Linotype" w:hAnsi="Palatino Linotype" w:cs="Tahoma"/>
        </w:rPr>
      </w:pPr>
    </w:p>
    <w:p w14:paraId="00E771A9"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4A0011FF" w14:textId="77777777" w:rsidR="009B6CFB" w:rsidRDefault="009B6CFB" w:rsidP="009B6CFB">
      <w:pPr>
        <w:pStyle w:val="Prrafodelista"/>
        <w:spacing w:line="360" w:lineRule="auto"/>
        <w:ind w:left="0"/>
        <w:jc w:val="both"/>
        <w:rPr>
          <w:rFonts w:ascii="Palatino Linotype" w:hAnsi="Palatino Linotype" w:cs="Tahoma"/>
        </w:rPr>
      </w:pPr>
    </w:p>
    <w:p w14:paraId="7FBF46EA"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w:t>
      </w:r>
      <w:r>
        <w:rPr>
          <w:rFonts w:ascii="Palatino Linotype" w:hAnsi="Palatino Linotype" w:cs="Tahoma"/>
        </w:rPr>
        <w:lastRenderedPageBreak/>
        <w:t xml:space="preserve">profesionalismo, honradez y respeto a los derechos humanos reconocidos en el marco jurídico. </w:t>
      </w:r>
    </w:p>
    <w:p w14:paraId="383506D0" w14:textId="77777777" w:rsidR="009A5ED0" w:rsidRDefault="009A5ED0" w:rsidP="009B6CFB">
      <w:pPr>
        <w:pStyle w:val="Prrafodelista"/>
        <w:spacing w:line="360" w:lineRule="auto"/>
        <w:ind w:left="0"/>
        <w:jc w:val="both"/>
        <w:rPr>
          <w:rFonts w:ascii="Palatino Linotype" w:hAnsi="Palatino Linotype" w:cs="Tahoma"/>
        </w:rPr>
      </w:pPr>
    </w:p>
    <w:p w14:paraId="5BC4CE2C"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282661AD" w14:textId="77777777" w:rsidR="009B6CFB" w:rsidRDefault="009B6CFB" w:rsidP="009B6CFB">
      <w:pPr>
        <w:pStyle w:val="Prrafodelista"/>
        <w:spacing w:line="360" w:lineRule="auto"/>
        <w:ind w:left="0"/>
        <w:jc w:val="both"/>
        <w:rPr>
          <w:rFonts w:ascii="Palatino Linotype" w:hAnsi="Palatino Linotype" w:cs="Tahoma"/>
        </w:rPr>
      </w:pPr>
    </w:p>
    <w:p w14:paraId="637DEEB4"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713B6CD1" w14:textId="77777777" w:rsidR="009B6CFB" w:rsidRDefault="009B6CFB" w:rsidP="009B6CFB">
      <w:pPr>
        <w:pStyle w:val="Prrafodelista"/>
        <w:spacing w:line="360" w:lineRule="auto"/>
        <w:ind w:left="0"/>
        <w:jc w:val="both"/>
        <w:rPr>
          <w:rFonts w:ascii="Palatino Linotype" w:hAnsi="Palatino Linotype" w:cs="Tahoma"/>
        </w:rPr>
      </w:pPr>
    </w:p>
    <w:p w14:paraId="0FCA90AE" w14:textId="77777777" w:rsidR="009B6CFB" w:rsidRPr="000625B1" w:rsidRDefault="009B6CFB" w:rsidP="009B6CFB">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691D1556"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1BC871F1" w14:textId="77777777" w:rsidR="009B6CFB" w:rsidRPr="00432732" w:rsidRDefault="009B6CFB" w:rsidP="009B6CFB">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Pr="008B5B18">
        <w:rPr>
          <w:rFonts w:ascii="Palatino Linotype" w:hAnsi="Palatino Linotype"/>
          <w:b/>
          <w:i/>
          <w:sz w:val="22"/>
        </w:rPr>
        <w:t>Artículo 2.-</w:t>
      </w:r>
      <w:r w:rsidRPr="00432732">
        <w:rPr>
          <w:rFonts w:ascii="Palatino Linotype" w:hAnsi="Palatino Linotype"/>
          <w:i/>
          <w:sz w:val="22"/>
        </w:rPr>
        <w:t xml:space="preserv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w:t>
      </w:r>
      <w:r w:rsidRPr="00432732">
        <w:rPr>
          <w:rFonts w:ascii="Palatino Linotype" w:hAnsi="Palatino Linotype"/>
          <w:i/>
          <w:sz w:val="22"/>
        </w:rPr>
        <w:lastRenderedPageBreak/>
        <w:t>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r>
        <w:rPr>
          <w:rFonts w:ascii="Palatino Linotype" w:hAnsi="Palatino Linotype"/>
          <w:i/>
          <w:sz w:val="22"/>
        </w:rPr>
        <w:t>”</w:t>
      </w:r>
    </w:p>
    <w:p w14:paraId="73C7DB07" w14:textId="77777777" w:rsidR="009B6CFB" w:rsidRDefault="009B6CFB" w:rsidP="009B6CFB">
      <w:pPr>
        <w:pStyle w:val="Prrafodelista"/>
        <w:spacing w:line="360" w:lineRule="auto"/>
        <w:ind w:left="0"/>
        <w:jc w:val="both"/>
        <w:rPr>
          <w:rFonts w:ascii="Palatino Linotype" w:hAnsi="Palatino Linotype" w:cs="Tahoma"/>
        </w:rPr>
      </w:pPr>
    </w:p>
    <w:p w14:paraId="552A8963" w14:textId="77777777" w:rsidR="009B6CFB" w:rsidRDefault="009B6CFB" w:rsidP="009B6CFB">
      <w:pPr>
        <w:pStyle w:val="Prrafodelista"/>
        <w:spacing w:line="360" w:lineRule="auto"/>
        <w:ind w:left="0"/>
        <w:jc w:val="both"/>
        <w:rPr>
          <w:rFonts w:ascii="Palatino Linotype" w:hAnsi="Palatino Linotype" w:cs="Tahoma"/>
        </w:rPr>
      </w:pPr>
      <w:bookmarkStart w:id="2" w:name="_Toc88136406"/>
      <w:r>
        <w:rPr>
          <w:rFonts w:ascii="Palatino Linotype" w:hAnsi="Palatino Linotype" w:cs="Tahoma"/>
        </w:rPr>
        <w:t xml:space="preserve">En consecuencia, garantizar la seguridad pública conlleva un actuar de forma profesional, responsable y transparente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5BE57FE4" w14:textId="77777777" w:rsidR="009B6CFB" w:rsidRDefault="009B6CFB" w:rsidP="009B6CFB">
      <w:pPr>
        <w:pStyle w:val="Prrafodelista"/>
        <w:spacing w:line="360" w:lineRule="auto"/>
        <w:ind w:left="0"/>
        <w:jc w:val="both"/>
        <w:rPr>
          <w:rFonts w:ascii="Palatino Linotype" w:hAnsi="Palatino Linotype" w:cs="Tahoma"/>
        </w:rPr>
      </w:pPr>
    </w:p>
    <w:bookmarkEnd w:id="2"/>
    <w:p w14:paraId="0E68415F"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Cabe precisar que por disposición legal los integrantes de una institución policial están obligados a identificarse, e incluso l</w:t>
      </w:r>
      <w:r w:rsidRPr="00A66A81">
        <w:rPr>
          <w:rFonts w:ascii="Palatino Linotype" w:hAnsi="Palatino Linotype" w:cs="Tahoma"/>
        </w:rPr>
        <w:t xml:space="preserve">as Instituciones de Seguridad Pública emitirán un documento de identificación a cada uno de sus integrantes, lo anterior de conformidad con el artículo 102  </w:t>
      </w:r>
      <w:r>
        <w:rPr>
          <w:rFonts w:ascii="Palatino Linotype" w:hAnsi="Palatino Linotype" w:cs="Tahoma"/>
        </w:rPr>
        <w:t>de la Ley de Seguridad del Estado de México, que refiere:</w:t>
      </w:r>
    </w:p>
    <w:p w14:paraId="50A0906F"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p>
    <w:p w14:paraId="3AD1D1A2"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Pr>
          <w:rFonts w:ascii="Palatino Linotype" w:hAnsi="Palatino Linotype"/>
          <w:sz w:val="22"/>
        </w:rPr>
        <w:t>“</w:t>
      </w:r>
      <w:r w:rsidRPr="008B5B18">
        <w:rPr>
          <w:rFonts w:ascii="Palatino Linotype" w:hAnsi="Palatino Linotype"/>
          <w:b/>
          <w:sz w:val="22"/>
        </w:rPr>
        <w:t xml:space="preserve">Artículo </w:t>
      </w:r>
      <w:r w:rsidRPr="008B5B18">
        <w:rPr>
          <w:rFonts w:ascii="Palatino Linotype" w:hAnsi="Palatino Linotype" w:cs="Tahoma"/>
          <w:b/>
          <w:i/>
          <w:sz w:val="22"/>
        </w:rPr>
        <w:t>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 </w:t>
      </w:r>
    </w:p>
    <w:p w14:paraId="1E640F7E"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Nombre del integrante de la Institución de Seguridad Pública; </w:t>
      </w:r>
    </w:p>
    <w:p w14:paraId="7FB30DDE"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w:t>
      </w:r>
      <w:r w:rsidRPr="00432732">
        <w:rPr>
          <w:rFonts w:ascii="Palatino Linotype" w:hAnsi="Palatino Linotype" w:cs="Tahoma"/>
          <w:i/>
          <w:sz w:val="22"/>
        </w:rPr>
        <w:t xml:space="preserve"> </w:t>
      </w:r>
      <w:r w:rsidRPr="00432732">
        <w:rPr>
          <w:rFonts w:ascii="Palatino Linotype" w:hAnsi="Palatino Linotype" w:cs="Tahoma"/>
          <w:b/>
          <w:i/>
          <w:sz w:val="22"/>
        </w:rPr>
        <w:t>Cargo y nivel jerárquico</w:t>
      </w:r>
      <w:r w:rsidRPr="00432732">
        <w:rPr>
          <w:rFonts w:ascii="Palatino Linotype" w:hAnsi="Palatino Linotype" w:cs="Tahoma"/>
          <w:i/>
          <w:sz w:val="22"/>
        </w:rPr>
        <w:t xml:space="preserve">; </w:t>
      </w:r>
    </w:p>
    <w:p w14:paraId="1327E73A"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lastRenderedPageBreak/>
        <w:t>III.</w:t>
      </w:r>
      <w:r w:rsidRPr="00432732">
        <w:rPr>
          <w:rFonts w:ascii="Palatino Linotype" w:hAnsi="Palatino Linotype" w:cs="Tahoma"/>
          <w:i/>
          <w:sz w:val="22"/>
        </w:rPr>
        <w:t xml:space="preserve"> Fotografía del integrante debidamente sellada en uno de sus extremos con las protecciones tecnológicas que se implementen para evitar su reproducción ilegal; </w:t>
      </w:r>
    </w:p>
    <w:p w14:paraId="7CDE4CFF"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IV.</w:t>
      </w:r>
      <w:r w:rsidRPr="00432732">
        <w:rPr>
          <w:rFonts w:ascii="Palatino Linotype" w:hAnsi="Palatino Linotype" w:cs="Tahoma"/>
          <w:i/>
          <w:sz w:val="22"/>
        </w:rPr>
        <w:t xml:space="preserve"> Huella digital del integrante de la Institución de Seguridad Pública; </w:t>
      </w:r>
    </w:p>
    <w:p w14:paraId="773CC3ED"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w:t>
      </w:r>
      <w:r w:rsidRPr="00432732">
        <w:rPr>
          <w:rFonts w:ascii="Palatino Linotype" w:hAnsi="Palatino Linotype" w:cs="Tahoma"/>
          <w:i/>
          <w:sz w:val="22"/>
        </w:rPr>
        <w:t xml:space="preserve"> Clave de inscripción en el Registro Nacional de Personal de Seguridad Pública; </w:t>
      </w:r>
    </w:p>
    <w:p w14:paraId="71354D83"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w:t>
      </w:r>
      <w:r w:rsidRPr="00432732">
        <w:rPr>
          <w:rFonts w:ascii="Palatino Linotype" w:hAnsi="Palatino Linotype" w:cs="Tahoma"/>
          <w:i/>
          <w:sz w:val="22"/>
        </w:rPr>
        <w:t xml:space="preserve"> Firma del integrante; </w:t>
      </w:r>
    </w:p>
    <w:p w14:paraId="24EB8284"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w:t>
      </w:r>
      <w:r w:rsidRPr="00432732">
        <w:rPr>
          <w:rFonts w:ascii="Palatino Linotype" w:hAnsi="Palatino Linotype" w:cs="Tahoma"/>
          <w:i/>
          <w:sz w:val="22"/>
        </w:rPr>
        <w:t xml:space="preserve"> Nombre, cargo, nivel jerárquico y firma del servidor público que emite el documento de identificación; y </w:t>
      </w:r>
    </w:p>
    <w:p w14:paraId="79FAD964"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VIII.</w:t>
      </w:r>
      <w:r w:rsidRPr="00432732">
        <w:rPr>
          <w:rFonts w:ascii="Palatino Linotype" w:hAnsi="Palatino Linotype" w:cs="Tahoma"/>
          <w:i/>
          <w:sz w:val="22"/>
        </w:rPr>
        <w:t xml:space="preserve"> En su caso, señalar que el documento de identificación ampara la portación de arma de cargo, precisando los datos de la licencia oficial colectiva, en términos de las disposiciones aplicables. </w:t>
      </w:r>
    </w:p>
    <w:p w14:paraId="2772D08F"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p>
    <w:p w14:paraId="7AB7C1E8"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sz w:val="22"/>
        </w:rPr>
      </w:pPr>
      <w:r w:rsidRPr="00432732">
        <w:rPr>
          <w:rFonts w:ascii="Palatino Linotype" w:hAnsi="Palatino Linotype" w:cs="Tahoma"/>
          <w:i/>
          <w:sz w:val="22"/>
        </w:rPr>
        <w:t>Los servidores públicos de las instituciones de seguridad pública tienen la obligación de identificarse, salvo los casos previstos en la Ley, a fin de que el ciudadano se cerciore que cuenta c</w:t>
      </w:r>
      <w:r>
        <w:rPr>
          <w:rFonts w:ascii="Palatino Linotype" w:hAnsi="Palatino Linotype" w:cs="Tahoma"/>
          <w:i/>
          <w:sz w:val="22"/>
        </w:rPr>
        <w:t>on el registro correspondiente.”</w:t>
      </w:r>
    </w:p>
    <w:p w14:paraId="7696D7D1" w14:textId="77777777" w:rsidR="009B6CFB" w:rsidRDefault="009B6CFB" w:rsidP="009B6CFB">
      <w:pPr>
        <w:tabs>
          <w:tab w:val="left" w:pos="8789"/>
          <w:tab w:val="left" w:pos="9639"/>
          <w:tab w:val="left" w:pos="9923"/>
        </w:tabs>
        <w:spacing w:line="360" w:lineRule="auto"/>
        <w:ind w:right="-425"/>
        <w:jc w:val="both"/>
      </w:pPr>
    </w:p>
    <w:p w14:paraId="13E2548E"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6CD28727"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p>
    <w:p w14:paraId="6397CC84" w14:textId="77777777" w:rsidR="009B6CFB" w:rsidRPr="00432732" w:rsidRDefault="009B6CFB" w:rsidP="009B6CFB">
      <w:pPr>
        <w:autoSpaceDE w:val="0"/>
        <w:autoSpaceDN w:val="0"/>
        <w:adjustRightInd w:val="0"/>
        <w:spacing w:line="276" w:lineRule="auto"/>
        <w:ind w:left="567" w:right="567"/>
        <w:jc w:val="center"/>
        <w:rPr>
          <w:rFonts w:ascii="Palatino Linotype" w:hAnsi="Palatino Linotype" w:cs="Times"/>
          <w:b/>
          <w:i/>
          <w:sz w:val="22"/>
          <w:u w:val="single"/>
        </w:rPr>
      </w:pPr>
      <w:r w:rsidRPr="00432732">
        <w:rPr>
          <w:rFonts w:ascii="Palatino Linotype" w:hAnsi="Palatino Linotype" w:cs="Times"/>
          <w:i/>
          <w:sz w:val="22"/>
          <w:u w:val="single"/>
        </w:rPr>
        <w:t>“</w:t>
      </w:r>
      <w:r w:rsidRPr="00432732">
        <w:rPr>
          <w:rFonts w:ascii="Palatino Linotype" w:hAnsi="Palatino Linotype" w:cs="Times"/>
          <w:b/>
          <w:i/>
          <w:sz w:val="22"/>
          <w:u w:val="single"/>
        </w:rPr>
        <w:t>Ley de Seguridad del Estado de México:</w:t>
      </w:r>
    </w:p>
    <w:p w14:paraId="518DCCC7" w14:textId="77777777" w:rsidR="009B6CFB" w:rsidRPr="00432732" w:rsidRDefault="009B6CFB" w:rsidP="009B6CFB">
      <w:pPr>
        <w:spacing w:line="276" w:lineRule="auto"/>
        <w:ind w:left="567" w:right="567"/>
        <w:jc w:val="both"/>
        <w:rPr>
          <w:rFonts w:ascii="Palatino Linotype" w:hAnsi="Palatino Linotype" w:cs="Tahoma"/>
          <w:sz w:val="22"/>
        </w:rPr>
      </w:pPr>
    </w:p>
    <w:p w14:paraId="47F5CC8D" w14:textId="77777777" w:rsidR="009B6CFB" w:rsidRPr="00432732" w:rsidRDefault="009B6CFB" w:rsidP="009B6CFB">
      <w:pPr>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100.-</w:t>
      </w:r>
      <w:r w:rsidRPr="00432732">
        <w:rPr>
          <w:rFonts w:ascii="Palatino Linotype" w:hAnsi="Palatino Linotype" w:cs="Tahoma"/>
          <w:i/>
          <w:sz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3BB52A65" w14:textId="77777777" w:rsidR="009B6CFB" w:rsidRPr="00432732" w:rsidRDefault="009B6CFB" w:rsidP="009B6CFB">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3028311F" w14:textId="77777777" w:rsidR="009B6CFB" w:rsidRPr="008B5B18" w:rsidRDefault="009B6CFB" w:rsidP="009B6CFB">
      <w:pPr>
        <w:spacing w:line="276" w:lineRule="auto"/>
        <w:ind w:left="567" w:right="567"/>
        <w:jc w:val="both"/>
        <w:rPr>
          <w:rFonts w:ascii="Palatino Linotype" w:hAnsi="Palatino Linotype" w:cs="Tahoma"/>
          <w:b/>
          <w:i/>
          <w:sz w:val="22"/>
        </w:rPr>
      </w:pPr>
      <w:r w:rsidRPr="008B5B18">
        <w:rPr>
          <w:rFonts w:ascii="Palatino Linotype" w:hAnsi="Palatino Linotype" w:cs="Tahoma"/>
          <w:b/>
          <w:i/>
          <w:sz w:val="22"/>
        </w:rPr>
        <w:t xml:space="preserve">B. Obligaciones: </w:t>
      </w:r>
    </w:p>
    <w:p w14:paraId="10F1303B" w14:textId="77777777" w:rsidR="009B6CFB" w:rsidRPr="008B5B18" w:rsidRDefault="009B6CFB" w:rsidP="009B6CFB">
      <w:pPr>
        <w:spacing w:line="276" w:lineRule="auto"/>
        <w:ind w:left="851" w:right="567"/>
        <w:jc w:val="both"/>
        <w:rPr>
          <w:rFonts w:ascii="Palatino Linotype" w:hAnsi="Palatino Linotype" w:cs="Tahoma"/>
          <w:b/>
          <w:i/>
          <w:sz w:val="22"/>
        </w:rPr>
      </w:pPr>
      <w:r w:rsidRPr="008B5B18">
        <w:rPr>
          <w:rFonts w:ascii="Palatino Linotype" w:hAnsi="Palatino Linotype" w:cs="Tahoma"/>
          <w:b/>
          <w:i/>
          <w:sz w:val="22"/>
        </w:rPr>
        <w:t>I. Generales:</w:t>
      </w:r>
    </w:p>
    <w:p w14:paraId="0FD4033B" w14:textId="77777777" w:rsidR="009B6CFB" w:rsidRPr="00432732" w:rsidRDefault="009B6CFB" w:rsidP="009B6CFB">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lastRenderedPageBreak/>
        <w:t>a) Conducirse siempre con dedicación y disciplina, así como con apego al orden jurídico y respeto a los derechos humanos reconocidos en la Constitución Federal, en la Constitución Estatal y en los tratados internacionales suscritos por el Estado Mexicano;</w:t>
      </w:r>
    </w:p>
    <w:p w14:paraId="538C9FF6"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54E17CAE"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t</w:t>
      </w:r>
      <w:r w:rsidRPr="00432732">
        <w:rPr>
          <w:rFonts w:ascii="Palatino Linotype" w:hAnsi="Palatino Linotype" w:cs="Tahoma"/>
          <w:b/>
          <w:i/>
          <w:sz w:val="22"/>
        </w:rPr>
        <w:t>) Cumplir y hacer cumplir con diligencia las órdenes que reciban con motivo del desempeño de sus funciones, evitando todo acto u omisión que produzca deficiencia en su cumplimiento</w:t>
      </w:r>
      <w:r w:rsidRPr="00432732">
        <w:rPr>
          <w:rFonts w:ascii="Palatino Linotype" w:hAnsi="Palatino Linotype" w:cs="Tahoma"/>
          <w:i/>
          <w:sz w:val="22"/>
        </w:rPr>
        <w:t xml:space="preserve">; </w:t>
      </w:r>
    </w:p>
    <w:p w14:paraId="6978F0A8"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5FB547E1"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IV. Aplicables sólo a los integrantes de las Instituciones Policiales, conforme a las funciones asignadas en la normatividad de cada corporación:</w:t>
      </w:r>
    </w:p>
    <w:p w14:paraId="48935D54" w14:textId="77777777" w:rsidR="009B6CFB" w:rsidRPr="00432732" w:rsidRDefault="009B6CFB" w:rsidP="009B6CFB">
      <w:pPr>
        <w:tabs>
          <w:tab w:val="left" w:pos="1916"/>
        </w:tabs>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r>
        <w:rPr>
          <w:rFonts w:ascii="Palatino Linotype" w:hAnsi="Palatino Linotype" w:cs="Tahoma"/>
          <w:i/>
          <w:sz w:val="22"/>
        </w:rPr>
        <w:tab/>
      </w:r>
    </w:p>
    <w:p w14:paraId="58702A25"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b/>
          <w:i/>
          <w:sz w:val="22"/>
        </w:rPr>
        <w:t>j) Obedecer las órdenes de los superiores jerárquicos o de quienes ejerzan sobre él funciones de mando cumpliendo con todas sus obligaciones, realizándolas conforme a derecho</w:t>
      </w:r>
      <w:r w:rsidRPr="00432732">
        <w:rPr>
          <w:rFonts w:ascii="Palatino Linotype" w:hAnsi="Palatino Linotype" w:cs="Tahoma"/>
          <w:i/>
          <w:sz w:val="22"/>
        </w:rPr>
        <w:t>;</w:t>
      </w:r>
    </w:p>
    <w:p w14:paraId="620DA3FB"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4058CC85" w14:textId="77777777" w:rsidR="009B6CFB" w:rsidRPr="00432732" w:rsidRDefault="009B6CFB" w:rsidP="009B6CFB">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 xml:space="preserve">ag) Las demás que establezca esta Ley y otras disposiciones aplicables. </w:t>
      </w:r>
    </w:p>
    <w:p w14:paraId="29AAD938" w14:textId="77777777" w:rsidR="009B6CFB" w:rsidRPr="00432732" w:rsidRDefault="009B6CFB" w:rsidP="009B6CFB">
      <w:pPr>
        <w:spacing w:line="276" w:lineRule="auto"/>
        <w:ind w:left="567" w:right="567"/>
        <w:jc w:val="both"/>
        <w:rPr>
          <w:rFonts w:ascii="Palatino Linotype" w:hAnsi="Palatino Linotype" w:cs="Tahoma"/>
          <w:i/>
          <w:sz w:val="22"/>
        </w:rPr>
      </w:pPr>
    </w:p>
    <w:p w14:paraId="1A5BF716"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w:t>
      </w:r>
    </w:p>
    <w:p w14:paraId="5522D43E"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i/>
          <w:sz w:val="22"/>
        </w:rPr>
        <w:t>(. . .)</w:t>
      </w:r>
    </w:p>
    <w:p w14:paraId="343532C7"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b/>
          <w:i/>
          <w:sz w:val="22"/>
        </w:rPr>
        <w:t>Todos los elementos de las Instituciones de Seguridad Pública tienen la obligación de identificarse</w:t>
      </w:r>
      <w:r w:rsidRPr="00432732">
        <w:rPr>
          <w:rFonts w:ascii="Palatino Linotype" w:hAnsi="Palatino Linotype" w:cs="Tahoma"/>
          <w:i/>
          <w:sz w:val="22"/>
        </w:rPr>
        <w:t>, salvo los casos previstos en la ley, a fin de que el ciudadano se cerciore de que cuenta con el registro correspondiente . . .” (sic)</w:t>
      </w:r>
    </w:p>
    <w:p w14:paraId="77E9D77A" w14:textId="77777777" w:rsidR="009B6CFB" w:rsidRPr="00432732" w:rsidRDefault="009B6CFB" w:rsidP="009B6CFB">
      <w:pPr>
        <w:autoSpaceDE w:val="0"/>
        <w:autoSpaceDN w:val="0"/>
        <w:adjustRightInd w:val="0"/>
        <w:spacing w:line="276" w:lineRule="auto"/>
        <w:ind w:left="567" w:right="567"/>
        <w:jc w:val="both"/>
        <w:rPr>
          <w:rFonts w:ascii="Palatino Linotype" w:hAnsi="Palatino Linotype" w:cs="Tahoma"/>
          <w:i/>
          <w:sz w:val="22"/>
        </w:rPr>
      </w:pPr>
    </w:p>
    <w:p w14:paraId="60FC65B2" w14:textId="77777777" w:rsidR="009B6CFB" w:rsidRPr="00432732" w:rsidRDefault="009B6CFB" w:rsidP="009B6CFB">
      <w:pPr>
        <w:spacing w:line="276" w:lineRule="auto"/>
        <w:ind w:left="567" w:right="567"/>
        <w:jc w:val="center"/>
        <w:rPr>
          <w:rFonts w:ascii="Palatino Linotype" w:hAnsi="Palatino Linotype" w:cs="Tahoma"/>
          <w:b/>
          <w:i/>
          <w:sz w:val="22"/>
          <w:u w:val="single"/>
        </w:rPr>
      </w:pPr>
      <w:r w:rsidRPr="00432732">
        <w:rPr>
          <w:rFonts w:ascii="Palatino Linotype" w:hAnsi="Palatino Linotype" w:cs="Tahoma"/>
          <w:b/>
          <w:i/>
          <w:sz w:val="22"/>
          <w:u w:val="single"/>
        </w:rPr>
        <w:t>Ley de Responsabilidades de los Servidores Públicos del Estado y Municipios:</w:t>
      </w:r>
    </w:p>
    <w:p w14:paraId="4DD6399A" w14:textId="77777777" w:rsidR="009B6CFB" w:rsidRPr="00432732" w:rsidRDefault="009B6CFB" w:rsidP="009B6CFB">
      <w:pPr>
        <w:tabs>
          <w:tab w:val="left" w:pos="142"/>
        </w:tabs>
        <w:spacing w:line="276" w:lineRule="auto"/>
        <w:ind w:left="567" w:right="567"/>
        <w:jc w:val="both"/>
        <w:rPr>
          <w:rFonts w:ascii="Palatino Linotype" w:hAnsi="Palatino Linotype" w:cs="Tahoma"/>
          <w:i/>
          <w:sz w:val="22"/>
        </w:rPr>
      </w:pPr>
    </w:p>
    <w:p w14:paraId="2E6C9DEA" w14:textId="77777777" w:rsidR="009B6CFB" w:rsidRPr="00432732" w:rsidRDefault="009B6CFB" w:rsidP="009B6CFB">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7.</w:t>
      </w:r>
      <w:r w:rsidRPr="00432732">
        <w:rPr>
          <w:rFonts w:ascii="Palatino Linotype" w:hAnsi="Palatino Linotype" w:cs="Tahoma"/>
          <w:i/>
          <w:sz w:val="22"/>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w:t>
      </w:r>
      <w:r w:rsidRPr="00432732">
        <w:rPr>
          <w:rFonts w:ascii="Palatino Linotype" w:hAnsi="Palatino Linotype" w:cs="Tahoma"/>
          <w:i/>
          <w:sz w:val="22"/>
        </w:rPr>
        <w:lastRenderedPageBreak/>
        <w:t>la efectiva aplicación de dichos principios, los Servidores Públicos observarán las siguientes directrices:</w:t>
      </w:r>
    </w:p>
    <w:p w14:paraId="17F2F31A" w14:textId="77777777" w:rsidR="009B6CFB" w:rsidRPr="00432732" w:rsidRDefault="009B6CFB" w:rsidP="009B6CFB">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5E64DECC" w14:textId="77777777" w:rsidR="009B6CFB" w:rsidRDefault="009B6CFB" w:rsidP="009B6CFB">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Actuar conforme a lo que las leyes, reglamentos y demás disposiciones jurídicas les atribuyen a su empleo, cargo o comisión, por lo que deben conocer y cumplir las disposiciones que regulan el ejercicio de sus funciones, facultades y atribuciones.”</w:t>
      </w:r>
    </w:p>
    <w:p w14:paraId="65533486" w14:textId="77777777" w:rsidR="009A5ED0" w:rsidRPr="00432732" w:rsidRDefault="009A5ED0" w:rsidP="009B6CFB">
      <w:pPr>
        <w:tabs>
          <w:tab w:val="left" w:pos="142"/>
        </w:tabs>
        <w:spacing w:line="276" w:lineRule="auto"/>
        <w:ind w:left="567" w:right="567"/>
        <w:jc w:val="both"/>
        <w:rPr>
          <w:rFonts w:ascii="Palatino Linotype" w:hAnsi="Palatino Linotype" w:cs="Tahoma"/>
          <w:i/>
          <w:sz w:val="22"/>
        </w:rPr>
      </w:pPr>
    </w:p>
    <w:p w14:paraId="234D64D0"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Por otra parte, e</w:t>
      </w:r>
      <w:r w:rsidRPr="00C242A7">
        <w:rPr>
          <w:rFonts w:ascii="Palatino Linotype" w:hAnsi="Palatino Linotype"/>
        </w:rPr>
        <w:t xml:space="preserve">l artículo 140, fracción I, de la Ley de Transparencia y Acceso a la Información Pública del Estado de México y Municipios, refiere  lo siguiente: </w:t>
      </w:r>
    </w:p>
    <w:p w14:paraId="6B21482A" w14:textId="77777777" w:rsidR="009B6CFB" w:rsidRPr="00C242A7" w:rsidRDefault="009B6CFB" w:rsidP="009B6CFB">
      <w:pPr>
        <w:pStyle w:val="Prrafodelista"/>
        <w:tabs>
          <w:tab w:val="left" w:pos="851"/>
        </w:tabs>
        <w:spacing w:line="360" w:lineRule="auto"/>
        <w:ind w:left="0" w:right="49"/>
        <w:jc w:val="both"/>
        <w:rPr>
          <w:rFonts w:ascii="Palatino Linotype" w:hAnsi="Palatino Linotype"/>
        </w:rPr>
      </w:pPr>
    </w:p>
    <w:p w14:paraId="76DA73D5" w14:textId="77777777" w:rsidR="009B6CFB" w:rsidRPr="00A7702A" w:rsidRDefault="009B6CFB" w:rsidP="009B6CFB">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359AA6E5" w14:textId="77777777" w:rsidR="009B6CFB" w:rsidRDefault="009B6CFB" w:rsidP="009B6CFB">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t>I.</w:t>
      </w:r>
      <w:r>
        <w:rPr>
          <w:rFonts w:ascii="Palatino Linotype" w:hAnsi="Palatino Linotype"/>
          <w:i/>
          <w:sz w:val="22"/>
        </w:rPr>
        <w:t xml:space="preserve"> </w:t>
      </w:r>
      <w:r w:rsidRPr="00A7702A">
        <w:rPr>
          <w:rFonts w:ascii="Palatino Linotype" w:hAnsi="Palatino Linotype"/>
          <w:i/>
          <w:sz w:val="22"/>
        </w:rPr>
        <w:t xml:space="preserve">Comprometa la seguridad pública y cuente con un propósito genuino y un efecto demostrable; </w:t>
      </w:r>
    </w:p>
    <w:p w14:paraId="0901640E" w14:textId="77777777" w:rsidR="009B6CFB" w:rsidRPr="00A7702A" w:rsidRDefault="009B6CFB" w:rsidP="009B6CFB">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Pr="00A7702A">
        <w:rPr>
          <w:rFonts w:ascii="Palatino Linotype" w:hAnsi="Palatino Linotype"/>
          <w:i/>
          <w:sz w:val="22"/>
        </w:rPr>
        <w:t>…</w:t>
      </w:r>
      <w:r>
        <w:rPr>
          <w:rFonts w:ascii="Palatino Linotype" w:hAnsi="Palatino Linotype"/>
          <w:i/>
          <w:sz w:val="22"/>
        </w:rPr>
        <w:t>)</w:t>
      </w:r>
      <w:r w:rsidRPr="00A7702A">
        <w:rPr>
          <w:rFonts w:ascii="Palatino Linotype" w:hAnsi="Palatino Linotype"/>
          <w:i/>
          <w:sz w:val="22"/>
        </w:rPr>
        <w:t xml:space="preserve">” </w:t>
      </w:r>
    </w:p>
    <w:p w14:paraId="15681DCB" w14:textId="77777777" w:rsidR="009B6CFB" w:rsidRPr="00C242A7" w:rsidRDefault="009B6CFB" w:rsidP="009B6CFB">
      <w:pPr>
        <w:pStyle w:val="Prrafodelista"/>
        <w:tabs>
          <w:tab w:val="left" w:pos="851"/>
        </w:tabs>
        <w:spacing w:line="360" w:lineRule="auto"/>
        <w:ind w:left="1080" w:right="49"/>
        <w:jc w:val="both"/>
        <w:rPr>
          <w:rFonts w:ascii="Palatino Linotype" w:hAnsi="Palatino Linotype"/>
        </w:rPr>
      </w:pPr>
    </w:p>
    <w:p w14:paraId="564BAAC5"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Pr>
          <w:rFonts w:ascii="Palatino Linotype" w:hAnsi="Palatino Linotype"/>
        </w:rPr>
        <w:t>asimismo</w:t>
      </w:r>
      <w:r w:rsidRPr="00C242A7">
        <w:rPr>
          <w:rFonts w:ascii="Palatino Linotype" w:hAnsi="Palatino Linotype"/>
        </w:rPr>
        <w:t xml:space="preserve">, los </w:t>
      </w:r>
      <w:r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2FE31FFC" w14:textId="77777777" w:rsidR="009B6CFB" w:rsidRPr="00C242A7" w:rsidRDefault="009B6CFB" w:rsidP="009B6CFB">
      <w:pPr>
        <w:tabs>
          <w:tab w:val="left" w:pos="851"/>
        </w:tabs>
        <w:spacing w:line="360" w:lineRule="auto"/>
        <w:ind w:right="49"/>
        <w:jc w:val="both"/>
        <w:rPr>
          <w:rFonts w:ascii="Palatino Linotype" w:hAnsi="Palatino Linotype"/>
        </w:rPr>
      </w:pPr>
    </w:p>
    <w:p w14:paraId="374EC6E9"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w:t>
      </w:r>
      <w:r w:rsidRPr="00432732">
        <w:rPr>
          <w:rFonts w:ascii="Palatino Linotype" w:hAnsi="Palatino Linotype"/>
          <w:b/>
          <w:i/>
          <w:sz w:val="22"/>
        </w:rPr>
        <w:t>Décimo octavo.</w:t>
      </w:r>
      <w:r w:rsidRPr="00A7702A">
        <w:rPr>
          <w:rFonts w:ascii="Palatino Linotype" w:hAnsi="Palatino Linotype"/>
          <w:i/>
          <w:sz w:val="22"/>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w:t>
      </w:r>
      <w:r w:rsidRPr="00A7702A">
        <w:rPr>
          <w:rFonts w:ascii="Palatino Linotype" w:hAnsi="Palatino Linotype"/>
          <w:i/>
          <w:sz w:val="22"/>
        </w:rPr>
        <w:lastRenderedPageBreak/>
        <w:t>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6431B39B" w14:textId="77777777" w:rsidR="009B6CFB" w:rsidRDefault="009B6CFB" w:rsidP="009B6CFB">
      <w:pPr>
        <w:tabs>
          <w:tab w:val="left" w:pos="851"/>
        </w:tabs>
        <w:spacing w:line="360" w:lineRule="auto"/>
        <w:ind w:right="49"/>
        <w:jc w:val="both"/>
        <w:rPr>
          <w:rFonts w:ascii="Palatino Linotype" w:hAnsi="Palatino Linotype"/>
        </w:rPr>
      </w:pPr>
    </w:p>
    <w:p w14:paraId="61C42EC7" w14:textId="77777777" w:rsidR="009B6CFB" w:rsidRDefault="009B6CFB" w:rsidP="009B6CFB">
      <w:pPr>
        <w:tabs>
          <w:tab w:val="left" w:pos="851"/>
        </w:tabs>
        <w:spacing w:line="360" w:lineRule="auto"/>
        <w:ind w:right="49"/>
        <w:jc w:val="both"/>
        <w:rPr>
          <w:rFonts w:ascii="Palatino Linotype" w:hAnsi="Palatino Linotype"/>
        </w:rPr>
      </w:pPr>
      <w:r>
        <w:rPr>
          <w:rFonts w:ascii="Palatino Linotype" w:hAnsi="Palatino Linotype"/>
        </w:rPr>
        <w:t xml:space="preserve">Por tanto, </w:t>
      </w:r>
      <w:r w:rsidRPr="00C242A7">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3E437098" w14:textId="77777777" w:rsidR="009B6CFB" w:rsidRDefault="009B6CFB" w:rsidP="009B6CFB">
      <w:pPr>
        <w:tabs>
          <w:tab w:val="left" w:pos="851"/>
        </w:tabs>
        <w:spacing w:line="360" w:lineRule="auto"/>
        <w:ind w:right="49"/>
        <w:jc w:val="both"/>
        <w:rPr>
          <w:rFonts w:ascii="Palatino Linotype" w:hAnsi="Palatino Linotype"/>
        </w:rPr>
      </w:pPr>
    </w:p>
    <w:p w14:paraId="3C434B10"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7CA38877" w14:textId="77777777" w:rsidR="009B6CFB" w:rsidRDefault="009B6CFB" w:rsidP="009B6CFB">
      <w:pPr>
        <w:tabs>
          <w:tab w:val="left" w:pos="851"/>
        </w:tabs>
        <w:spacing w:line="360" w:lineRule="auto"/>
        <w:ind w:right="49"/>
        <w:jc w:val="both"/>
        <w:rPr>
          <w:rFonts w:ascii="Palatino Linotype" w:hAnsi="Palatino Linotype"/>
        </w:rPr>
      </w:pPr>
    </w:p>
    <w:p w14:paraId="28B72D66"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165578C0" w14:textId="77777777" w:rsidR="009B6CFB" w:rsidRDefault="009B6CFB" w:rsidP="009B6CFB">
      <w:pPr>
        <w:tabs>
          <w:tab w:val="left" w:pos="851"/>
        </w:tabs>
        <w:spacing w:line="360" w:lineRule="auto"/>
        <w:ind w:left="360" w:right="49"/>
        <w:jc w:val="both"/>
        <w:rPr>
          <w:rFonts w:ascii="Palatino Linotype" w:hAnsi="Palatino Linotype"/>
        </w:rPr>
      </w:pPr>
    </w:p>
    <w:p w14:paraId="6806174B"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w:t>
      </w:r>
      <w:r w:rsidRPr="00A7702A">
        <w:rPr>
          <w:rFonts w:ascii="Palatino Linotype" w:hAnsi="Palatino Linotype"/>
          <w:i/>
          <w:sz w:val="22"/>
        </w:rPr>
        <w:lastRenderedPageBreak/>
        <w:t xml:space="preserve">registrarse, clasificarse y tratarse de conformidad con las disposiciones aplicables. No obstante lo anterior, esta información se considerará reservada en los casos siguientes: </w:t>
      </w:r>
    </w:p>
    <w:p w14:paraId="4CB88544"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DDD668E"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11B44229"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4B5AD9F0"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7767AB1E" w14:textId="77777777" w:rsidR="009B6CFB" w:rsidRDefault="009B6CFB" w:rsidP="009B6CFB">
      <w:pPr>
        <w:tabs>
          <w:tab w:val="left" w:pos="851"/>
        </w:tabs>
        <w:spacing w:line="360" w:lineRule="auto"/>
        <w:ind w:right="49"/>
        <w:jc w:val="both"/>
        <w:rPr>
          <w:rFonts w:ascii="Palatino Linotype" w:hAnsi="Palatino Linotype"/>
        </w:rPr>
      </w:pPr>
    </w:p>
    <w:p w14:paraId="5F1CA36B"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68B63415" w14:textId="77777777" w:rsidR="009B6CFB" w:rsidRDefault="009B6CFB" w:rsidP="009B6CFB">
      <w:pPr>
        <w:tabs>
          <w:tab w:val="left" w:pos="851"/>
        </w:tabs>
        <w:spacing w:line="360" w:lineRule="auto"/>
        <w:ind w:right="49"/>
        <w:jc w:val="both"/>
        <w:rPr>
          <w:rFonts w:ascii="Palatino Linotype" w:hAnsi="Palatino Linotype"/>
        </w:rPr>
      </w:pPr>
    </w:p>
    <w:p w14:paraId="30F8FF44" w14:textId="77777777" w:rsidR="009B6CFB" w:rsidRDefault="009B6CFB" w:rsidP="009B6CFB">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Pr>
          <w:rFonts w:ascii="Palatino Linotype" w:hAnsi="Palatino Linotype"/>
        </w:rPr>
        <w:t xml:space="preserve">el proporcionar el cargo de los elementos de seguridad pública operativos </w:t>
      </w:r>
      <w:r w:rsidRPr="000625B1">
        <w:rPr>
          <w:rFonts w:ascii="Palatino Linotype" w:hAnsi="Palatino Linotype"/>
        </w:rPr>
        <w:t xml:space="preserve">comprometa la </w:t>
      </w:r>
      <w:r>
        <w:rPr>
          <w:rFonts w:ascii="Palatino Linotype" w:hAnsi="Palatino Linotype"/>
        </w:rPr>
        <w:t>seguridad pública del Municipio.</w:t>
      </w:r>
    </w:p>
    <w:p w14:paraId="5B65B449" w14:textId="77777777" w:rsidR="009B6CFB" w:rsidRDefault="009B6CFB" w:rsidP="009B6CFB">
      <w:pPr>
        <w:tabs>
          <w:tab w:val="left" w:pos="851"/>
        </w:tabs>
        <w:spacing w:line="360" w:lineRule="auto"/>
        <w:ind w:right="49"/>
        <w:jc w:val="both"/>
        <w:rPr>
          <w:rFonts w:ascii="Palatino Linotype" w:hAnsi="Palatino Linotype"/>
        </w:rPr>
      </w:pPr>
    </w:p>
    <w:p w14:paraId="67C23387"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lastRenderedPageBreak/>
        <w:t xml:space="preserve">En ese orden de ideas, no se niega que las </w:t>
      </w:r>
      <w:r w:rsidRPr="00CD2984">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203FA82C" w14:textId="77777777" w:rsidR="009B6CFB" w:rsidRPr="00CD2984" w:rsidRDefault="009B6CFB" w:rsidP="009B6CFB">
      <w:pPr>
        <w:tabs>
          <w:tab w:val="left" w:pos="851"/>
        </w:tabs>
        <w:spacing w:line="360" w:lineRule="auto"/>
        <w:ind w:right="49"/>
        <w:jc w:val="both"/>
        <w:rPr>
          <w:rFonts w:ascii="Palatino Linotype" w:hAnsi="Palatino Linotype"/>
        </w:rPr>
      </w:pPr>
    </w:p>
    <w:p w14:paraId="45236990"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CD2984">
        <w:rPr>
          <w:rFonts w:ascii="Palatino Linotype" w:hAnsi="Palatino Linotype"/>
          <w:b/>
        </w:rPr>
        <w:t>mas no así su cargo</w:t>
      </w:r>
      <w:r w:rsidRPr="00CD2984">
        <w:rPr>
          <w:rFonts w:ascii="Palatino Linotype" w:hAnsi="Palatino Linotype"/>
        </w:rPr>
        <w:t>:</w:t>
      </w:r>
    </w:p>
    <w:p w14:paraId="7A95A162" w14:textId="77777777" w:rsidR="009B6CFB" w:rsidRPr="00CD2984" w:rsidRDefault="009B6CFB" w:rsidP="009B6CFB">
      <w:pPr>
        <w:tabs>
          <w:tab w:val="left" w:pos="851"/>
        </w:tabs>
        <w:spacing w:line="360" w:lineRule="auto"/>
        <w:ind w:right="49"/>
        <w:jc w:val="both"/>
        <w:rPr>
          <w:rFonts w:ascii="Palatino Linotype" w:hAnsi="Palatino Linotype"/>
        </w:rPr>
      </w:pPr>
    </w:p>
    <w:p w14:paraId="595D3844" w14:textId="77777777" w:rsidR="009B6CFB" w:rsidRPr="00CD2984" w:rsidRDefault="009B6CFB" w:rsidP="009B6CFB">
      <w:pPr>
        <w:tabs>
          <w:tab w:val="left" w:pos="851"/>
        </w:tabs>
        <w:spacing w:line="276" w:lineRule="auto"/>
        <w:ind w:left="567" w:right="567"/>
        <w:jc w:val="both"/>
        <w:rPr>
          <w:rFonts w:ascii="Palatino Linotype" w:hAnsi="Palatino Linotype"/>
          <w:i/>
          <w:sz w:val="22"/>
          <w:lang w:val="es-MX"/>
        </w:rPr>
      </w:pPr>
      <w:r w:rsidRPr="00CD2984">
        <w:rPr>
          <w:rFonts w:ascii="Palatino Linotype" w:hAnsi="Palatino Linotype"/>
          <w:b/>
          <w:bCs/>
          <w:i/>
          <w:sz w:val="22"/>
          <w:lang w:val="es-MX"/>
        </w:rPr>
        <w:t>NOMBRES DE SERVIDORES PÚBLICOS DEDICADOS A ACTIVIDADES EN MATERIA DE SEGURIDAD, POR EXCEPCIÓN PUEDEN CONSIDERARSE INFORMACIÓN RESERVADA.</w:t>
      </w:r>
      <w:r w:rsidRPr="00CD2984">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w:t>
      </w:r>
      <w:r w:rsidRPr="00CD2984">
        <w:rPr>
          <w:rFonts w:ascii="Palatino Linotype" w:hAnsi="Palatino Linotype"/>
          <w:i/>
          <w:sz w:val="22"/>
          <w:lang w:val="es-MX"/>
        </w:rPr>
        <w:lastRenderedPageBreak/>
        <w:t>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84478B8" w14:textId="77777777" w:rsidR="009B6CFB" w:rsidRPr="00CD2984" w:rsidRDefault="009B6CFB" w:rsidP="009B6CFB">
      <w:pPr>
        <w:tabs>
          <w:tab w:val="left" w:pos="851"/>
        </w:tabs>
        <w:spacing w:line="360" w:lineRule="auto"/>
        <w:ind w:right="49"/>
        <w:jc w:val="both"/>
        <w:rPr>
          <w:rFonts w:ascii="Palatino Linotype" w:hAnsi="Palatino Linotype"/>
        </w:rPr>
      </w:pPr>
    </w:p>
    <w:p w14:paraId="25D819E4"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6E65FAA5" w14:textId="77777777" w:rsidR="009B6CFB" w:rsidRPr="00CD2984" w:rsidRDefault="009B6CFB" w:rsidP="009B6CFB">
      <w:pPr>
        <w:tabs>
          <w:tab w:val="left" w:pos="851"/>
        </w:tabs>
        <w:spacing w:line="360" w:lineRule="auto"/>
        <w:ind w:right="49"/>
        <w:jc w:val="both"/>
        <w:rPr>
          <w:rFonts w:ascii="Palatino Linotype" w:hAnsi="Palatino Linotype"/>
        </w:rPr>
      </w:pPr>
    </w:p>
    <w:p w14:paraId="594D7C55"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 xml:space="preserve">Empero, </w:t>
      </w:r>
      <w:r w:rsidRPr="00432732">
        <w:rPr>
          <w:rFonts w:ascii="Palatino Linotype" w:hAnsi="Palatino Linotype"/>
          <w:b/>
        </w:rPr>
        <w:t>la clasificación del cargo</w:t>
      </w:r>
      <w:r w:rsidRPr="00CD2984">
        <w:rPr>
          <w:rFonts w:ascii="Palatino Linotype" w:hAnsi="Palatino Linotype"/>
        </w:rPr>
        <w:t xml:space="preserve">, como tal, </w:t>
      </w:r>
      <w:r w:rsidRPr="00432732">
        <w:rPr>
          <w:rFonts w:ascii="Palatino Linotype" w:hAnsi="Palatino Linotype"/>
          <w:b/>
        </w:rPr>
        <w:t>no aumenta el nivel de protección de privacidad de los integrantes de grupos policiales</w:t>
      </w:r>
      <w:r w:rsidRPr="00CD2984">
        <w:rPr>
          <w:rFonts w:ascii="Palatino Linotype" w:hAnsi="Palatino Linotype"/>
        </w:rPr>
        <w:t xml:space="preserve">, puesto que, si ya fue clasificado </w:t>
      </w:r>
      <w:r w:rsidRPr="00CD2984">
        <w:rPr>
          <w:rFonts w:ascii="Palatino Linotype" w:hAnsi="Palatino Linotype"/>
        </w:rPr>
        <w:lastRenderedPageBreak/>
        <w:t>el nombre del trabajador, el conocer el cargo anonimiza a su titular (tratándose de elementos operativos quienes comparten el mismo cargo con, al menos, una centena de personas más).</w:t>
      </w:r>
    </w:p>
    <w:p w14:paraId="0CA7B468" w14:textId="77777777" w:rsidR="009B6CFB" w:rsidRPr="00CD2984" w:rsidRDefault="009B6CFB" w:rsidP="009B6CFB">
      <w:pPr>
        <w:tabs>
          <w:tab w:val="left" w:pos="851"/>
        </w:tabs>
        <w:spacing w:line="360" w:lineRule="auto"/>
        <w:ind w:right="49"/>
        <w:jc w:val="both"/>
        <w:rPr>
          <w:rFonts w:ascii="Palatino Linotype" w:hAnsi="Palatino Linotype"/>
        </w:rPr>
      </w:pPr>
    </w:p>
    <w:p w14:paraId="5495190C" w14:textId="18F31567" w:rsidR="009B6CFB" w:rsidRDefault="009B6CFB" w:rsidP="009B6CFB">
      <w:pPr>
        <w:tabs>
          <w:tab w:val="left" w:pos="851"/>
        </w:tabs>
        <w:spacing w:line="360" w:lineRule="auto"/>
        <w:ind w:right="49"/>
        <w:jc w:val="both"/>
        <w:rPr>
          <w:rFonts w:ascii="Palatino Linotype" w:hAnsi="Palatino Linotype"/>
        </w:rPr>
      </w:pPr>
      <w:r w:rsidRPr="006A1040">
        <w:rPr>
          <w:rFonts w:ascii="Palatino Linotype" w:hAnsi="Palatino Linotype"/>
        </w:rPr>
        <w:t xml:space="preserve">En ese sentido, se debe tomar en consideración que la información que se pretende restringir (el cargo) no sólo puede ser consultada a través de </w:t>
      </w:r>
      <w:r w:rsidR="009A5ED0">
        <w:rPr>
          <w:rFonts w:ascii="Palatino Linotype" w:hAnsi="Palatino Linotype"/>
        </w:rPr>
        <w:t>la denominada conciliación de nómina; p</w:t>
      </w:r>
      <w:r w:rsidRPr="00CD2984">
        <w:rPr>
          <w:rFonts w:ascii="Palatino Linotype" w:hAnsi="Palatino Linotype"/>
        </w:rPr>
        <w:t>or lo tanto, el considerar clasificar el cargo dentro de</w:t>
      </w:r>
      <w:r w:rsidR="006A1040">
        <w:rPr>
          <w:rFonts w:ascii="Palatino Linotype" w:hAnsi="Palatino Linotype"/>
        </w:rPr>
        <w:t>l soporte documental de referencia</w:t>
      </w:r>
      <w:r w:rsidRPr="00CD2984">
        <w:rPr>
          <w:rFonts w:ascii="Palatino Linotype" w:hAnsi="Palatino Linotype"/>
        </w:rPr>
        <w:t xml:space="preserve">, </w:t>
      </w:r>
      <w:r w:rsidR="006A1040">
        <w:rPr>
          <w:rFonts w:ascii="Palatino Linotype" w:hAnsi="Palatino Linotype"/>
        </w:rPr>
        <w:t>toda vez que</w:t>
      </w:r>
      <w:r>
        <w:rPr>
          <w:rFonts w:ascii="Palatino Linotype" w:hAnsi="Palatino Linotype"/>
        </w:rPr>
        <w:t xml:space="preserve"> </w:t>
      </w:r>
      <w:r w:rsidRPr="00CD2984">
        <w:rPr>
          <w:rFonts w:ascii="Palatino Linotype" w:hAnsi="Palatino Linotype"/>
        </w:rPr>
        <w:t xml:space="preserve">implicaría el clasificar el dato en </w:t>
      </w:r>
      <w:r w:rsidRPr="00CD2984">
        <w:rPr>
          <w:rFonts w:ascii="Palatino Linotype" w:hAnsi="Palatino Linotype"/>
          <w:b/>
        </w:rPr>
        <w:t>todos</w:t>
      </w:r>
      <w:r w:rsidRPr="00CD2984">
        <w:rPr>
          <w:rFonts w:ascii="Palatino Linotype" w:hAnsi="Palatino Linotype"/>
        </w:rPr>
        <w:t xml:space="preserve"> los </w:t>
      </w:r>
      <w:r>
        <w:rPr>
          <w:rFonts w:ascii="Palatino Linotype" w:hAnsi="Palatino Linotype"/>
        </w:rPr>
        <w:t xml:space="preserve">demás </w:t>
      </w:r>
      <w:r w:rsidRPr="00CD2984">
        <w:rPr>
          <w:rFonts w:ascii="Palatino Linotype" w:hAnsi="Palatino Linotype"/>
        </w:rPr>
        <w:t>documentos donde se aprecie el dato; circunstancia que, insisto, en nada abona a la protección de la vida privada o integridad de los elementos de seguridad pública (pues</w:t>
      </w:r>
      <w:r>
        <w:rPr>
          <w:rFonts w:ascii="Palatino Linotype" w:hAnsi="Palatino Linotype"/>
        </w:rPr>
        <w:t xml:space="preserve">, se insiste, </w:t>
      </w:r>
      <w:r w:rsidRPr="00CD2984">
        <w:rPr>
          <w:rFonts w:ascii="Palatino Linotype" w:hAnsi="Palatino Linotype"/>
        </w:rPr>
        <w:t>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Pr>
          <w:rFonts w:ascii="Palatino Linotype" w:hAnsi="Palatino Linotype"/>
        </w:rPr>
        <w:t xml:space="preserve"> </w:t>
      </w:r>
    </w:p>
    <w:p w14:paraId="76EEB9FF" w14:textId="77777777" w:rsidR="009B6CFB" w:rsidRDefault="009B6CFB" w:rsidP="009B6CFB">
      <w:pPr>
        <w:tabs>
          <w:tab w:val="left" w:pos="851"/>
        </w:tabs>
        <w:spacing w:line="360" w:lineRule="auto"/>
        <w:ind w:right="49"/>
        <w:jc w:val="both"/>
        <w:rPr>
          <w:rFonts w:ascii="Palatino Linotype" w:hAnsi="Palatino Linotype"/>
        </w:rPr>
      </w:pPr>
    </w:p>
    <w:p w14:paraId="3F626745"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la transparencia es uno de los principios rectores de las instituciones de seguridad pública en los regímenes democráticos.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w:t>
      </w:r>
      <w:r>
        <w:rPr>
          <w:rFonts w:ascii="Palatino Linotype" w:hAnsi="Palatino Linotype"/>
        </w:rPr>
        <w:lastRenderedPageBreak/>
        <w:t xml:space="preserve">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Pr>
          <w:rStyle w:val="Refdenotaalpie"/>
          <w:rFonts w:ascii="Palatino Linotype" w:hAnsi="Palatino Linotype"/>
        </w:rPr>
        <w:footnoteReference w:id="1"/>
      </w:r>
    </w:p>
    <w:p w14:paraId="2F9BB3DA" w14:textId="77777777" w:rsidR="009A5ED0" w:rsidRDefault="009A5ED0" w:rsidP="009B6CFB">
      <w:pPr>
        <w:pStyle w:val="Prrafodelista"/>
        <w:tabs>
          <w:tab w:val="left" w:pos="851"/>
        </w:tabs>
        <w:spacing w:line="360" w:lineRule="auto"/>
        <w:ind w:left="0" w:right="49"/>
        <w:jc w:val="both"/>
        <w:rPr>
          <w:rFonts w:ascii="Palatino Linotype" w:hAnsi="Palatino Linotype"/>
        </w:rPr>
      </w:pPr>
    </w:p>
    <w:p w14:paraId="25607818"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00EC0637"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79B7291E" w14:textId="77777777" w:rsidR="009B6CFB" w:rsidRDefault="009B6CFB" w:rsidP="009B6CFB">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t>Dado que las instituciones de seguridad pública son instrumentos esenciales para proteger los derechos fundamentales, pero también son factores que los ponen en riesgo, Estado y sociedad deben establecer el mayor número posible de mecanismos que aseguren la visibilidad interna y externa sobre el quehacer de los mismos, para de esa manera inhibir los riesgos. Es un asunto de sistemas de gestión que deben hacer de la transparencia un componente transversal. Vista así, la construcción de conceptos, políticas, normas y prácticas de transparencia sobre las instituciones de seguridad pública 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 xml:space="preserve">la ausencia de confianza </w:t>
      </w:r>
      <w:r>
        <w:rPr>
          <w:rFonts w:ascii="Palatino Linotype" w:hAnsi="Palatino Linotype"/>
          <w:i/>
        </w:rPr>
        <w:lastRenderedPageBreak/>
        <w:t>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02B16C7F" w14:textId="77777777" w:rsidR="009B6CFB" w:rsidRDefault="009B6CFB" w:rsidP="009B6CFB">
      <w:pPr>
        <w:pStyle w:val="Prrafodelista"/>
        <w:tabs>
          <w:tab w:val="left" w:pos="851"/>
        </w:tabs>
        <w:spacing w:line="360" w:lineRule="auto"/>
        <w:ind w:left="0" w:right="49"/>
        <w:jc w:val="both"/>
        <w:rPr>
          <w:rFonts w:ascii="Palatino Linotype" w:hAnsi="Palatino Linotype"/>
          <w:sz w:val="22"/>
          <w:vertAlign w:val="superscript"/>
        </w:rPr>
      </w:pPr>
    </w:p>
    <w:p w14:paraId="6B9C083F"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Por tanto, es fundamental que la información sobre las instituciones de seguridad pública sea pública y accesible. La vigilancia debe permitir suficiente información para que la ciudadanía sepa lo que pasa, pero sin violar los derechos humanos de los mismos. No es aconsejable, por ejemplo, hacer público el nombre de un elemento policial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5BF536FF"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55459058" w14:textId="5D508684" w:rsidR="00C373ED" w:rsidRPr="009B6CFB" w:rsidRDefault="009B6CFB" w:rsidP="009B6CFB">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Pr>
          <w:rFonts w:eastAsia="Times New Roman" w:cs="Times New Roman"/>
          <w:lang w:eastAsia="es-ES"/>
        </w:rPr>
        <w:t xml:space="preserve"> </w:t>
      </w:r>
      <w:r w:rsidRPr="00CB2F05">
        <w:rPr>
          <w:rFonts w:eastAsia="Times New Roman" w:cs="Times New Roman"/>
          <w:lang w:eastAsia="es-ES"/>
        </w:rPr>
        <w:t>----------------------------------------------------------------------------------------------------------------------------------------------------------------------------------------------------------------------------------------------------------------------------------</w:t>
      </w:r>
      <w:r>
        <w:rPr>
          <w:rFonts w:eastAsia="Times New Roman" w:cs="Times New Roman"/>
          <w:lang w:eastAsia="es-ES"/>
        </w:rPr>
        <w:t>-------------------------------</w:t>
      </w:r>
    </w:p>
    <w:p w14:paraId="457CC60C" w14:textId="68BF6652" w:rsidR="008936B4" w:rsidRDefault="008936B4" w:rsidP="00C373ED">
      <w:pPr>
        <w:pStyle w:val="Textoindependiente"/>
        <w:spacing w:line="360" w:lineRule="auto"/>
        <w:rPr>
          <w:rFonts w:eastAsia="Calibri" w:cs="Tahoma"/>
          <w:bCs/>
          <w:sz w:val="22"/>
          <w:szCs w:val="22"/>
          <w:lang w:val="es-MX"/>
        </w:rPr>
      </w:pPr>
      <w:r>
        <w:rPr>
          <w:rFonts w:eastAsia="Calibri" w:cs="Tahoma"/>
          <w:bCs/>
          <w:sz w:val="22"/>
          <w:szCs w:val="22"/>
          <w:lang w:val="es-MX"/>
        </w:rPr>
        <w:tab/>
      </w:r>
    </w:p>
    <w:p w14:paraId="5EC6A20F" w14:textId="77777777" w:rsidR="008936B4" w:rsidRDefault="008936B4" w:rsidP="008936B4">
      <w:pPr>
        <w:spacing w:line="360" w:lineRule="auto"/>
        <w:jc w:val="both"/>
        <w:rPr>
          <w:rFonts w:ascii="Palatino Linotype" w:eastAsia="Calibri" w:hAnsi="Palatino Linotype" w:cs="Tahoma"/>
          <w:bCs/>
          <w:sz w:val="22"/>
          <w:szCs w:val="22"/>
          <w:lang w:val="es-MX"/>
        </w:rPr>
      </w:pPr>
    </w:p>
    <w:p w14:paraId="418D8358" w14:textId="77777777" w:rsidR="008936B4" w:rsidRDefault="008936B4" w:rsidP="008936B4">
      <w:pPr>
        <w:spacing w:before="280" w:after="280" w:line="360" w:lineRule="auto"/>
        <w:jc w:val="both"/>
        <w:rPr>
          <w:rFonts w:ascii="Palatino Linotype" w:eastAsia="Palatino Linotype" w:hAnsi="Palatino Linotype" w:cs="Palatino Linotype"/>
        </w:rPr>
      </w:pPr>
    </w:p>
    <w:p w14:paraId="750FDB77" w14:textId="77777777" w:rsidR="00D96441" w:rsidRDefault="00D96441" w:rsidP="005C4513">
      <w:pPr>
        <w:spacing w:before="240" w:after="240" w:line="360" w:lineRule="auto"/>
        <w:jc w:val="both"/>
        <w:rPr>
          <w:rFonts w:ascii="Palatino Linotype" w:hAnsi="Palatino Linotype" w:cs="Arial"/>
        </w:rPr>
      </w:pPr>
    </w:p>
    <w:p w14:paraId="4088CA43" w14:textId="77777777" w:rsidR="009A5ED0" w:rsidRDefault="009A5ED0" w:rsidP="005C4513">
      <w:pPr>
        <w:spacing w:before="240" w:after="240" w:line="360" w:lineRule="auto"/>
        <w:jc w:val="both"/>
        <w:rPr>
          <w:rFonts w:ascii="Palatino Linotype" w:hAnsi="Palatino Linotype" w:cs="Arial"/>
        </w:rPr>
      </w:pPr>
    </w:p>
    <w:p w14:paraId="5AC44EDF" w14:textId="77777777" w:rsidR="009A5ED0" w:rsidRDefault="009A5ED0" w:rsidP="005C4513">
      <w:pPr>
        <w:spacing w:before="240" w:after="240" w:line="360" w:lineRule="auto"/>
        <w:jc w:val="both"/>
        <w:rPr>
          <w:rFonts w:ascii="Palatino Linotype" w:hAnsi="Palatino Linotype" w:cs="Arial"/>
        </w:rPr>
      </w:pPr>
    </w:p>
    <w:p w14:paraId="38129562" w14:textId="77777777" w:rsidR="009A5ED0" w:rsidRDefault="009A5ED0" w:rsidP="005C4513">
      <w:pPr>
        <w:spacing w:before="240" w:after="240" w:line="360" w:lineRule="auto"/>
        <w:jc w:val="both"/>
        <w:rPr>
          <w:rFonts w:ascii="Palatino Linotype" w:hAnsi="Palatino Linotype" w:cs="Arial"/>
        </w:rPr>
      </w:pPr>
    </w:p>
    <w:p w14:paraId="3BF9984F" w14:textId="77777777" w:rsidR="009A5ED0" w:rsidRDefault="009A5ED0" w:rsidP="005C4513">
      <w:pPr>
        <w:spacing w:before="240" w:after="240" w:line="360" w:lineRule="auto"/>
        <w:jc w:val="both"/>
        <w:rPr>
          <w:rFonts w:ascii="Palatino Linotype" w:hAnsi="Palatino Linotype" w:cs="Arial"/>
        </w:rPr>
      </w:pPr>
    </w:p>
    <w:p w14:paraId="7154E204" w14:textId="77777777" w:rsidR="009A5ED0" w:rsidRDefault="009A5ED0" w:rsidP="005C4513">
      <w:pPr>
        <w:spacing w:before="240" w:after="240" w:line="360" w:lineRule="auto"/>
        <w:jc w:val="both"/>
        <w:rPr>
          <w:rFonts w:ascii="Palatino Linotype" w:hAnsi="Palatino Linotype" w:cs="Arial"/>
        </w:rPr>
      </w:pPr>
    </w:p>
    <w:sectPr w:rsidR="009A5ED0"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35E5" w14:textId="77777777" w:rsidR="00D23B3B" w:rsidRDefault="00D23B3B" w:rsidP="00C80F8C">
      <w:r>
        <w:separator/>
      </w:r>
    </w:p>
  </w:endnote>
  <w:endnote w:type="continuationSeparator" w:id="0">
    <w:p w14:paraId="40CD2064" w14:textId="77777777" w:rsidR="00D23B3B" w:rsidRDefault="00D23B3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A2E5" w14:textId="77777777" w:rsidR="00D23B3B" w:rsidRDefault="00D23B3B" w:rsidP="00C80F8C">
      <w:r>
        <w:separator/>
      </w:r>
    </w:p>
  </w:footnote>
  <w:footnote w:type="continuationSeparator" w:id="0">
    <w:p w14:paraId="030F0416" w14:textId="77777777" w:rsidR="00D23B3B" w:rsidRDefault="00D23B3B" w:rsidP="00C80F8C">
      <w:r>
        <w:continuationSeparator/>
      </w:r>
    </w:p>
  </w:footnote>
  <w:footnote w:id="1">
    <w:p w14:paraId="1BB59EDA" w14:textId="77777777" w:rsidR="009B6CFB" w:rsidRDefault="009B6CFB" w:rsidP="009B6CFB">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19BCB1E" w14:textId="77777777" w:rsidR="009B6CFB" w:rsidRDefault="009B6CFB" w:rsidP="009B6CFB">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CE1692">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70CC0108" w14:textId="77777777" w:rsidR="009B6CFB" w:rsidRDefault="009B6CFB" w:rsidP="009B6CF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64BA4A9" w14:textId="354EC24B" w:rsidR="0067381F" w:rsidRDefault="00F47FB5" w:rsidP="00F47FB5">
    <w:pPr>
      <w:pStyle w:val="Encabezado"/>
      <w:ind w:left="2835" w:right="-250"/>
      <w:rPr>
        <w:rFonts w:ascii="Palatino Linotype" w:hAnsi="Palatino Linotype" w:cs="Arial"/>
        <w:b/>
        <w:bCs/>
        <w:lang w:eastAsia="es-MX"/>
      </w:rPr>
    </w:pPr>
    <w:r>
      <w:rPr>
        <w:rFonts w:ascii="Palatino Linotype" w:hAnsi="Palatino Linotype" w:cs="Tahoma"/>
        <w:b/>
      </w:rPr>
      <w:t xml:space="preserve">Recurso de Revisión: </w:t>
    </w:r>
    <w:r w:rsidR="00F1233A">
      <w:rPr>
        <w:rFonts w:ascii="Palatino Linotype" w:eastAsia="Palatino Linotype" w:hAnsi="Palatino Linotype" w:cs="Palatino Linotype"/>
        <w:b/>
      </w:rPr>
      <w:t>00569</w:t>
    </w:r>
    <w:r w:rsidR="00C026F2" w:rsidRPr="00C026F2">
      <w:rPr>
        <w:rFonts w:ascii="Palatino Linotype" w:eastAsia="Palatino Linotype" w:hAnsi="Palatino Linotype" w:cs="Palatino Linotype"/>
        <w:b/>
      </w:rPr>
      <w:t>/INFOEM/IP/RR/2023</w:t>
    </w:r>
  </w:p>
  <w:p w14:paraId="71104997" w14:textId="6CE41CF0" w:rsidR="00634485" w:rsidRDefault="00F47FB5" w:rsidP="00C373ED">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C026F2" w:rsidRPr="00C026F2">
      <w:rPr>
        <w:rFonts w:ascii="Palatino Linotype" w:eastAsia="Palatino Linotype" w:hAnsi="Palatino Linotype" w:cs="Palatino Linotype"/>
        <w:b/>
      </w:rPr>
      <w:t xml:space="preserve">Ayuntamiento de </w:t>
    </w:r>
    <w:r w:rsidR="00B7434C">
      <w:rPr>
        <w:rFonts w:ascii="Palatino Linotype" w:eastAsia="Palatino Linotype" w:hAnsi="Palatino Linotype" w:cs="Palatino Linotype"/>
        <w:b/>
      </w:rPr>
      <w:t>Villa Guerrero</w:t>
    </w:r>
    <w:r w:rsidR="006822E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6"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1"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7"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0"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50029378">
    <w:abstractNumId w:val="2"/>
  </w:num>
  <w:num w:numId="2" w16cid:durableId="302387991">
    <w:abstractNumId w:val="39"/>
  </w:num>
  <w:num w:numId="3" w16cid:durableId="962468191">
    <w:abstractNumId w:val="9"/>
  </w:num>
  <w:num w:numId="4" w16cid:durableId="472793232">
    <w:abstractNumId w:val="13"/>
  </w:num>
  <w:num w:numId="5" w16cid:durableId="746921827">
    <w:abstractNumId w:val="30"/>
  </w:num>
  <w:num w:numId="6" w16cid:durableId="1469277043">
    <w:abstractNumId w:val="28"/>
  </w:num>
  <w:num w:numId="7" w16cid:durableId="1942493828">
    <w:abstractNumId w:val="21"/>
  </w:num>
  <w:num w:numId="8" w16cid:durableId="46226380">
    <w:abstractNumId w:val="34"/>
  </w:num>
  <w:num w:numId="9" w16cid:durableId="15834866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96379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190703">
    <w:abstractNumId w:val="10"/>
  </w:num>
  <w:num w:numId="12" w16cid:durableId="1533491248">
    <w:abstractNumId w:val="36"/>
  </w:num>
  <w:num w:numId="13" w16cid:durableId="2102409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9156918">
    <w:abstractNumId w:val="27"/>
  </w:num>
  <w:num w:numId="15" w16cid:durableId="1340162556">
    <w:abstractNumId w:val="16"/>
  </w:num>
  <w:num w:numId="16" w16cid:durableId="1371124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6878932">
    <w:abstractNumId w:val="29"/>
  </w:num>
  <w:num w:numId="18" w16cid:durableId="1762066991">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3013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7065582">
    <w:abstractNumId w:val="19"/>
  </w:num>
  <w:num w:numId="21" w16cid:durableId="1728725719">
    <w:abstractNumId w:val="18"/>
  </w:num>
  <w:num w:numId="22" w16cid:durableId="14121933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99778">
    <w:abstractNumId w:val="8"/>
  </w:num>
  <w:num w:numId="24" w16cid:durableId="8901870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0364329">
    <w:abstractNumId w:val="5"/>
  </w:num>
  <w:num w:numId="26" w16cid:durableId="923562750">
    <w:abstractNumId w:val="37"/>
  </w:num>
  <w:num w:numId="27" w16cid:durableId="361442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6131406">
    <w:abstractNumId w:val="22"/>
  </w:num>
  <w:num w:numId="29" w16cid:durableId="501358833">
    <w:abstractNumId w:val="29"/>
  </w:num>
  <w:num w:numId="30" w16cid:durableId="678444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558616">
    <w:abstractNumId w:val="14"/>
  </w:num>
  <w:num w:numId="32" w16cid:durableId="16249681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0203482">
    <w:abstractNumId w:val="0"/>
  </w:num>
  <w:num w:numId="34" w16cid:durableId="15368518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0008264">
    <w:abstractNumId w:val="3"/>
  </w:num>
  <w:num w:numId="36" w16cid:durableId="1558856989">
    <w:abstractNumId w:val="20"/>
  </w:num>
  <w:num w:numId="37" w16cid:durableId="289902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2567438">
    <w:abstractNumId w:val="11"/>
    <w:lvlOverride w:ilvl="0">
      <w:startOverride w:val="1"/>
    </w:lvlOverride>
    <w:lvlOverride w:ilvl="1"/>
    <w:lvlOverride w:ilvl="2"/>
    <w:lvlOverride w:ilvl="3"/>
    <w:lvlOverride w:ilvl="4"/>
    <w:lvlOverride w:ilvl="5"/>
    <w:lvlOverride w:ilvl="6"/>
    <w:lvlOverride w:ilvl="7"/>
    <w:lvlOverride w:ilvl="8"/>
  </w:num>
  <w:num w:numId="39" w16cid:durableId="507135260">
    <w:abstractNumId w:val="17"/>
  </w:num>
  <w:num w:numId="40" w16cid:durableId="45865127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608343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0D34"/>
    <w:rsid w:val="00043D11"/>
    <w:rsid w:val="00055D60"/>
    <w:rsid w:val="00061126"/>
    <w:rsid w:val="0008542A"/>
    <w:rsid w:val="000B37D9"/>
    <w:rsid w:val="000B3FFD"/>
    <w:rsid w:val="000C43E5"/>
    <w:rsid w:val="000C4453"/>
    <w:rsid w:val="000D656A"/>
    <w:rsid w:val="000E27BB"/>
    <w:rsid w:val="00105578"/>
    <w:rsid w:val="001112E6"/>
    <w:rsid w:val="00115E7A"/>
    <w:rsid w:val="00135555"/>
    <w:rsid w:val="0018216B"/>
    <w:rsid w:val="001960A5"/>
    <w:rsid w:val="001B3D11"/>
    <w:rsid w:val="001C7B07"/>
    <w:rsid w:val="0020666A"/>
    <w:rsid w:val="00216C06"/>
    <w:rsid w:val="002378AC"/>
    <w:rsid w:val="00266831"/>
    <w:rsid w:val="00284217"/>
    <w:rsid w:val="00294490"/>
    <w:rsid w:val="002D5B21"/>
    <w:rsid w:val="002E7D97"/>
    <w:rsid w:val="003026CE"/>
    <w:rsid w:val="00312863"/>
    <w:rsid w:val="00326EEA"/>
    <w:rsid w:val="003448FB"/>
    <w:rsid w:val="003B75EE"/>
    <w:rsid w:val="003C6DAB"/>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92BEE"/>
    <w:rsid w:val="005B05D8"/>
    <w:rsid w:val="005C0271"/>
    <w:rsid w:val="005C4513"/>
    <w:rsid w:val="005C481C"/>
    <w:rsid w:val="005C4ADA"/>
    <w:rsid w:val="005D1946"/>
    <w:rsid w:val="005F3A48"/>
    <w:rsid w:val="00615B7E"/>
    <w:rsid w:val="00621357"/>
    <w:rsid w:val="00634485"/>
    <w:rsid w:val="00665800"/>
    <w:rsid w:val="0067340C"/>
    <w:rsid w:val="0067381F"/>
    <w:rsid w:val="0068101D"/>
    <w:rsid w:val="006822ED"/>
    <w:rsid w:val="00685B0E"/>
    <w:rsid w:val="006A1040"/>
    <w:rsid w:val="006A7AB7"/>
    <w:rsid w:val="006B2674"/>
    <w:rsid w:val="006E6389"/>
    <w:rsid w:val="006F0A6E"/>
    <w:rsid w:val="006F30F8"/>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92AFC"/>
    <w:rsid w:val="008936B4"/>
    <w:rsid w:val="008B0A68"/>
    <w:rsid w:val="008C19BE"/>
    <w:rsid w:val="008C3C4B"/>
    <w:rsid w:val="008D1526"/>
    <w:rsid w:val="008F67BC"/>
    <w:rsid w:val="00956B18"/>
    <w:rsid w:val="00961995"/>
    <w:rsid w:val="00975EB9"/>
    <w:rsid w:val="00981C38"/>
    <w:rsid w:val="00997CD5"/>
    <w:rsid w:val="009A5ED0"/>
    <w:rsid w:val="009B3D3A"/>
    <w:rsid w:val="009B6CFB"/>
    <w:rsid w:val="009C666B"/>
    <w:rsid w:val="009D10D2"/>
    <w:rsid w:val="009E155A"/>
    <w:rsid w:val="009F0D8D"/>
    <w:rsid w:val="00A16950"/>
    <w:rsid w:val="00A303B0"/>
    <w:rsid w:val="00A3172A"/>
    <w:rsid w:val="00A53363"/>
    <w:rsid w:val="00A5360A"/>
    <w:rsid w:val="00A561C5"/>
    <w:rsid w:val="00A610D3"/>
    <w:rsid w:val="00A64683"/>
    <w:rsid w:val="00A74BB7"/>
    <w:rsid w:val="00A7532A"/>
    <w:rsid w:val="00A81140"/>
    <w:rsid w:val="00AB78CF"/>
    <w:rsid w:val="00AC0680"/>
    <w:rsid w:val="00AE7763"/>
    <w:rsid w:val="00B014D8"/>
    <w:rsid w:val="00B05E5A"/>
    <w:rsid w:val="00B343D6"/>
    <w:rsid w:val="00B34E17"/>
    <w:rsid w:val="00B53290"/>
    <w:rsid w:val="00B64C7A"/>
    <w:rsid w:val="00B64CFB"/>
    <w:rsid w:val="00B703D7"/>
    <w:rsid w:val="00B7360E"/>
    <w:rsid w:val="00B7434C"/>
    <w:rsid w:val="00B868A5"/>
    <w:rsid w:val="00B92067"/>
    <w:rsid w:val="00BB071F"/>
    <w:rsid w:val="00BB11DB"/>
    <w:rsid w:val="00BB2AD1"/>
    <w:rsid w:val="00BB2CEA"/>
    <w:rsid w:val="00BC1756"/>
    <w:rsid w:val="00BD07E6"/>
    <w:rsid w:val="00BD7483"/>
    <w:rsid w:val="00BE05AB"/>
    <w:rsid w:val="00BF358F"/>
    <w:rsid w:val="00BF68F0"/>
    <w:rsid w:val="00BF6974"/>
    <w:rsid w:val="00BF6E14"/>
    <w:rsid w:val="00C026F2"/>
    <w:rsid w:val="00C156E5"/>
    <w:rsid w:val="00C27236"/>
    <w:rsid w:val="00C373ED"/>
    <w:rsid w:val="00C65950"/>
    <w:rsid w:val="00C75CBC"/>
    <w:rsid w:val="00C80F8C"/>
    <w:rsid w:val="00C85F1D"/>
    <w:rsid w:val="00C8760D"/>
    <w:rsid w:val="00CE0FA6"/>
    <w:rsid w:val="00CE1692"/>
    <w:rsid w:val="00CE217B"/>
    <w:rsid w:val="00CF3F65"/>
    <w:rsid w:val="00D03369"/>
    <w:rsid w:val="00D20156"/>
    <w:rsid w:val="00D23B3B"/>
    <w:rsid w:val="00D36ABC"/>
    <w:rsid w:val="00D96441"/>
    <w:rsid w:val="00DC2CB7"/>
    <w:rsid w:val="00DC3082"/>
    <w:rsid w:val="00DD45AC"/>
    <w:rsid w:val="00DD5CD5"/>
    <w:rsid w:val="00DE1629"/>
    <w:rsid w:val="00DE5C27"/>
    <w:rsid w:val="00E37AE3"/>
    <w:rsid w:val="00E429BA"/>
    <w:rsid w:val="00EF3513"/>
    <w:rsid w:val="00F05A30"/>
    <w:rsid w:val="00F1205F"/>
    <w:rsid w:val="00F1233A"/>
    <w:rsid w:val="00F47FB5"/>
    <w:rsid w:val="00F614DA"/>
    <w:rsid w:val="00F662BC"/>
    <w:rsid w:val="00F717F4"/>
    <w:rsid w:val="00F75892"/>
    <w:rsid w:val="00F9546D"/>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78410005">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4874963">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3018525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2288979">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56F83-062C-4C73-BCE5-0221C6E6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4627</Words>
  <Characters>25451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4</cp:revision>
  <cp:lastPrinted>2023-05-30T00:23:00Z</cp:lastPrinted>
  <dcterms:created xsi:type="dcterms:W3CDTF">2023-07-31T17:54:00Z</dcterms:created>
  <dcterms:modified xsi:type="dcterms:W3CDTF">2024-02-08T23:12:00Z</dcterms:modified>
</cp:coreProperties>
</file>