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0B03" w14:textId="27ACD72C" w:rsidR="00326EEA" w:rsidRDefault="00F47FB5" w:rsidP="00CF3F65">
      <w:pPr>
        <w:spacing w:line="360" w:lineRule="auto"/>
        <w:jc w:val="both"/>
        <w:rPr>
          <w:rFonts w:ascii="Palatino Linotype" w:eastAsia="Palatino Linotype" w:hAnsi="Palatino Linotype" w:cs="Palatino Linotype"/>
          <w:b/>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E73E67">
        <w:rPr>
          <w:rFonts w:ascii="Palatino Linotype" w:hAnsi="Palatino Linotype" w:cs="Tahoma"/>
          <w:b/>
        </w:rPr>
        <w:t xml:space="preserve">PROTECCIÓN DE DATOS PERSONALES DEL ESTADO DE MÉXICO </w:t>
      </w:r>
      <w:r w:rsidR="00864A74">
        <w:rPr>
          <w:rFonts w:ascii="Palatino Linotype" w:hAnsi="Palatino Linotype" w:cs="Tahoma"/>
          <w:b/>
        </w:rPr>
        <w:t xml:space="preserve">Y MUNICIPIOS AL RECURSO DE REVISIÓN </w:t>
      </w:r>
      <w:r w:rsidR="00864A74">
        <w:rPr>
          <w:rFonts w:ascii="Palatino Linotype" w:eastAsia="Palatino Linotype" w:hAnsi="Palatino Linotype" w:cs="Palatino Linotype"/>
          <w:b/>
        </w:rPr>
        <w:t>01354/INFOEM/IP/RR/2023</w:t>
      </w:r>
      <w:r w:rsidR="00864A74">
        <w:rPr>
          <w:rFonts w:ascii="Palatino Linotype" w:hAnsi="Palatino Linotype" w:cs="Tahoma"/>
          <w:b/>
        </w:rPr>
        <w:t xml:space="preserve">, PROMOVIDO EN CONTRA DEL </w:t>
      </w:r>
      <w:r w:rsidR="00864A74">
        <w:rPr>
          <w:rFonts w:ascii="Palatino Linotype" w:eastAsia="Palatino Linotype" w:hAnsi="Palatino Linotype" w:cs="Palatino Linotype"/>
          <w:b/>
        </w:rPr>
        <w:t>AYUNTAMIENTO DE NICOLÁS ROMERO</w:t>
      </w:r>
      <w:r w:rsidR="00857913">
        <w:rPr>
          <w:rFonts w:ascii="Palatino Linotype" w:eastAsia="Palatino Linotype" w:hAnsi="Palatino Linotype" w:cs="Palatino Linotype"/>
          <w:b/>
        </w:rPr>
        <w:t>.</w:t>
      </w:r>
    </w:p>
    <w:p w14:paraId="2D2D2067" w14:textId="77777777" w:rsidR="00864A74" w:rsidRPr="00CF3F65" w:rsidRDefault="00864A74"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4717769D" w14:textId="540D4191" w:rsidR="00E73E67" w:rsidRDefault="00CF3F65" w:rsidP="00864A74">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64A74">
        <w:rPr>
          <w:rFonts w:ascii="Palatino Linotype" w:eastAsia="Palatino Linotype" w:hAnsi="Palatino Linotype" w:cs="Palatino Linotype"/>
          <w:b/>
        </w:rPr>
        <w:t>01354/INFOEM/IP/RR/2023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64A74">
        <w:rPr>
          <w:rFonts w:ascii="Palatino Linotype" w:eastAsia="Palatino Linotype" w:hAnsi="Palatino Linotype" w:cs="Palatino Linotype"/>
          <w:b/>
        </w:rPr>
        <w:t>Ayuntamiento de Nicolás Romero.</w:t>
      </w:r>
    </w:p>
    <w:p w14:paraId="7B10F17D" w14:textId="77777777" w:rsidR="00864A74" w:rsidRDefault="00864A74" w:rsidP="00864A74">
      <w:pPr>
        <w:spacing w:line="360" w:lineRule="auto"/>
        <w:jc w:val="both"/>
        <w:rPr>
          <w:rFonts w:ascii="Palatino Linotype" w:hAnsi="Palatino Linotype" w:cs="Tahoma"/>
          <w:b/>
          <w:sz w:val="18"/>
          <w:szCs w:val="22"/>
          <w:lang w:val="es-MX"/>
        </w:rPr>
      </w:pPr>
    </w:p>
    <w:p w14:paraId="76474D17" w14:textId="77777777" w:rsidR="00864A74" w:rsidRDefault="00864A74" w:rsidP="00864A74">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se requiere:</w:t>
      </w:r>
    </w:p>
    <w:p w14:paraId="6647C5D2" w14:textId="77777777" w:rsidR="00864A74" w:rsidRDefault="00864A74" w:rsidP="00864A74">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“se solicita todas las </w:t>
      </w:r>
      <w:r>
        <w:rPr>
          <w:rFonts w:ascii="Palatino Linotype" w:eastAsia="Palatino Linotype" w:hAnsi="Palatino Linotype" w:cs="Palatino Linotype"/>
          <w:b/>
          <w:i/>
          <w:sz w:val="22"/>
          <w:szCs w:val="22"/>
          <w:u w:val="single"/>
        </w:rPr>
        <w:t xml:space="preserve">presuntas </w:t>
      </w:r>
      <w:r>
        <w:rPr>
          <w:rFonts w:ascii="Palatino Linotype" w:eastAsia="Palatino Linotype" w:hAnsi="Palatino Linotype" w:cs="Palatino Linotype"/>
          <w:i/>
          <w:sz w:val="22"/>
          <w:szCs w:val="22"/>
        </w:rPr>
        <w:t>faltas administrativas realizadas por los tesoreros municipales del año 2016 a la fecha” (Sic)</w:t>
      </w:r>
    </w:p>
    <w:p w14:paraId="6A7CFC3A" w14:textId="77777777" w:rsidR="00864A74" w:rsidRDefault="00864A74" w:rsidP="00864A74">
      <w:pPr>
        <w:spacing w:before="240"/>
        <w:ind w:left="851" w:right="902"/>
        <w:jc w:val="both"/>
        <w:rPr>
          <w:rFonts w:ascii="Palatino Linotype" w:eastAsia="Palatino Linotype" w:hAnsi="Palatino Linotype" w:cs="Palatino Linotype"/>
          <w:i/>
          <w:sz w:val="22"/>
          <w:szCs w:val="22"/>
        </w:rPr>
      </w:pPr>
    </w:p>
    <w:p w14:paraId="24C8D24C" w14:textId="0D30AE03" w:rsidR="00864A74" w:rsidRDefault="00864A74" w:rsidP="00864A74">
      <w:pPr>
        <w:spacing w:line="360" w:lineRule="auto"/>
        <w:jc w:val="both"/>
        <w:rPr>
          <w:rFonts w:ascii="Palatino Linotype" w:hAnsi="Palatino Linotype"/>
        </w:rPr>
      </w:pPr>
      <w:r>
        <w:rPr>
          <w:rFonts w:ascii="Palatino Linotype" w:eastAsia="MS Mincho" w:hAnsi="Palatino Linotype"/>
          <w:color w:val="000000" w:themeColor="text1"/>
          <w:lang w:val="es-MX"/>
        </w:rPr>
        <w:t xml:space="preserve">El </w:t>
      </w:r>
      <w:r>
        <w:rPr>
          <w:rFonts w:ascii="Palatino Linotype" w:eastAsiaTheme="minorEastAsia" w:hAnsi="Palatino Linotype" w:cstheme="minorBidi"/>
          <w:b/>
          <w:color w:val="000000" w:themeColor="text1"/>
          <w:lang w:val="es-MX"/>
        </w:rPr>
        <w:t>SUJETO OBLIGADO</w:t>
      </w:r>
      <w:r>
        <w:rPr>
          <w:rFonts w:ascii="Palatino Linotype" w:eastAsiaTheme="minorEastAsia" w:hAnsi="Palatino Linotype" w:cstheme="minorBidi"/>
          <w:color w:val="000000" w:themeColor="text1"/>
          <w:lang w:val="es-MX"/>
        </w:rPr>
        <w:t xml:space="preserve"> dio respuesta a la solicitud de información en la </w:t>
      </w:r>
      <w:proofErr w:type="gramStart"/>
      <w:r>
        <w:rPr>
          <w:rFonts w:ascii="Palatino Linotype" w:eastAsiaTheme="minorEastAsia" w:hAnsi="Palatino Linotype" w:cstheme="minorBidi"/>
          <w:color w:val="000000" w:themeColor="text1"/>
          <w:lang w:val="es-MX"/>
        </w:rPr>
        <w:t xml:space="preserve">cual </w:t>
      </w:r>
      <w:r>
        <w:rPr>
          <w:rFonts w:ascii="Palatino Linotype" w:hAnsi="Palatino Linotype"/>
          <w:color w:val="000000" w:themeColor="text1"/>
        </w:rPr>
        <w:t xml:space="preserve"> informa</w:t>
      </w:r>
      <w:proofErr w:type="gramEnd"/>
      <w:r>
        <w:rPr>
          <w:rFonts w:ascii="Palatino Linotype" w:hAnsi="Palatino Linotype"/>
        </w:rPr>
        <w:t>:</w:t>
      </w:r>
    </w:p>
    <w:p w14:paraId="65DFB528" w14:textId="77777777" w:rsidR="00864A74" w:rsidRDefault="00864A74" w:rsidP="00864A74">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“…Derivado de la actualización del Sistema Integral de Responsabilidades, este Órgano de Control Interno, por el momento carece de facultades para proporcionar dicha información, hasta que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la Contraloría del Gobierno del Estado de México; termine con las actualizaciones correspondientes...” (Sic)</w:t>
      </w:r>
    </w:p>
    <w:p w14:paraId="3C2A03FA" w14:textId="77777777" w:rsidR="00864A74" w:rsidRDefault="00864A74" w:rsidP="00864A74">
      <w:pPr>
        <w:spacing w:line="360" w:lineRule="auto"/>
        <w:jc w:val="both"/>
        <w:rPr>
          <w:rFonts w:ascii="Palatino Linotype" w:hAnsi="Palatino Linotype"/>
        </w:rPr>
      </w:pPr>
    </w:p>
    <w:p w14:paraId="0D222405" w14:textId="77777777" w:rsidR="00864A74" w:rsidRDefault="00864A74" w:rsidP="00864A74">
      <w:pPr>
        <w:tabs>
          <w:tab w:val="left" w:pos="284"/>
          <w:tab w:val="left" w:pos="426"/>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Derivado de la respuesta emitida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el particular interpuso el recurso de revisión </w:t>
      </w:r>
      <w:r>
        <w:rPr>
          <w:rFonts w:ascii="Palatino Linotype" w:hAnsi="Palatino Linotype" w:cs="Arial"/>
          <w:b/>
          <w:bCs/>
          <w:color w:val="000000" w:themeColor="text1"/>
        </w:rPr>
        <w:t>03037/INFOEM/IP/RR/2023</w:t>
      </w:r>
      <w:r>
        <w:rPr>
          <w:rFonts w:ascii="Palatino Linotype" w:eastAsia="Calibri" w:hAnsi="Palatino Linotype" w:cs="Arial"/>
          <w:color w:val="000000" w:themeColor="text1"/>
        </w:rPr>
        <w:t>;</w:t>
      </w:r>
      <w:r>
        <w:rPr>
          <w:rFonts w:ascii="Palatino Linotype" w:hAnsi="Palatino Linotype" w:cs="Arial"/>
          <w:color w:val="000000" w:themeColor="text1"/>
        </w:rPr>
        <w:t xml:space="preserve"> impugnación en la que refirió lo siguiente:</w:t>
      </w:r>
    </w:p>
    <w:p w14:paraId="7A47BD79" w14:textId="3C97B7CF"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527B9B1E" w14:textId="77777777" w:rsidR="00864A74" w:rsidRDefault="00864A74" w:rsidP="00864A74">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6AFABA18" w14:textId="77777777" w:rsidR="00864A74" w:rsidRDefault="00864A74" w:rsidP="00864A7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entrego información solicitada” (Sic)</w:t>
      </w:r>
    </w:p>
    <w:p w14:paraId="2FC20FA6" w14:textId="77777777" w:rsidR="00864A74" w:rsidRDefault="00864A74" w:rsidP="00864A74">
      <w:pPr>
        <w:ind w:left="851" w:right="902"/>
        <w:jc w:val="both"/>
        <w:rPr>
          <w:rFonts w:ascii="Palatino Linotype" w:eastAsia="Palatino Linotype" w:hAnsi="Palatino Linotype" w:cs="Palatino Linotype"/>
          <w:i/>
          <w:sz w:val="22"/>
          <w:szCs w:val="22"/>
        </w:rPr>
      </w:pPr>
    </w:p>
    <w:p w14:paraId="42DF208E" w14:textId="77777777" w:rsidR="00864A74" w:rsidRDefault="00864A74" w:rsidP="00864A7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04F0CBD8" w14:textId="77777777" w:rsidR="00864A74" w:rsidRDefault="00864A74" w:rsidP="00864A74">
      <w:pPr>
        <w:ind w:left="851" w:right="902"/>
        <w:jc w:val="both"/>
        <w:rPr>
          <w:rFonts w:ascii="Palatino Linotype" w:eastAsia="Palatino Linotype" w:hAnsi="Palatino Linotype" w:cs="Palatino Linotype"/>
          <w:i/>
          <w:sz w:val="22"/>
          <w:szCs w:val="22"/>
        </w:rPr>
      </w:pPr>
      <w:bookmarkStart w:id="1" w:name="_heading=h.30j0zll"/>
      <w:bookmarkEnd w:id="1"/>
      <w:r>
        <w:rPr>
          <w:rFonts w:ascii="Palatino Linotype" w:eastAsia="Palatino Linotype" w:hAnsi="Palatino Linotype" w:cs="Palatino Linotype"/>
          <w:i/>
          <w:sz w:val="22"/>
          <w:szCs w:val="22"/>
        </w:rPr>
        <w:t xml:space="preserve"> “No entrego información solicitada” (Sic)</w:t>
      </w:r>
    </w:p>
    <w:p w14:paraId="71CC9D05"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45CB19E5" w14:textId="77777777" w:rsidR="00864A74" w:rsidRDefault="00864A74" w:rsidP="00864A74">
      <w:pPr>
        <w:spacing w:line="360" w:lineRule="auto"/>
        <w:jc w:val="both"/>
        <w:rPr>
          <w:rFonts w:ascii="Palatino Linotype" w:hAnsi="Palatino Linotype"/>
        </w:rPr>
      </w:pPr>
      <w:r>
        <w:rPr>
          <w:rFonts w:ascii="Palatino Linotype" w:hAnsi="Palatino Linotype"/>
        </w:rPr>
        <w:t xml:space="preserve">La resolución determina </w:t>
      </w:r>
      <w:r>
        <w:rPr>
          <w:rFonts w:ascii="Palatino Linotype" w:hAnsi="Palatino Linotype"/>
          <w:b/>
        </w:rPr>
        <w:t xml:space="preserve">REVOCAR </w:t>
      </w:r>
      <w:r>
        <w:rPr>
          <w:rFonts w:ascii="Palatino Linotype" w:hAnsi="Palatino Linotype"/>
        </w:rPr>
        <w:t>la respuesta y ordena que se</w:t>
      </w:r>
      <w:r>
        <w:rPr>
          <w:rFonts w:ascii="Palatino Linotype" w:hAnsi="Palatino Linotype"/>
          <w:b/>
        </w:rPr>
        <w:t xml:space="preserve"> </w:t>
      </w:r>
      <w:r>
        <w:rPr>
          <w:rFonts w:ascii="Palatino Linotype" w:hAnsi="Palatino Linotype"/>
        </w:rPr>
        <w:t>haga entrega a la</w:t>
      </w:r>
      <w:r>
        <w:rPr>
          <w:rFonts w:ascii="Palatino Linotype" w:hAnsi="Palatino Linotype"/>
          <w:b/>
        </w:rPr>
        <w:t xml:space="preserve"> PARTE RECURRENTE</w:t>
      </w:r>
      <w:r>
        <w:rPr>
          <w:rFonts w:ascii="Palatino Linotype" w:hAnsi="Palatino Linotype"/>
        </w:rPr>
        <w:t xml:space="preserve">, vía el Sistema de Acceso a la Información Mexiquense (SAIMEX), en versión </w:t>
      </w:r>
      <w:proofErr w:type="gramStart"/>
      <w:r>
        <w:rPr>
          <w:rFonts w:ascii="Palatino Linotype" w:hAnsi="Palatino Linotype"/>
        </w:rPr>
        <w:t>pública,  lo</w:t>
      </w:r>
      <w:proofErr w:type="gramEnd"/>
      <w:r>
        <w:rPr>
          <w:rFonts w:ascii="Palatino Linotype" w:hAnsi="Palatino Linotype"/>
        </w:rPr>
        <w:t xml:space="preserve"> siguiente:</w:t>
      </w:r>
    </w:p>
    <w:p w14:paraId="1F905094"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2089514B" w14:textId="77777777" w:rsidR="00864A74" w:rsidRDefault="00864A74" w:rsidP="00864A74">
      <w:pPr>
        <w:numPr>
          <w:ilvl w:val="0"/>
          <w:numId w:val="36"/>
        </w:numPr>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lastRenderedPageBreak/>
        <w:t xml:space="preserve">Acuerdo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respecto de las </w:t>
      </w:r>
      <w:r>
        <w:rPr>
          <w:rFonts w:ascii="Palatino Linotype" w:eastAsia="Palatino Linotype" w:hAnsi="Palatino Linotype" w:cs="Palatino Linotype"/>
          <w:b/>
          <w:color w:val="000000"/>
        </w:rPr>
        <w:t>presuntas faltas administrativas</w:t>
      </w:r>
      <w:r>
        <w:rPr>
          <w:rFonts w:ascii="Palatino Linotype" w:eastAsia="Palatino Linotype" w:hAnsi="Palatino Linotype" w:cs="Palatino Linotype"/>
          <w:color w:val="000000"/>
        </w:rPr>
        <w:t xml:space="preserve"> realizadas por los Tesoreros Municipales del primero de enero del año dos mil dieciséis al trece de febrero del año dos mil veintitrés, de los procedimientos en trámite. </w:t>
      </w:r>
    </w:p>
    <w:p w14:paraId="4F008030" w14:textId="77777777" w:rsidR="00864A74" w:rsidRDefault="00864A74" w:rsidP="00864A74">
      <w:pPr>
        <w:spacing w:line="276" w:lineRule="auto"/>
        <w:ind w:left="720" w:right="49"/>
        <w:jc w:val="both"/>
        <w:rPr>
          <w:rFonts w:ascii="Palatino Linotype" w:eastAsia="Palatino Linotype" w:hAnsi="Palatino Linotype" w:cs="Palatino Linotype"/>
          <w:i/>
          <w:color w:val="000000"/>
        </w:rPr>
      </w:pPr>
    </w:p>
    <w:p w14:paraId="61429863" w14:textId="77777777" w:rsidR="00864A74" w:rsidRDefault="00864A74" w:rsidP="00864A74">
      <w:pPr>
        <w:numPr>
          <w:ilvl w:val="0"/>
          <w:numId w:val="36"/>
        </w:numPr>
        <w:tabs>
          <w:tab w:val="left" w:pos="3962"/>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Versión pública del documento que dé cuenta de las presuntas faltas administrativas, realizadas por los Tesoreros Municipales del primero de enero del año dos mil dieciséis al trece de febrero del año dos mil veintitrés, para el caso de que </w:t>
      </w:r>
      <w:r>
        <w:rPr>
          <w:rFonts w:ascii="Palatino Linotype" w:eastAsia="Palatino Linotype" w:hAnsi="Palatino Linotype" w:cs="Palatino Linotype"/>
          <w:b/>
          <w:color w:val="000000"/>
          <w:u w:val="single"/>
        </w:rPr>
        <w:t>los procedimientos en trámite se relacionen con actos de corrupción</w:t>
      </w:r>
      <w:r>
        <w:rPr>
          <w:rFonts w:ascii="Palatino Linotype" w:eastAsia="Palatino Linotype" w:hAnsi="Palatino Linotype" w:cs="Palatino Linotype"/>
          <w:color w:val="000000"/>
        </w:rPr>
        <w:t>, de conformidad con el artículo 142 de la Ley de la materia.</w:t>
      </w:r>
    </w:p>
    <w:p w14:paraId="52DCFDD5" w14:textId="77777777" w:rsidR="00864A74" w:rsidRDefault="00864A74" w:rsidP="00864A74">
      <w:pPr>
        <w:ind w:left="720"/>
        <w:rPr>
          <w:rFonts w:ascii="Palatino Linotype" w:eastAsia="Palatino Linotype" w:hAnsi="Palatino Linotype" w:cs="Palatino Linotype"/>
          <w:color w:val="000000"/>
        </w:rPr>
      </w:pPr>
    </w:p>
    <w:p w14:paraId="0302B57D" w14:textId="77777777" w:rsidR="00864A74" w:rsidRDefault="00864A74" w:rsidP="00864A74">
      <w:pPr>
        <w:spacing w:line="276" w:lineRule="auto"/>
        <w:ind w:left="360"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w:t>
      </w:r>
    </w:p>
    <w:p w14:paraId="19F93F79" w14:textId="77777777" w:rsidR="00864A74" w:rsidRDefault="00864A74" w:rsidP="00864A74">
      <w:pPr>
        <w:spacing w:line="276" w:lineRule="auto"/>
        <w:ind w:left="720" w:right="49"/>
        <w:jc w:val="both"/>
        <w:rPr>
          <w:rFonts w:ascii="Palatino Linotype" w:eastAsia="Palatino Linotype" w:hAnsi="Palatino Linotype" w:cs="Palatino Linotype"/>
          <w:i/>
          <w:color w:val="000000"/>
        </w:rPr>
      </w:pPr>
    </w:p>
    <w:p w14:paraId="1BAD47FA"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5646604C" w14:textId="0093FD75" w:rsidR="00864A74" w:rsidRDefault="00864A74" w:rsidP="00864A74">
      <w:pP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resolución indica </w:t>
      </w:r>
      <w:proofErr w:type="gramStart"/>
      <w:r>
        <w:rPr>
          <w:rFonts w:ascii="Palatino Linotype" w:eastAsia="Palatino Linotype" w:hAnsi="Palatino Linotype" w:cs="Palatino Linotype"/>
          <w:color w:val="000000"/>
        </w:rPr>
        <w:t>que  de</w:t>
      </w:r>
      <w:proofErr w:type="gramEnd"/>
      <w:r>
        <w:rPr>
          <w:rFonts w:ascii="Palatino Linotype" w:eastAsia="Palatino Linotype" w:hAnsi="Palatino Linotype" w:cs="Palatino Linotype"/>
          <w:color w:val="000000"/>
        </w:rPr>
        <w:t xml:space="preserve"> un análisis de la solicitud de acceso a la información pública se advierte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solicita información de </w:t>
      </w:r>
      <w:r>
        <w:rPr>
          <w:rFonts w:ascii="Palatino Linotype" w:eastAsia="Palatino Linotype" w:hAnsi="Palatino Linotype" w:cs="Palatino Linotype"/>
          <w:color w:val="000000"/>
        </w:rPr>
        <w:lastRenderedPageBreak/>
        <w:t xml:space="preserve">procedimiento en trámite en los que </w:t>
      </w:r>
      <w:r w:rsidRPr="00864A74">
        <w:rPr>
          <w:rFonts w:ascii="Palatino Linotype" w:eastAsia="Palatino Linotype" w:hAnsi="Palatino Linotype" w:cs="Palatino Linotype"/>
          <w:b/>
          <w:color w:val="000000"/>
          <w:u w:val="single"/>
        </w:rPr>
        <w:t xml:space="preserve">aún no ha quedado firme </w:t>
      </w:r>
      <w:r>
        <w:rPr>
          <w:rFonts w:ascii="Palatino Linotype" w:eastAsia="Palatino Linotype" w:hAnsi="Palatino Linotype" w:cs="Palatino Linotype"/>
          <w:color w:val="000000"/>
        </w:rPr>
        <w:t xml:space="preserve">la determinación de la responsabilidad, ya que pide información sobre presunta responsabilidad. </w:t>
      </w:r>
    </w:p>
    <w:p w14:paraId="64E914D4" w14:textId="77777777" w:rsidR="00864A74" w:rsidRDefault="00864A74" w:rsidP="00864A74">
      <w:pPr>
        <w:tabs>
          <w:tab w:val="left" w:pos="426"/>
        </w:tabs>
        <w:spacing w:line="360" w:lineRule="auto"/>
        <w:jc w:val="both"/>
        <w:rPr>
          <w:rFonts w:ascii="Palatino Linotype" w:eastAsia="Palatino Linotype" w:hAnsi="Palatino Linotype" w:cs="Palatino Linotype"/>
          <w:color w:val="000000"/>
        </w:rPr>
      </w:pPr>
    </w:p>
    <w:p w14:paraId="5CD10552" w14:textId="636A6B66" w:rsidR="00864A74" w:rsidRDefault="00864A74" w:rsidP="00864A74">
      <w:pPr>
        <w:spacing w:line="360" w:lineRule="auto"/>
        <w:ind w:right="51"/>
        <w:jc w:val="both"/>
        <w:rPr>
          <w:rFonts w:ascii="Palatino Linotype" w:eastAsia="Palatino Linotype" w:hAnsi="Palatino Linotype" w:cs="Palatino Linotype"/>
        </w:rPr>
      </w:pPr>
      <w:proofErr w:type="gramStart"/>
      <w:r>
        <w:rPr>
          <w:rFonts w:ascii="Palatino Linotype" w:eastAsia="Palatino Linotype" w:hAnsi="Palatino Linotype" w:cs="Palatino Linotype"/>
          <w:color w:val="000000"/>
        </w:rPr>
        <w:t>Que  la</w:t>
      </w:r>
      <w:proofErr w:type="gramEnd"/>
      <w:r>
        <w:rPr>
          <w:rFonts w:ascii="Palatino Linotype" w:eastAsia="Palatino Linotype" w:hAnsi="Palatino Linotype" w:cs="Palatino Linotype"/>
          <w:color w:val="000000"/>
        </w:rPr>
        <w:t xml:space="preserve"> particular únicamente pretende acceder a información relacionada con procedimientos administrativos en trámite, pues pide conocer las </w:t>
      </w:r>
      <w:r>
        <w:rPr>
          <w:rFonts w:ascii="Palatino Linotype" w:eastAsia="Palatino Linotype" w:hAnsi="Palatino Linotype" w:cs="Palatino Linotype"/>
          <w:b/>
          <w:color w:val="000000"/>
          <w:u w:val="single"/>
        </w:rPr>
        <w:t>presuntas faltas</w:t>
      </w:r>
      <w:r>
        <w:rPr>
          <w:rFonts w:ascii="Palatino Linotype" w:eastAsia="Palatino Linotype" w:hAnsi="Palatino Linotype" w:cs="Palatino Linotype"/>
          <w:color w:val="000000"/>
        </w:rPr>
        <w:t xml:space="preserve"> administrativas cometidas por </w:t>
      </w:r>
      <w:r>
        <w:rPr>
          <w:rFonts w:ascii="Palatino Linotype" w:eastAsia="Palatino Linotype" w:hAnsi="Palatino Linotype" w:cs="Palatino Linotype"/>
        </w:rPr>
        <w:t>los Tesoreros Municipales desde el primero de enero del año dos mil dieciséis al trece de febrero del año dos mil veintitrés.</w:t>
      </w:r>
    </w:p>
    <w:p w14:paraId="59C601BD" w14:textId="77777777" w:rsidR="00864A74" w:rsidRDefault="00864A74" w:rsidP="00864A74">
      <w:pPr>
        <w:spacing w:line="360" w:lineRule="auto"/>
        <w:ind w:right="51"/>
        <w:jc w:val="both"/>
      </w:pPr>
    </w:p>
    <w:p w14:paraId="10F29A6C" w14:textId="4D5829F4" w:rsidR="00864A74" w:rsidRDefault="00864A74" w:rsidP="00864A74">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el realizar un pronunciamiento sobre la existencia de un procedimiento de posibles responsabilidades en trámite, podría afectar a los posibles responsables identificados en el presente caso, </w:t>
      </w:r>
      <w:r>
        <w:rPr>
          <w:rFonts w:ascii="Palatino Linotype" w:eastAsia="Palatino Linotype" w:hAnsi="Palatino Linotype" w:cs="Palatino Linotype"/>
          <w:b/>
          <w:u w:val="single"/>
        </w:rPr>
        <w:t>ya que se daría a conocer la existencia de una investigación en su contra, lo cual, generaría una percepción negativa de estos, sin que se hubiere probado su responsabilidad o culpabilidad, lo cual dañaría, su honor y su derecho a la presunción inocencia e inclusive su actividad profesional, pues aún no se juntan los elementos necesarios para iniciar la segunda etapa del procedimiento</w:t>
      </w:r>
      <w:r>
        <w:rPr>
          <w:rFonts w:ascii="Palatino Linotype" w:eastAsia="Palatino Linotype" w:hAnsi="Palatino Linotype" w:cs="Palatino Linotype"/>
        </w:rPr>
        <w:t>.</w:t>
      </w:r>
    </w:p>
    <w:p w14:paraId="36A57365" w14:textId="1B5320A9"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Criterio que esta Ponencia no comparte ya que, se considera que </w:t>
      </w:r>
      <w:r w:rsidR="00D6282D">
        <w:rPr>
          <w:rFonts w:ascii="Palatino Linotype" w:hAnsi="Palatino Linotype" w:cstheme="minorHAnsi"/>
          <w:color w:val="000000" w:themeColor="text1"/>
        </w:rPr>
        <w:t xml:space="preserve">también </w:t>
      </w:r>
      <w:r>
        <w:rPr>
          <w:rFonts w:ascii="Palatino Linotype" w:hAnsi="Palatino Linotype" w:cstheme="minorHAnsi"/>
          <w:color w:val="000000" w:themeColor="text1"/>
        </w:rPr>
        <w:t xml:space="preserve">debieron ordenarse </w:t>
      </w:r>
      <w:r w:rsidR="00D6282D">
        <w:rPr>
          <w:rFonts w:ascii="Palatino Linotype" w:hAnsi="Palatino Linotype" w:cstheme="minorHAnsi"/>
          <w:color w:val="000000" w:themeColor="text1"/>
        </w:rPr>
        <w:t xml:space="preserve">los procedimientos concluidos, </w:t>
      </w:r>
      <w:r w:rsidRPr="00353A15">
        <w:rPr>
          <w:rFonts w:ascii="Palatino Linotype" w:hAnsi="Palatino Linotype" w:cstheme="minorHAnsi"/>
          <w:color w:val="000000" w:themeColor="text1"/>
        </w:rPr>
        <w:t>dada  la temporalidad de la información solicitada, siendo importante conocer el resultado de estos procedimientos  por la trascendencia de las funciones de los tesoreros como  responsables del manejo correcto de la hacienda pública municipal</w:t>
      </w:r>
      <w:r>
        <w:rPr>
          <w:rFonts w:ascii="Palatino Linotype" w:hAnsi="Palatino Linotype" w:cstheme="minorHAnsi"/>
          <w:color w:val="000000" w:themeColor="text1"/>
        </w:rPr>
        <w:t xml:space="preserve"> por lo que  la interpretación que se realiza  a la solicitud, no garantiza un auténtico acceso a la información pública al </w:t>
      </w:r>
      <w:r>
        <w:rPr>
          <w:rFonts w:ascii="Palatino Linotype" w:hAnsi="Palatino Linotype" w:cstheme="minorHAnsi"/>
          <w:color w:val="000000" w:themeColor="text1"/>
        </w:rPr>
        <w:lastRenderedPageBreak/>
        <w:t xml:space="preserve">judicializar la transparencia, ya que no debe olvidarse que el procedimiento de acceso a la información se rige por los principios de auxilio y orientación a los particulares; dicho en otras palabras, </w:t>
      </w:r>
      <w:r>
        <w:rPr>
          <w:rFonts w:ascii="Palatino Linotype" w:hAnsi="Palatino Linotype" w:cstheme="minorHAnsi"/>
          <w:b/>
          <w:color w:val="000000" w:themeColor="text1"/>
        </w:rPr>
        <w:t>los solicitantes no están obligados a conocer los términos jurídicos o técnicos del soporte documental al que desean acceder, ni tampoco a ser expertos en materia de transparencia para promover solicitudes de acceso a la información</w:t>
      </w:r>
      <w:r>
        <w:rPr>
          <w:rFonts w:ascii="Palatino Linotype" w:hAnsi="Palatino Linotype" w:cstheme="minorHAnsi"/>
          <w:color w:val="000000" w:themeColor="text1"/>
        </w:rPr>
        <w:t>.</w:t>
      </w:r>
    </w:p>
    <w:p w14:paraId="0448A8EF"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728597FC" w14:textId="5A924BDF" w:rsidR="00353A15" w:rsidRDefault="00353A15" w:rsidP="00353A15">
      <w:pPr>
        <w:pStyle w:val="Prrafodelista"/>
        <w:tabs>
          <w:tab w:val="left" w:pos="426"/>
        </w:tabs>
        <w:spacing w:line="360" w:lineRule="auto"/>
        <w:ind w:left="0" w:right="51"/>
        <w:jc w:val="both"/>
        <w:rPr>
          <w:rFonts w:ascii="Palatino Linotype" w:hAnsi="Palatino Linotype" w:cstheme="minorHAnsi"/>
          <w:i/>
          <w:color w:val="000000" w:themeColor="text1"/>
        </w:rPr>
      </w:pPr>
      <w:r>
        <w:rPr>
          <w:rFonts w:ascii="Palatino Linotype" w:hAnsi="Palatino Linotype" w:cstheme="minorHAnsi"/>
          <w:color w:val="000000" w:themeColor="text1"/>
        </w:rPr>
        <w:t xml:space="preserve">Por tanto, se considera que no se debió analizar la solicitud de información interpretándola a partir de un criterio restrictivo; y considerando la temporalidad señalada, ya que si se solicita información de </w:t>
      </w:r>
      <w:proofErr w:type="gramStart"/>
      <w:r>
        <w:rPr>
          <w:rFonts w:ascii="Palatino Linotype" w:hAnsi="Palatino Linotype" w:cstheme="minorHAnsi"/>
          <w:color w:val="000000" w:themeColor="text1"/>
        </w:rPr>
        <w:t>2016,  los</w:t>
      </w:r>
      <w:proofErr w:type="gramEnd"/>
      <w:r>
        <w:rPr>
          <w:rFonts w:ascii="Palatino Linotype" w:hAnsi="Palatino Linotype" w:cstheme="minorHAnsi"/>
          <w:color w:val="000000" w:themeColor="text1"/>
        </w:rPr>
        <w:t xml:space="preserve"> procedimientos solicitados ya podrían estar concluidos, por lo que  lo procedente es atender lo que tratan de decir los solicitantes y no a la literalidad, ya que –se insiste– estos no tienen obligación de ser expertos o conocer a cabalidad los </w:t>
      </w:r>
      <w:r w:rsidR="00D6282D">
        <w:rPr>
          <w:rFonts w:ascii="Palatino Linotype" w:hAnsi="Palatino Linotype" w:cstheme="minorHAnsi"/>
          <w:color w:val="000000" w:themeColor="text1"/>
        </w:rPr>
        <w:t>términos jurídicos</w:t>
      </w:r>
      <w:r>
        <w:rPr>
          <w:rFonts w:ascii="Palatino Linotype" w:hAnsi="Palatino Linotype" w:cstheme="minorHAnsi"/>
          <w:color w:val="000000" w:themeColor="text1"/>
        </w:rPr>
        <w:t>. Esto incumple el mandato del artículo 6, apartado A, fracción I, de la Constitución que establece que en la interpretación del derecho a la información deberá prevalecer el principio de máxima publicidad; así como lo referido en el artículo 21, de la Ley de Transparencia y Acceso a la Información Pública del Estado de México y Municipios, que estipula que “</w:t>
      </w:r>
      <w:r>
        <w:rPr>
          <w:rFonts w:ascii="Palatino Linotype" w:hAnsi="Palatino Linotype" w:cstheme="minorHAnsi"/>
          <w:i/>
          <w:color w:val="000000" w:themeColor="text1"/>
        </w:rPr>
        <w:t>todo procedimiento en materia de derecho de acceso a la información deberá sustanciarse de manera sencilla y expedita, propiciando las condiciones necesarias para que sea accesible a cualquier persona”. (Sic)</w:t>
      </w:r>
    </w:p>
    <w:p w14:paraId="0A24A379"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0446CA1B" w14:textId="7BD7D13D"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Postura que se apoya incluso en criterios de la Suprema Corte de Justicia de la Nación y es acorde con el </w:t>
      </w:r>
      <w:r>
        <w:rPr>
          <w:rFonts w:ascii="Palatino Linotype" w:hAnsi="Palatino Linotype" w:cstheme="minorHAnsi"/>
          <w:i/>
          <w:color w:val="000000" w:themeColor="text1"/>
        </w:rPr>
        <w:t>principio pro persona</w:t>
      </w:r>
      <w:r>
        <w:rPr>
          <w:rFonts w:ascii="Palatino Linotype" w:hAnsi="Palatino Linotype" w:cstheme="minorHAnsi"/>
          <w:color w:val="000000" w:themeColor="text1"/>
        </w:rPr>
        <w:t xml:space="preserve">, previsto en el artículo 1, segundo </w:t>
      </w:r>
      <w:r>
        <w:rPr>
          <w:rFonts w:ascii="Palatino Linotype" w:hAnsi="Palatino Linotype" w:cstheme="minorHAnsi"/>
          <w:color w:val="000000" w:themeColor="text1"/>
        </w:rPr>
        <w:lastRenderedPageBreak/>
        <w:t xml:space="preserve">párrafo, de la Constitución que obliga a todas las autoridades a realizar la interpretación más favorable al titular de derechos humanos. </w:t>
      </w:r>
      <w:r>
        <w:rPr>
          <w:rFonts w:ascii="Palatino Linotype" w:hAnsi="Palatino Linotype" w:cstheme="minorHAnsi"/>
          <w:i/>
          <w:color w:val="000000" w:themeColor="text1"/>
        </w:rPr>
        <w:t xml:space="preserve">Máxime </w:t>
      </w:r>
      <w:r>
        <w:rPr>
          <w:rFonts w:ascii="Palatino Linotype" w:hAnsi="Palatino Linotype" w:cstheme="minorHAnsi"/>
          <w:color w:val="000000" w:themeColor="text1"/>
        </w:rPr>
        <w:t>que, en este caso, el solicitante aportó elementos suficientes para que fuera atendida su petición de información, no a partir del concepto restringido de “</w:t>
      </w:r>
      <w:r w:rsidRPr="00353A15">
        <w:rPr>
          <w:rFonts w:ascii="Palatino Linotype" w:eastAsia="Palatino Linotype" w:hAnsi="Palatino Linotype" w:cs="Palatino Linotype"/>
          <w:i/>
          <w:color w:val="000000"/>
        </w:rPr>
        <w:t>presuntas faltas administrativas</w:t>
      </w:r>
      <w:r w:rsidRPr="00353A15">
        <w:rPr>
          <w:rFonts w:ascii="Palatino Linotype" w:hAnsi="Palatino Linotype" w:cstheme="minorHAnsi"/>
          <w:i/>
          <w:color w:val="000000" w:themeColor="text1"/>
        </w:rPr>
        <w:t>”</w:t>
      </w:r>
      <w:r>
        <w:rPr>
          <w:rFonts w:ascii="Palatino Linotype" w:hAnsi="Palatino Linotype" w:cstheme="minorHAnsi"/>
          <w:color w:val="000000" w:themeColor="text1"/>
        </w:rPr>
        <w:t xml:space="preserve"> como una etapa del procedimiento administrativo sancionador.</w:t>
      </w:r>
    </w:p>
    <w:p w14:paraId="2182FD22"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4C0DD089" w14:textId="77777777" w:rsidR="00C255B0" w:rsidRDefault="00C255B0" w:rsidP="00C255B0">
      <w:pPr>
        <w:spacing w:line="360" w:lineRule="auto"/>
        <w:ind w:right="51"/>
        <w:jc w:val="both"/>
        <w:rPr>
          <w:rFonts w:ascii="Palatino Linotype" w:eastAsia="Arial Unicode MS" w:hAnsi="Palatino Linotype" w:cs="Arial"/>
          <w:lang w:val="es-MX"/>
        </w:rPr>
      </w:pPr>
      <w:r>
        <w:rPr>
          <w:rFonts w:ascii="Palatino Linotype" w:eastAsia="Arial Unicode MS" w:hAnsi="Palatino Linotype" w:cs="Arial"/>
        </w:rPr>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14:paraId="4905F461" w14:textId="77777777" w:rsidR="00C255B0" w:rsidRDefault="00C255B0" w:rsidP="00C255B0">
      <w:pPr>
        <w:spacing w:line="360" w:lineRule="auto"/>
        <w:ind w:left="567" w:right="567"/>
        <w:jc w:val="both"/>
        <w:rPr>
          <w:rFonts w:ascii="Palatino Linotype" w:eastAsia="Arial Unicode MS" w:hAnsi="Palatino Linotype" w:cs="Arial"/>
        </w:rPr>
      </w:pPr>
    </w:p>
    <w:p w14:paraId="047D1A90" w14:textId="77777777" w:rsidR="00C255B0" w:rsidRDefault="00C255B0" w:rsidP="00C255B0">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lang w:val="es-419"/>
        </w:rPr>
        <w:t>“</w:t>
      </w:r>
      <w:r>
        <w:rPr>
          <w:rFonts w:ascii="Palatino Linotype" w:eastAsia="Palatino Linotype" w:hAnsi="Palatino Linotype" w:cs="Palatino Linotype"/>
          <w:i/>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4E70BA50"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5A86B26"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Artículo 3. Para los efectos de la presente Ley, se entenderá por:</w:t>
      </w:r>
    </w:p>
    <w:p w14:paraId="392373B6" w14:textId="77777777" w:rsidR="00C255B0" w:rsidRDefault="00C255B0" w:rsidP="00C255B0">
      <w:pPr>
        <w:ind w:left="567" w:right="567"/>
        <w:jc w:val="both"/>
        <w:rPr>
          <w:rFonts w:ascii="Palatino Linotype" w:eastAsia="Palatino Linotype" w:hAnsi="Palatino Linotype" w:cs="Palatino Linotype"/>
          <w:i/>
        </w:rPr>
      </w:pPr>
    </w:p>
    <w:p w14:paraId="201ADDF8"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investigadora: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41C22632" w14:textId="77777777" w:rsidR="00C255B0" w:rsidRDefault="00C255B0" w:rsidP="00C255B0">
      <w:pPr>
        <w:ind w:left="567" w:right="567"/>
        <w:jc w:val="both"/>
        <w:rPr>
          <w:rFonts w:ascii="Palatino Linotype" w:eastAsia="Palatino Linotype" w:hAnsi="Palatino Linotype" w:cs="Palatino Linotype"/>
          <w:i/>
        </w:rPr>
      </w:pPr>
    </w:p>
    <w:p w14:paraId="5040215B"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Autoridad substanciadora: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474C8E0E" w14:textId="77777777" w:rsidR="00C255B0" w:rsidRDefault="00C255B0" w:rsidP="00C255B0">
      <w:pPr>
        <w:ind w:left="567" w:right="567"/>
        <w:jc w:val="both"/>
        <w:rPr>
          <w:rFonts w:ascii="Palatino Linotype" w:eastAsia="Palatino Linotype" w:hAnsi="Palatino Linotype" w:cs="Palatino Linotype"/>
          <w:i/>
        </w:rPr>
      </w:pPr>
    </w:p>
    <w:p w14:paraId="5EF27B70"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función de la autoridad substanciadora, en ningún caso podrá ser ejercida por una autoridad investigadora.</w:t>
      </w:r>
    </w:p>
    <w:p w14:paraId="1776550D" w14:textId="77777777" w:rsidR="00C255B0" w:rsidRDefault="00C255B0" w:rsidP="00C255B0">
      <w:pPr>
        <w:ind w:left="567" w:right="567"/>
        <w:jc w:val="both"/>
        <w:rPr>
          <w:rFonts w:ascii="Palatino Linotype" w:eastAsia="Palatino Linotype" w:hAnsi="Palatino Linotype" w:cs="Palatino Linotype"/>
          <w:i/>
        </w:rPr>
      </w:pPr>
    </w:p>
    <w:p w14:paraId="31A993A3"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resolutora:</w:t>
      </w:r>
      <w:r>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5191ABBB" w14:textId="77777777" w:rsidR="00C255B0" w:rsidRDefault="00C255B0" w:rsidP="00C255B0">
      <w:pPr>
        <w:ind w:left="567" w:right="567"/>
        <w:jc w:val="both"/>
        <w:rPr>
          <w:rFonts w:ascii="Palatino Linotype" w:eastAsia="Palatino Linotype" w:hAnsi="Palatino Linotype" w:cs="Palatino Linotype"/>
          <w:i/>
        </w:rPr>
      </w:pPr>
    </w:p>
    <w:p w14:paraId="5C7604C4" w14:textId="77777777" w:rsidR="00C255B0" w:rsidRDefault="00C255B0" w:rsidP="00C255B0">
      <w:pPr>
        <w:ind w:left="567" w:right="567"/>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i/>
        </w:rPr>
        <w:t>En el supuesto de faltas administrativas graves, así como para las faltas de particulares lo será el Tribunal.</w:t>
      </w:r>
      <w:r>
        <w:rPr>
          <w:rFonts w:ascii="Palatino Linotype" w:eastAsia="Palatino Linotype" w:hAnsi="Palatino Linotype" w:cs="Palatino Linotype"/>
          <w:i/>
          <w:lang w:val="es-419"/>
        </w:rPr>
        <w:t>”</w:t>
      </w:r>
    </w:p>
    <w:p w14:paraId="36A1B942" w14:textId="77777777" w:rsidR="00C255B0" w:rsidRDefault="00C255B0" w:rsidP="00C255B0">
      <w:pPr>
        <w:spacing w:line="360" w:lineRule="auto"/>
        <w:ind w:right="51"/>
        <w:jc w:val="both"/>
        <w:rPr>
          <w:rFonts w:ascii="Palatino Linotype" w:eastAsia="Arial Unicode MS" w:hAnsi="Palatino Linotype" w:cs="Arial"/>
          <w:lang w:val="es-MX"/>
        </w:rPr>
      </w:pPr>
    </w:p>
    <w:p w14:paraId="754CDB96" w14:textId="77777777" w:rsidR="00C255B0" w:rsidRDefault="00C255B0" w:rsidP="00C255B0">
      <w:pPr>
        <w:spacing w:line="360" w:lineRule="auto"/>
        <w:ind w:right="51"/>
        <w:jc w:val="both"/>
        <w:rPr>
          <w:rFonts w:ascii="Palatino Linotype" w:eastAsia="Arial Unicode MS" w:hAnsi="Palatino Linotype" w:cs="Arial"/>
        </w:rPr>
      </w:pPr>
      <w:r>
        <w:rPr>
          <w:rFonts w:ascii="Palatino Linotype" w:eastAsia="Arial Unicode MS" w:hAnsi="Palatino Linotype" w:cs="Arial"/>
        </w:rPr>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3935D173"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4E2703C0"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para la entrega de la información solicitada, se debieron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Pr>
          <w:rFonts w:ascii="Palatino Linotype" w:eastAsia="Palatino Linotype" w:hAnsi="Palatino Linotype" w:cs="Palatino Linotype"/>
          <w:color w:val="000000"/>
          <w:lang w:val="es-419"/>
        </w:rPr>
        <w:t xml:space="preserve">información </w:t>
      </w:r>
      <w:r>
        <w:rPr>
          <w:rFonts w:ascii="Palatino Linotype" w:eastAsia="Palatino Linotype" w:hAnsi="Palatino Linotype" w:cs="Palatino Linotype"/>
          <w:color w:val="000000"/>
        </w:rPr>
        <w:t xml:space="preserve">se encuentran en trámite o </w:t>
      </w:r>
      <w:r>
        <w:rPr>
          <w:rFonts w:ascii="Palatino Linotype" w:eastAsia="Palatino Linotype" w:hAnsi="Palatino Linotype" w:cs="Palatino Linotype"/>
          <w:color w:val="000000"/>
        </w:rPr>
        <w:lastRenderedPageBreak/>
        <w:t>concluidos, es decir que ya causaron estado, son públicos o reservados, por lo que, se procede a revisar cada supuesto.</w:t>
      </w:r>
    </w:p>
    <w:p w14:paraId="1135682E" w14:textId="77777777" w:rsidR="00D6282D" w:rsidRDefault="00D6282D" w:rsidP="00D6282D">
      <w:pPr>
        <w:spacing w:line="360" w:lineRule="auto"/>
        <w:jc w:val="both"/>
        <w:rPr>
          <w:rFonts w:ascii="Palatino Linotype" w:eastAsia="Palatino Linotype" w:hAnsi="Palatino Linotype" w:cs="Palatino Linotype"/>
          <w:color w:val="000000"/>
        </w:rPr>
      </w:pPr>
    </w:p>
    <w:p w14:paraId="3841D238" w14:textId="53B77903" w:rsidR="00D6282D" w:rsidRDefault="00D6282D" w:rsidP="00D6282D">
      <w:pPr>
        <w:spacing w:line="360" w:lineRule="auto"/>
        <w:jc w:val="both"/>
        <w:rPr>
          <w:rFonts w:ascii="Palatino Linotype" w:hAnsi="Palatino Linotype" w:cs="Arial"/>
        </w:rPr>
      </w:pPr>
      <w:r>
        <w:rPr>
          <w:rFonts w:ascii="Palatino Linotype" w:eastAsia="Palatino Linotype" w:hAnsi="Palatino Linotype" w:cs="Palatino Linotype"/>
          <w:color w:val="000000"/>
        </w:rPr>
        <w:t xml:space="preserve">Asimismo, se debió analizar la entrega de la información en caso de tratarse  de responsabilidades administrativas graves, administración que también posee y administra el Sujeto Obligado, y que se establecen </w:t>
      </w:r>
      <w:r>
        <w:rPr>
          <w:rFonts w:ascii="Palatino Linotype" w:hAnsi="Palatino Linotype" w:cs="Arial"/>
        </w:rPr>
        <w:t>de conformidad con lo establecido por el artículo 52 de la Ley de Responsabilidades Administrativas del Estado de México y Municipios siendo las siguientes: 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502A84E3"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0A38CA71" w14:textId="77777777" w:rsidR="00D6282D" w:rsidRDefault="00D6282D" w:rsidP="00D6282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3FBAF996"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3F00989E" w14:textId="77777777" w:rsidR="00D6282D" w:rsidRDefault="00D6282D" w:rsidP="00D6282D">
      <w:pPr>
        <w:spacing w:line="360" w:lineRule="auto"/>
        <w:jc w:val="both"/>
        <w:rPr>
          <w:rFonts w:ascii="Palatino Linotype" w:eastAsia="Palatino Linotype" w:hAnsi="Palatino Linotype" w:cs="Palatino Linotype"/>
          <w:color w:val="000000"/>
        </w:rPr>
      </w:pPr>
    </w:p>
    <w:p w14:paraId="14EBBE91"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Conforme a lo anterior, se logra vislumbrar que las responsabilidades graves, causan un perjuicio de manera externa, esto es, a terceras personas o bien, a la hacienda o erario público; por lo que, se podría considerar que existe una trascendencia social, </w:t>
      </w:r>
      <w:r>
        <w:rPr>
          <w:rFonts w:ascii="Palatino Linotype" w:eastAsia="Palatino Linotype" w:hAnsi="Palatino Linotype" w:cs="Palatino Linotype"/>
          <w:color w:val="000000"/>
        </w:rPr>
        <w:lastRenderedPageBreak/>
        <w:t>para dar a conocer dicha información, además que se relacionan dichas conductas con actos de corrupción, conforme a la normatividad citada en el párrafo previo.</w:t>
      </w:r>
    </w:p>
    <w:p w14:paraId="2AC4129A"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3F0A588A"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Lo </w:t>
      </w:r>
      <w:proofErr w:type="gramStart"/>
      <w:r>
        <w:rPr>
          <w:rFonts w:ascii="Palatino Linotype" w:hAnsi="Palatino Linotype" w:cstheme="minorHAnsi"/>
          <w:color w:val="000000" w:themeColor="text1"/>
        </w:rPr>
        <w:t>anterior,  aunado</w:t>
      </w:r>
      <w:proofErr w:type="gramEnd"/>
      <w:r>
        <w:rPr>
          <w:rFonts w:ascii="Palatino Linotype" w:hAnsi="Palatino Linotype" w:cstheme="minorHAnsi"/>
          <w:color w:val="000000" w:themeColor="text1"/>
        </w:rPr>
        <w:t xml:space="preserve"> a la importancia de transparentar temas de rendición de cuentas como acontece en la especie, toda vez que las decisiones que se tomen por parte del gobierno forzosamente deben estar al alcance de los ciudadanos de una manera accesible, clara y veraz, lo que coadyuva y favorece a la constante vigilancia de los recursos públicos y que estos se ejerzan en estricto apego a la ley.</w:t>
      </w:r>
    </w:p>
    <w:p w14:paraId="0AF381A0"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3AC08249" w14:textId="77777777" w:rsidR="00353A15" w:rsidRDefault="00353A15" w:rsidP="00353A15">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Así, en la medida en la que un municipio sea transparente y rinda cuentas sobre el ejercicio del gasto público, entonces generará mayor confianza entre los ciudadanos, generando un incentivo para el pago de impuestos, </w:t>
      </w:r>
      <w:proofErr w:type="gramStart"/>
      <w:r>
        <w:rPr>
          <w:rFonts w:ascii="Palatino Linotype" w:hAnsi="Palatino Linotype" w:cstheme="minorHAnsi"/>
          <w:color w:val="000000" w:themeColor="text1"/>
        </w:rPr>
        <w:t>ya que</w:t>
      </w:r>
      <w:proofErr w:type="gramEnd"/>
      <w:r>
        <w:rPr>
          <w:rFonts w:ascii="Palatino Linotype" w:hAnsi="Palatino Linotype" w:cstheme="minorHAnsi"/>
          <w:color w:val="000000" w:themeColor="text1"/>
        </w:rPr>
        <w:t xml:space="preserve"> a mayor vigilancia y propuesta ciudadana, los gobiernos están sujetos a tener un gasto eficiente con menos posibilidades de corrupción, por lo que la fiscalización de los recursos que integran la hacienda pública de los municipios es primordial.</w:t>
      </w:r>
    </w:p>
    <w:p w14:paraId="0652F5FA" w14:textId="77777777" w:rsidR="00353A15" w:rsidRDefault="00353A15" w:rsidP="00353A15">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p>
    <w:p w14:paraId="2A4B9C4F" w14:textId="77777777" w:rsidR="00353A15" w:rsidRDefault="00353A15" w:rsidP="00353A15">
      <w:pPr>
        <w:spacing w:line="360" w:lineRule="auto"/>
        <w:jc w:val="both"/>
        <w:rPr>
          <w:rFonts w:ascii="Palatino Linotype" w:hAnsi="Palatino Linotype" w:cstheme="minorHAnsi"/>
          <w:b/>
          <w:color w:val="000000" w:themeColor="text1"/>
          <w:lang w:val="es-MX"/>
        </w:rPr>
      </w:pPr>
      <w:r>
        <w:rPr>
          <w:rFonts w:ascii="Palatino Linotype" w:hAnsi="Palatino Linotype" w:cstheme="minorHAnsi"/>
          <w:b/>
          <w:color w:val="000000" w:themeColor="text1"/>
        </w:rPr>
        <w:t>CONCLUSION:</w:t>
      </w:r>
    </w:p>
    <w:p w14:paraId="31B84F80" w14:textId="77777777" w:rsidR="00353A15" w:rsidRDefault="00353A15" w:rsidP="00353A15">
      <w:pPr>
        <w:spacing w:line="360" w:lineRule="auto"/>
        <w:jc w:val="both"/>
        <w:rPr>
          <w:rFonts w:ascii="Palatino Linotype" w:hAnsi="Palatino Linotype" w:cstheme="minorHAnsi"/>
          <w:b/>
          <w:color w:val="000000" w:themeColor="text1"/>
        </w:rPr>
      </w:pPr>
    </w:p>
    <w:p w14:paraId="06CEC250" w14:textId="77777777"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No se debió analizar la solicitud de información interpretándola a partir de un criterio restrictivo, ya que  lo solicitado corresponde a información de carácter de interés público al versar sobre rendición de cuentas, que constituye una herramienta para fortalecer la democracia y credibilidad de los ciudadanos en sus autoridades, siempre y cuando éstas informen de manera clara sobre sus decisiones y justifiquen </w:t>
      </w:r>
      <w:r>
        <w:rPr>
          <w:rFonts w:ascii="Palatino Linotype" w:hAnsi="Palatino Linotype" w:cstheme="minorHAnsi"/>
          <w:color w:val="000000" w:themeColor="text1"/>
        </w:rPr>
        <w:lastRenderedPageBreak/>
        <w:t>las acciones emprendidas, con el acompañamiento de mecanismos de control y sanción para quienes no se conduzcan de acuerdo a la Ley.</w:t>
      </w:r>
    </w:p>
    <w:p w14:paraId="45011E40" w14:textId="77777777" w:rsidR="00353A15" w:rsidRDefault="00353A15" w:rsidP="00353A15">
      <w:pPr>
        <w:spacing w:line="360" w:lineRule="auto"/>
        <w:jc w:val="both"/>
        <w:rPr>
          <w:rFonts w:ascii="Palatino Linotype" w:hAnsi="Palatino Linotype" w:cstheme="minorHAnsi"/>
          <w:color w:val="000000" w:themeColor="text1"/>
        </w:rPr>
      </w:pPr>
    </w:p>
    <w:p w14:paraId="56F25703" w14:textId="77777777"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La transparencia, la rendición de cuentas, el orden, el control y el combate a la corrupción, son principios de actuación cotidiana con sustento legal en su aplicación, los cuales se instituyen en prácticas de gobierno que gozan de amplio reconocimiento. </w:t>
      </w:r>
    </w:p>
    <w:p w14:paraId="2A00FF29" w14:textId="77777777" w:rsidR="00353A15" w:rsidRDefault="00353A15" w:rsidP="00353A15">
      <w:pPr>
        <w:spacing w:line="360" w:lineRule="auto"/>
        <w:jc w:val="both"/>
        <w:rPr>
          <w:rFonts w:ascii="Palatino Linotype" w:hAnsi="Palatino Linotype" w:cstheme="minorHAnsi"/>
          <w:color w:val="000000" w:themeColor="text1"/>
        </w:rPr>
      </w:pPr>
    </w:p>
    <w:p w14:paraId="750FDB77" w14:textId="75A11A6E" w:rsidR="00D96441" w:rsidRDefault="00353A15" w:rsidP="00353A15">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r>
        <w:rPr>
          <w:rFonts w:ascii="Palatino Linotype" w:hAnsi="Palatino Linotype" w:cstheme="minorHAnsi"/>
          <w:color w:val="000000" w:themeColor="text1"/>
        </w:rPr>
        <w:t>La adopción de estos principios por quienes conforman la administración debe estar respaldada por el reconocimiento de la situación actual que guarda la entidad; sólo a partir de ello será posible identificar las causas y las alternativas de acción para la consolidación de la tarea mencionada. Atento a lo anterior, se expone razones suficientes para la emisión y presentación del presente Voto.</w:t>
      </w:r>
    </w:p>
    <w:p w14:paraId="516E46BA" w14:textId="77777777" w:rsidR="00864A74" w:rsidRDefault="00864A74" w:rsidP="00D96441">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p>
    <w:p w14:paraId="0E9C2C35" w14:textId="77777777" w:rsidR="00864A74" w:rsidRDefault="00864A74" w:rsidP="00D96441">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p>
    <w:p w14:paraId="1858B08B" w14:textId="77777777" w:rsidR="00864A74" w:rsidRDefault="00864A74" w:rsidP="00D96441">
      <w:pPr>
        <w:autoSpaceDE w:val="0"/>
        <w:autoSpaceDN w:val="0"/>
        <w:adjustRightInd w:val="0"/>
        <w:spacing w:line="360" w:lineRule="auto"/>
        <w:ind w:right="49"/>
        <w:jc w:val="both"/>
        <w:rPr>
          <w:rFonts w:ascii="Palatino Linotype" w:hAnsi="Palatino Linotype" w:cs="Arial"/>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358E" w14:textId="77777777" w:rsidR="00B71890" w:rsidRDefault="00B71890" w:rsidP="00C80F8C">
      <w:r>
        <w:separator/>
      </w:r>
    </w:p>
  </w:endnote>
  <w:endnote w:type="continuationSeparator" w:id="0">
    <w:p w14:paraId="3FF344E4" w14:textId="77777777" w:rsidR="00B71890" w:rsidRDefault="00B718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5736" w14:textId="77777777" w:rsidR="00B71890" w:rsidRDefault="00B71890" w:rsidP="00C80F8C">
      <w:r>
        <w:separator/>
      </w:r>
    </w:p>
  </w:footnote>
  <w:footnote w:type="continuationSeparator" w:id="0">
    <w:p w14:paraId="4BFB34F9" w14:textId="77777777" w:rsidR="00B71890" w:rsidRDefault="00B7189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4DC1E042" w:rsidR="00F47FB5" w:rsidRPr="00754FF0" w:rsidRDefault="00754FF0" w:rsidP="00F47FB5">
    <w:pPr>
      <w:pStyle w:val="Encabezado"/>
      <w:tabs>
        <w:tab w:val="clear" w:pos="4252"/>
        <w:tab w:val="clear" w:pos="8504"/>
        <w:tab w:val="left" w:pos="2326"/>
      </w:tabs>
      <w:ind w:left="2835"/>
      <w:rPr>
        <w:rFonts w:ascii="Palatino Linotype" w:hAnsi="Palatino Linotype"/>
      </w:rPr>
    </w:pPr>
    <w:r w:rsidRPr="00754FF0">
      <w:rPr>
        <w:rFonts w:ascii="Palatino Linotype" w:hAnsi="Palatino Linotype"/>
        <w:noProof/>
        <w:lang w:val="es-MX" w:eastAsia="es-MX"/>
      </w:rPr>
      <w:drawing>
        <wp:anchor distT="0" distB="0" distL="114300" distR="114300" simplePos="0" relativeHeight="251658240" behindDoc="1" locked="0" layoutInCell="1" allowOverlap="1" wp14:anchorId="46D381A4" wp14:editId="44499B88">
          <wp:simplePos x="0" y="0"/>
          <wp:positionH relativeFrom="column">
            <wp:posOffset>-1327785</wp:posOffset>
          </wp:positionH>
          <wp:positionV relativeFrom="paragraph">
            <wp:posOffset>-354330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sidRPr="00754FF0">
      <w:rPr>
        <w:rFonts w:ascii="Palatino Linotype" w:hAnsi="Palatino Linotype" w:cs="Tahoma"/>
        <w:b/>
      </w:rPr>
      <w:t>Voto Particular</w:t>
    </w:r>
  </w:p>
  <w:p w14:paraId="05A244CE" w14:textId="511F1DFC" w:rsidR="00754FF0" w:rsidRPr="00754FF0" w:rsidRDefault="00F47FB5" w:rsidP="00F47FB5">
    <w:pPr>
      <w:pStyle w:val="Encabezado"/>
      <w:ind w:left="2835" w:right="-250"/>
      <w:rPr>
        <w:rFonts w:ascii="Palatino Linotype" w:hAnsi="Palatino Linotype" w:cs="Tahoma"/>
        <w:b/>
      </w:rPr>
    </w:pPr>
    <w:r w:rsidRPr="00754FF0">
      <w:rPr>
        <w:rFonts w:ascii="Palatino Linotype" w:hAnsi="Palatino Linotype" w:cs="Tahoma"/>
        <w:b/>
      </w:rPr>
      <w:t xml:space="preserve">Recurso de Revisión: </w:t>
    </w:r>
    <w:r w:rsidR="00864A74">
      <w:rPr>
        <w:rFonts w:ascii="Palatino Linotype" w:eastAsia="Palatino Linotype" w:hAnsi="Palatino Linotype" w:cs="Palatino Linotype"/>
        <w:b/>
      </w:rPr>
      <w:t>01354/INFOEM/IP/RR/2023</w:t>
    </w:r>
  </w:p>
  <w:p w14:paraId="71104997" w14:textId="5353F862" w:rsidR="00634485" w:rsidRDefault="00F47FB5" w:rsidP="00864A74">
    <w:pPr>
      <w:pStyle w:val="Encabezado"/>
      <w:ind w:left="2835" w:right="-250"/>
    </w:pPr>
    <w:r w:rsidRPr="00754FF0">
      <w:rPr>
        <w:rFonts w:ascii="Palatino Linotype" w:hAnsi="Palatino Linotype" w:cs="Tahoma"/>
        <w:b/>
      </w:rPr>
      <w:t>Sujeto Obligado:</w:t>
    </w:r>
    <w:r w:rsidRPr="00754FF0">
      <w:rPr>
        <w:rFonts w:ascii="Palatino Linotype" w:eastAsia="Palatino Linotype" w:hAnsi="Palatino Linotype" w:cs="Palatino Linotype"/>
        <w:b/>
      </w:rPr>
      <w:t xml:space="preserve"> </w:t>
    </w:r>
    <w:r w:rsidR="00864A74">
      <w:rPr>
        <w:rFonts w:ascii="Palatino Linotype" w:eastAsia="Palatino Linotype" w:hAnsi="Palatino Linotype" w:cs="Palatino Linotype"/>
        <w:b/>
      </w:rPr>
      <w:t>Ayuntamiento de Nicolás Romero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EC35CB"/>
    <w:multiLevelType w:val="hybridMultilevel"/>
    <w:tmpl w:val="DC1A8F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EA4F9B"/>
    <w:multiLevelType w:val="multilevel"/>
    <w:tmpl w:val="5F1E8898"/>
    <w:lvl w:ilvl="0">
      <w:start w:val="1"/>
      <w:numFmt w:val="decimal"/>
      <w:pStyle w:val="Listaconvietas3"/>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3"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6"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2133048">
    <w:abstractNumId w:val="1"/>
  </w:num>
  <w:num w:numId="2" w16cid:durableId="1068722824">
    <w:abstractNumId w:val="33"/>
  </w:num>
  <w:num w:numId="3" w16cid:durableId="2085224502">
    <w:abstractNumId w:val="8"/>
  </w:num>
  <w:num w:numId="4" w16cid:durableId="1339042246">
    <w:abstractNumId w:val="12"/>
  </w:num>
  <w:num w:numId="5" w16cid:durableId="756482076">
    <w:abstractNumId w:val="26"/>
  </w:num>
  <w:num w:numId="6" w16cid:durableId="290521322">
    <w:abstractNumId w:val="24"/>
  </w:num>
  <w:num w:numId="7" w16cid:durableId="51080556">
    <w:abstractNumId w:val="20"/>
  </w:num>
  <w:num w:numId="8" w16cid:durableId="1977368811">
    <w:abstractNumId w:val="29"/>
  </w:num>
  <w:num w:numId="9" w16cid:durableId="1763911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7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894483">
    <w:abstractNumId w:val="9"/>
  </w:num>
  <w:num w:numId="12" w16cid:durableId="25063215">
    <w:abstractNumId w:val="30"/>
  </w:num>
  <w:num w:numId="13" w16cid:durableId="1221208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742946">
    <w:abstractNumId w:val="23"/>
  </w:num>
  <w:num w:numId="15" w16cid:durableId="1646159497">
    <w:abstractNumId w:val="16"/>
  </w:num>
  <w:num w:numId="16" w16cid:durableId="18655118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01897">
    <w:abstractNumId w:val="25"/>
  </w:num>
  <w:num w:numId="18" w16cid:durableId="53916947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04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1795164">
    <w:abstractNumId w:val="18"/>
  </w:num>
  <w:num w:numId="21" w16cid:durableId="1662270049">
    <w:abstractNumId w:val="17"/>
  </w:num>
  <w:num w:numId="22" w16cid:durableId="1056972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828989">
    <w:abstractNumId w:val="7"/>
  </w:num>
  <w:num w:numId="24" w16cid:durableId="1894661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5288907">
    <w:abstractNumId w:val="3"/>
  </w:num>
  <w:num w:numId="26" w16cid:durableId="1209414076">
    <w:abstractNumId w:val="31"/>
  </w:num>
  <w:num w:numId="27" w16cid:durableId="18003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717929">
    <w:abstractNumId w:val="21"/>
  </w:num>
  <w:num w:numId="29" w16cid:durableId="1813129765">
    <w:abstractNumId w:val="25"/>
  </w:num>
  <w:num w:numId="30" w16cid:durableId="1830947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973411">
    <w:abstractNumId w:val="14"/>
  </w:num>
  <w:num w:numId="32" w16cid:durableId="1033724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182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406098">
    <w:abstractNumId w:val="14"/>
  </w:num>
  <w:num w:numId="35" w16cid:durableId="982854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4681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477D4"/>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53A15"/>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C59B8"/>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54FF0"/>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25202"/>
    <w:rsid w:val="0083108D"/>
    <w:rsid w:val="00857913"/>
    <w:rsid w:val="00861117"/>
    <w:rsid w:val="00861A61"/>
    <w:rsid w:val="00864A74"/>
    <w:rsid w:val="00892AFC"/>
    <w:rsid w:val="008B0A68"/>
    <w:rsid w:val="008C19BE"/>
    <w:rsid w:val="008C2C2F"/>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1890"/>
    <w:rsid w:val="00B7360E"/>
    <w:rsid w:val="00B868A5"/>
    <w:rsid w:val="00BB071F"/>
    <w:rsid w:val="00BB11DB"/>
    <w:rsid w:val="00BB2AD1"/>
    <w:rsid w:val="00BC1756"/>
    <w:rsid w:val="00BD07E6"/>
    <w:rsid w:val="00BD7483"/>
    <w:rsid w:val="00BF358F"/>
    <w:rsid w:val="00BF68F0"/>
    <w:rsid w:val="00BF6974"/>
    <w:rsid w:val="00BF6E14"/>
    <w:rsid w:val="00C156E5"/>
    <w:rsid w:val="00C17E9C"/>
    <w:rsid w:val="00C255B0"/>
    <w:rsid w:val="00C27236"/>
    <w:rsid w:val="00C65950"/>
    <w:rsid w:val="00C75CBC"/>
    <w:rsid w:val="00C80F8C"/>
    <w:rsid w:val="00C85F1D"/>
    <w:rsid w:val="00C8760D"/>
    <w:rsid w:val="00CE0FA6"/>
    <w:rsid w:val="00CF3F65"/>
    <w:rsid w:val="00D03369"/>
    <w:rsid w:val="00D20156"/>
    <w:rsid w:val="00D36ABC"/>
    <w:rsid w:val="00D6282D"/>
    <w:rsid w:val="00D96441"/>
    <w:rsid w:val="00DC2CB7"/>
    <w:rsid w:val="00DC3082"/>
    <w:rsid w:val="00DD45AC"/>
    <w:rsid w:val="00DD5CD5"/>
    <w:rsid w:val="00DE1629"/>
    <w:rsid w:val="00DE5C27"/>
    <w:rsid w:val="00E37AE3"/>
    <w:rsid w:val="00E429BA"/>
    <w:rsid w:val="00E73E67"/>
    <w:rsid w:val="00EF3513"/>
    <w:rsid w:val="00F05A30"/>
    <w:rsid w:val="00F47FB5"/>
    <w:rsid w:val="00F503FF"/>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semiHidden/>
    <w:unhideWhenUsed/>
    <w:rsid w:val="00864A74"/>
    <w:pPr>
      <w:numPr>
        <w:numId w:val="36"/>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8793165">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1285269">
      <w:bodyDiv w:val="1"/>
      <w:marLeft w:val="0"/>
      <w:marRight w:val="0"/>
      <w:marTop w:val="0"/>
      <w:marBottom w:val="0"/>
      <w:divBdr>
        <w:top w:val="none" w:sz="0" w:space="0" w:color="auto"/>
        <w:left w:val="none" w:sz="0" w:space="0" w:color="auto"/>
        <w:bottom w:val="none" w:sz="0" w:space="0" w:color="auto"/>
        <w:right w:val="none" w:sz="0" w:space="0" w:color="auto"/>
      </w:divBdr>
    </w:div>
    <w:div w:id="19720612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2174327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720178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82619514">
      <w:bodyDiv w:val="1"/>
      <w:marLeft w:val="0"/>
      <w:marRight w:val="0"/>
      <w:marTop w:val="0"/>
      <w:marBottom w:val="0"/>
      <w:divBdr>
        <w:top w:val="none" w:sz="0" w:space="0" w:color="auto"/>
        <w:left w:val="none" w:sz="0" w:space="0" w:color="auto"/>
        <w:bottom w:val="none" w:sz="0" w:space="0" w:color="auto"/>
        <w:right w:val="none" w:sz="0" w:space="0" w:color="auto"/>
      </w:divBdr>
    </w:div>
    <w:div w:id="52579590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51253222">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8596081">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69280580">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4954174">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53370405">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8536907">
      <w:bodyDiv w:val="1"/>
      <w:marLeft w:val="0"/>
      <w:marRight w:val="0"/>
      <w:marTop w:val="0"/>
      <w:marBottom w:val="0"/>
      <w:divBdr>
        <w:top w:val="none" w:sz="0" w:space="0" w:color="auto"/>
        <w:left w:val="none" w:sz="0" w:space="0" w:color="auto"/>
        <w:bottom w:val="none" w:sz="0" w:space="0" w:color="auto"/>
        <w:right w:val="none" w:sz="0" w:space="0" w:color="auto"/>
      </w:divBdr>
    </w:div>
    <w:div w:id="102559810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0272955">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6613866">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0637622">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2966410">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194358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72207973">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61286507">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687319685">
      <w:bodyDiv w:val="1"/>
      <w:marLeft w:val="0"/>
      <w:marRight w:val="0"/>
      <w:marTop w:val="0"/>
      <w:marBottom w:val="0"/>
      <w:divBdr>
        <w:top w:val="none" w:sz="0" w:space="0" w:color="auto"/>
        <w:left w:val="none" w:sz="0" w:space="0" w:color="auto"/>
        <w:bottom w:val="none" w:sz="0" w:space="0" w:color="auto"/>
        <w:right w:val="none" w:sz="0" w:space="0" w:color="auto"/>
      </w:divBdr>
    </w:div>
    <w:div w:id="1743721536">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78216290">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3265662">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E1D2-67CD-4130-BC14-CE6455F7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2152</Words>
  <Characters>11837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2023-09-19T00:15:00Z</cp:lastPrinted>
  <dcterms:created xsi:type="dcterms:W3CDTF">2023-09-18T23:34:00Z</dcterms:created>
  <dcterms:modified xsi:type="dcterms:W3CDTF">2024-02-08T23:42:00Z</dcterms:modified>
</cp:coreProperties>
</file>