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31" w:rsidRDefault="00A27DDB">
      <w:pPr>
        <w:spacing w:after="0" w:line="360" w:lineRule="auto"/>
        <w:ind w:right="139"/>
        <w:jc w:val="both"/>
        <w:rPr>
          <w:rFonts w:ascii="Palatino Linotype" w:eastAsia="Palatino Linotype" w:hAnsi="Palatino Linotype" w:cs="Palatino Linotype"/>
          <w:b/>
        </w:rPr>
      </w:pPr>
      <w:bookmarkStart w:id="0" w:name="_heading=h.30j0zll" w:colFirst="0" w:colLast="0"/>
      <w:bookmarkEnd w:id="0"/>
      <w:r>
        <w:rPr>
          <w:rFonts w:ascii="Palatino Linotype" w:eastAsia="Palatino Linotype" w:hAnsi="Palatino Linotype" w:cs="Palatino Linotype"/>
          <w:b/>
        </w:rPr>
        <w:t>VOTO PARTICULAR QUE FORMULA LA COMISIONADA GUADALUPE RAMÍREZ PEÑA, EN RELACIÓN CON LA RESOLUCIÓN DICTADA POR EL PLENO DEL INSTITUTO DE TRANSPARENCIA, ACCESO A LA INFORMACIÓN PÚBLICA Y PROTECCIÓN DE DATOS PERSONALES DEL ESTADO DE MÉXICO Y MUNICIPIOS, EN LA CUARTA SESIÓN ORDINARIA CELEBRADA EL UNO DE FEBRERO DE DOS MIL VEINTITRÉS, EN EL RECURSO DE REVISIÓN 16681/INFOEM/IP/RR/2022.</w:t>
      </w:r>
    </w:p>
    <w:p w:rsidR="00723231" w:rsidRDefault="00723231">
      <w:pPr>
        <w:spacing w:after="0" w:line="360" w:lineRule="auto"/>
        <w:ind w:right="139"/>
        <w:jc w:val="both"/>
        <w:rPr>
          <w:rFonts w:ascii="Palatino Linotype" w:eastAsia="Palatino Linotype" w:hAnsi="Palatino Linotype" w:cs="Palatino Linotype"/>
          <w:b/>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respecto a la resolución dictada en el recurso de revisión número </w:t>
      </w:r>
      <w:r>
        <w:rPr>
          <w:rFonts w:ascii="Palatino Linotype" w:eastAsia="Palatino Linotype" w:hAnsi="Palatino Linotype" w:cs="Palatino Linotype"/>
          <w:b/>
        </w:rPr>
        <w:t>16681/INFOEM/IP/RR/2022</w:t>
      </w:r>
      <w:r>
        <w:rPr>
          <w:rFonts w:ascii="Palatino Linotype" w:eastAsia="Palatino Linotype" w:hAnsi="Palatino Linotype" w:cs="Palatino Linotype"/>
        </w:rPr>
        <w:t xml:space="preserve">, pronunciada por el Pleno de este Instituto ante el proyecto presentado por el Comisionado Luis Gustavo Parra Noriega, al tenor siguiente: </w:t>
      </w:r>
    </w:p>
    <w:p w:rsidR="00723231" w:rsidRDefault="00723231">
      <w:pPr>
        <w:spacing w:after="0" w:line="360" w:lineRule="auto"/>
        <w:ind w:right="139"/>
        <w:jc w:val="both"/>
        <w:rPr>
          <w:rFonts w:ascii="Palatino Linotype" w:eastAsia="Palatino Linotype" w:hAnsi="Palatino Linotype" w:cs="Palatino Linotype"/>
          <w:b/>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b/>
        </w:rPr>
        <w:t>I. Antecedentes.</w:t>
      </w:r>
    </w:p>
    <w:p w:rsidR="00723231" w:rsidRDefault="00723231">
      <w:pPr>
        <w:spacing w:after="0" w:line="360" w:lineRule="auto"/>
        <w:ind w:right="139"/>
        <w:jc w:val="both"/>
        <w:rPr>
          <w:rFonts w:ascii="Palatino Linotype" w:eastAsia="Palatino Linotype" w:hAnsi="Palatino Linotype" w:cs="Palatino Linotype"/>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Como quedó debidamente asentado en la resolución, materia del presente voto particular, la persona solicitante requirió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conocer la siguiente información: </w:t>
      </w:r>
    </w:p>
    <w:p w:rsidR="00723231" w:rsidRDefault="00723231">
      <w:pPr>
        <w:spacing w:after="0" w:line="360" w:lineRule="auto"/>
        <w:ind w:right="139"/>
        <w:jc w:val="both"/>
        <w:rPr>
          <w:rFonts w:ascii="Palatino Linotype" w:eastAsia="Palatino Linotype" w:hAnsi="Palatino Linotype" w:cs="Palatino Linotype"/>
        </w:rPr>
      </w:pPr>
    </w:p>
    <w:p w:rsidR="00723231" w:rsidRDefault="00A27DDB" w:rsidP="00164594">
      <w:pPr>
        <w:tabs>
          <w:tab w:val="left" w:pos="567"/>
          <w:tab w:val="left" w:pos="4667"/>
          <w:tab w:val="left" w:pos="8505"/>
        </w:tabs>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¿Ante que autoridades puedo registrar las capitulaciones matrimoniales que deseo rijan en mi matrimonio civil?</w:t>
      </w:r>
    </w:p>
    <w:p w:rsidR="00723231" w:rsidRDefault="00A27DDB" w:rsidP="00164594">
      <w:pPr>
        <w:tabs>
          <w:tab w:val="left" w:pos="567"/>
          <w:tab w:val="left" w:pos="4667"/>
          <w:tab w:val="left" w:pos="8505"/>
        </w:tabs>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¿Qué </w:t>
      </w:r>
      <w:proofErr w:type="gramStart"/>
      <w:r>
        <w:rPr>
          <w:rFonts w:ascii="Palatino Linotype" w:eastAsia="Palatino Linotype" w:hAnsi="Palatino Linotype" w:cs="Palatino Linotype"/>
          <w:i/>
        </w:rPr>
        <w:t>tramites</w:t>
      </w:r>
      <w:proofErr w:type="gramEnd"/>
      <w:r>
        <w:rPr>
          <w:rFonts w:ascii="Palatino Linotype" w:eastAsia="Palatino Linotype" w:hAnsi="Palatino Linotype" w:cs="Palatino Linotype"/>
          <w:i/>
        </w:rPr>
        <w:t xml:space="preserve"> debo realizar para registrar las capitulaciones matrimoniales que deseo rijan en mi matrimonio civil?</w:t>
      </w:r>
    </w:p>
    <w:p w:rsidR="00723231" w:rsidRDefault="00A27DDB" w:rsidP="00164594">
      <w:pPr>
        <w:tabs>
          <w:tab w:val="left" w:pos="567"/>
          <w:tab w:val="left" w:pos="4667"/>
          <w:tab w:val="left" w:pos="8505"/>
        </w:tabs>
        <w:spacing w:after="0" w:line="276" w:lineRule="auto"/>
        <w:ind w:left="567" w:right="539"/>
        <w:jc w:val="both"/>
        <w:rPr>
          <w:rFonts w:ascii="Palatino Linotype" w:eastAsia="Palatino Linotype" w:hAnsi="Palatino Linotype" w:cs="Palatino Linotype"/>
        </w:rPr>
      </w:pPr>
      <w:r>
        <w:rPr>
          <w:rFonts w:ascii="Palatino Linotype" w:eastAsia="Palatino Linotype" w:hAnsi="Palatino Linotype" w:cs="Palatino Linotype"/>
          <w:i/>
        </w:rPr>
        <w:lastRenderedPageBreak/>
        <w:t xml:space="preserve">¿Cuál es el costo por el registro de las capitulaciones matrimoniales que deseo rijan en mi matrimonio civil? </w:t>
      </w:r>
    </w:p>
    <w:p w:rsidR="00723231" w:rsidRDefault="00723231">
      <w:pPr>
        <w:tabs>
          <w:tab w:val="left" w:pos="567"/>
          <w:tab w:val="left" w:pos="4667"/>
          <w:tab w:val="left" w:pos="8505"/>
        </w:tabs>
        <w:spacing w:after="0" w:line="360" w:lineRule="auto"/>
        <w:ind w:left="567" w:right="539"/>
        <w:jc w:val="both"/>
        <w:rPr>
          <w:rFonts w:ascii="Palatino Linotype" w:eastAsia="Palatino Linotype" w:hAnsi="Palatino Linotype" w:cs="Palatino Linotype"/>
        </w:rPr>
      </w:pPr>
    </w:p>
    <w:p w:rsidR="00723231" w:rsidRDefault="00A27DD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Director General del Registro Civil informó que:</w:t>
      </w:r>
    </w:p>
    <w:p w:rsidR="00723231" w:rsidRDefault="00723231">
      <w:pPr>
        <w:spacing w:after="0" w:line="360" w:lineRule="auto"/>
        <w:jc w:val="both"/>
        <w:rPr>
          <w:rFonts w:ascii="Palatino Linotype" w:eastAsia="Palatino Linotype" w:hAnsi="Palatino Linotype" w:cs="Palatino Linotype"/>
        </w:rPr>
      </w:pP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“De acuerdo al principio de máxima publicidad, le informo a usted que la autoridad competente para realizar el registro de las capitulaciones matrimoniales es el Instituto de la Función Registral del Estado de México, para mayor información tendrá que acudir a la oficina más cercana a su domicilio la cual podrá consultar a través de la siguiente liga:</w:t>
      </w:r>
      <w:hyperlink r:id="rId7">
        <w:r>
          <w:rPr>
            <w:rFonts w:ascii="Palatino Linotype" w:eastAsia="Palatino Linotype" w:hAnsi="Palatino Linotype" w:cs="Palatino Linotype"/>
            <w:b/>
            <w:i/>
            <w:sz w:val="20"/>
            <w:szCs w:val="20"/>
          </w:rPr>
          <w:t xml:space="preserve"> </w:t>
        </w:r>
      </w:hyperlink>
      <w:hyperlink r:id="rId8">
        <w:r>
          <w:rPr>
            <w:rFonts w:ascii="Palatino Linotype" w:eastAsia="Palatino Linotype" w:hAnsi="Palatino Linotype" w:cs="Palatino Linotype"/>
            <w:b/>
            <w:i/>
            <w:color w:val="1155CC"/>
            <w:sz w:val="20"/>
            <w:szCs w:val="20"/>
            <w:u w:val="single"/>
          </w:rPr>
          <w:t>https://frem.edomex.gob.mx/conoce_oficinas</w:t>
        </w:r>
      </w:hyperlink>
      <w:r>
        <w:rPr>
          <w:rFonts w:ascii="Palatino Linotype" w:eastAsia="Palatino Linotype" w:hAnsi="Palatino Linotype" w:cs="Palatino Linotype"/>
          <w:b/>
          <w:i/>
          <w:sz w:val="20"/>
          <w:szCs w:val="20"/>
        </w:rPr>
        <w:t>, no omito mencionar que dicha información también puede consultarse en el Código Civil del Estado de México, del artículo 4.24 al artículo 4.33 por lo que se le proporciona la liga para su consulta</w:t>
      </w:r>
      <w:hyperlink r:id="rId9">
        <w:r>
          <w:rPr>
            <w:rFonts w:ascii="Palatino Linotype" w:eastAsia="Palatino Linotype" w:hAnsi="Palatino Linotype" w:cs="Palatino Linotype"/>
            <w:b/>
            <w:i/>
            <w:sz w:val="20"/>
            <w:szCs w:val="20"/>
          </w:rPr>
          <w:t xml:space="preserve"> </w:t>
        </w:r>
      </w:hyperlink>
      <w:hyperlink r:id="rId10">
        <w:r>
          <w:rPr>
            <w:rFonts w:ascii="Palatino Linotype" w:eastAsia="Palatino Linotype" w:hAnsi="Palatino Linotype" w:cs="Palatino Linotype"/>
            <w:b/>
            <w:i/>
            <w:color w:val="1155CC"/>
            <w:sz w:val="20"/>
            <w:szCs w:val="20"/>
            <w:u w:val="single"/>
          </w:rPr>
          <w:t>https://legislacion.edomex.gob.mx/sites/legislacion.edomex.gob.mx/files/files/pdf/cod/vig /codvig001.pdf</w:t>
        </w:r>
      </w:hyperlink>
      <w:r>
        <w:rPr>
          <w:rFonts w:ascii="Palatino Linotype" w:eastAsia="Palatino Linotype" w:hAnsi="Palatino Linotype" w:cs="Palatino Linotype"/>
          <w:b/>
          <w:i/>
          <w:sz w:val="20"/>
          <w:szCs w:val="20"/>
        </w:rPr>
        <w:t>; en cuanto al costo, se establece en el Código Financiero del Estado de México en el artículo 95, fracción B, que a la letra señala:</w:t>
      </w: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 </w:t>
      </w: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 "Articulo 95- Por inscripción de documentos o actos relativos a bienes inmuebles se pagarán los siguientes derechos:</w:t>
      </w: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B). Capitulaciones matrimoniales sobre inmuebles y/o terminación y liquidación de la sociedad conyugal, por cada inmueble. $865 (ochocientos sesenta y cinco pesos 00/100 M.N.)".</w:t>
      </w: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 </w:t>
      </w: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Sin otro particular, reciba un cordial saludo.</w:t>
      </w:r>
    </w:p>
    <w:p w:rsidR="00723231" w:rsidRDefault="00A27DDB" w:rsidP="00164594">
      <w:pPr>
        <w:spacing w:after="0" w:line="276"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723231" w:rsidRDefault="00A27DDB" w:rsidP="00164594">
      <w:pPr>
        <w:spacing w:after="0" w:line="276" w:lineRule="auto"/>
        <w:ind w:left="560" w:right="540"/>
        <w:jc w:val="both"/>
        <w:rPr>
          <w:rFonts w:ascii="Palatino Linotype" w:eastAsia="Palatino Linotype" w:hAnsi="Palatino Linotype" w:cs="Palatino Linotype"/>
          <w:b/>
        </w:rPr>
      </w:pPr>
      <w:r>
        <w:rPr>
          <w:rFonts w:ascii="Palatino Linotype" w:eastAsia="Palatino Linotype" w:hAnsi="Palatino Linotype" w:cs="Palatino Linotype"/>
          <w:b/>
        </w:rPr>
        <w:t>(Énfasis añadido)</w:t>
      </w:r>
    </w:p>
    <w:p w:rsidR="00164594" w:rsidRPr="00730476" w:rsidRDefault="00164594" w:rsidP="00164594">
      <w:pPr>
        <w:spacing w:after="0" w:line="276" w:lineRule="auto"/>
        <w:ind w:left="560" w:right="540"/>
        <w:jc w:val="both"/>
        <w:rPr>
          <w:rFonts w:ascii="Palatino Linotype" w:eastAsia="Palatino Linotype" w:hAnsi="Palatino Linotype" w:cs="Palatino Linotype"/>
          <w:b/>
        </w:rPr>
      </w:pPr>
    </w:p>
    <w:p w:rsidR="00723231" w:rsidRDefault="00A27DD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interpuso el medio de impugnación citado al rubro, expresando medularmente lo siguiente: </w:t>
      </w:r>
    </w:p>
    <w:p w:rsidR="00723231" w:rsidRDefault="00723231">
      <w:pPr>
        <w:pBdr>
          <w:top w:val="nil"/>
          <w:left w:val="nil"/>
          <w:bottom w:val="nil"/>
          <w:right w:val="nil"/>
          <w:between w:val="nil"/>
        </w:pBdr>
        <w:spacing w:after="0" w:line="360" w:lineRule="auto"/>
        <w:ind w:left="851" w:right="139"/>
        <w:jc w:val="both"/>
        <w:rPr>
          <w:rFonts w:ascii="Palatino Linotype" w:eastAsia="Palatino Linotype" w:hAnsi="Palatino Linotype" w:cs="Palatino Linotype"/>
          <w:i/>
        </w:rPr>
      </w:pPr>
    </w:p>
    <w:p w:rsidR="00723231" w:rsidRDefault="00A27DDB" w:rsidP="00730476">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 autoridad me remite a otras instancias o cuerpos legales, incumpliendo su obligación de proporcionarme la información. Me establece un costo, pero este se refiere cuando existan inmuebles, siendo que pueden existir capitulaciones matrimoniales donde no haya este tipo de bienes. Por lo que al entregarme la información a la que tiene obligación en términos de ley, está violentando los derechos humanos del suscrito, solicitando se inste a la autoridad a entregarme la información clara y completa que se le solicito”.</w:t>
      </w:r>
    </w:p>
    <w:p w:rsidR="00723231" w:rsidRDefault="00723231">
      <w:pPr>
        <w:pBdr>
          <w:top w:val="nil"/>
          <w:left w:val="nil"/>
          <w:bottom w:val="nil"/>
          <w:right w:val="nil"/>
          <w:between w:val="nil"/>
        </w:pBdr>
        <w:spacing w:after="0" w:line="360" w:lineRule="auto"/>
        <w:ind w:left="851" w:right="139"/>
        <w:jc w:val="both"/>
        <w:rPr>
          <w:rFonts w:ascii="Palatino Linotype" w:eastAsia="Palatino Linotype" w:hAnsi="Palatino Linotype" w:cs="Palatino Linotype"/>
          <w:i/>
        </w:rPr>
      </w:pPr>
    </w:p>
    <w:p w:rsidR="00164594" w:rsidRDefault="00A27DDB">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que el Sujeto Obligado en </w:t>
      </w:r>
      <w:r w:rsidRPr="00730476">
        <w:rPr>
          <w:rFonts w:ascii="Palatino Linotype" w:eastAsia="Palatino Linotype" w:hAnsi="Palatino Linotype" w:cs="Palatino Linotype"/>
        </w:rPr>
        <w:t xml:space="preserve">ejercicio del principio de máxima publicidad proporcionó respuesta a los cuestionamientos </w:t>
      </w:r>
      <w:r w:rsidR="00730476" w:rsidRPr="00730476">
        <w:rPr>
          <w:rFonts w:ascii="Palatino Linotype" w:eastAsia="Palatino Linotype" w:hAnsi="Palatino Linotype" w:cs="Palatino Linotype"/>
        </w:rPr>
        <w:t xml:space="preserve">planteados </w:t>
      </w:r>
      <w:r w:rsidRPr="00730476">
        <w:rPr>
          <w:rFonts w:ascii="Palatino Linotype" w:eastAsia="Palatino Linotype" w:hAnsi="Palatino Linotype" w:cs="Palatino Linotype"/>
        </w:rPr>
        <w:t>en la solicitud de información</w:t>
      </w:r>
      <w:r>
        <w:rPr>
          <w:rFonts w:ascii="Palatino Linotype" w:eastAsia="Palatino Linotype" w:hAnsi="Palatino Linotype" w:cs="Palatino Linotype"/>
        </w:rPr>
        <w:t xml:space="preserve"> y, por su parte, el Particular fue omiso en rendir manifestaciones. </w:t>
      </w:r>
    </w:p>
    <w:p w:rsidR="00723231" w:rsidRDefault="00A27DDB">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723231" w:rsidRDefault="00A27DDB">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derivado del análisis efectuado por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se consideró que la pretensión del Particular consistía en </w:t>
      </w:r>
      <w:r>
        <w:rPr>
          <w:rFonts w:ascii="Palatino Linotype" w:eastAsia="Palatino Linotype" w:hAnsi="Palatino Linotype" w:cs="Palatino Linotype"/>
          <w:i/>
        </w:rPr>
        <w:t xml:space="preserve">“un derecho de petición, que no puede ser atendido en aras del ejercicio de acceso a la información pública” “requerimiento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“(sic) </w:t>
      </w:r>
      <w:r>
        <w:rPr>
          <w:rFonts w:ascii="Palatino Linotype" w:eastAsia="Palatino Linotype" w:hAnsi="Palatino Linotype" w:cs="Palatino Linotype"/>
        </w:rPr>
        <w:t xml:space="preserve">, situación que actualizaba la causal de improcedencia prevista en la fracción IV del artículo </w:t>
      </w:r>
      <w:r>
        <w:rPr>
          <w:rFonts w:ascii="Palatino Linotype" w:eastAsia="Palatino Linotype" w:hAnsi="Palatino Linotype" w:cs="Palatino Linotype"/>
        </w:rPr>
        <w:lastRenderedPageBreak/>
        <w:t xml:space="preserve">192 de la Ley de Transparencia y Acceso a la Información Pública del Estado de México y Municipios. </w:t>
      </w:r>
    </w:p>
    <w:p w:rsidR="00723231" w:rsidRDefault="00723231">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723231" w:rsidRDefault="00A27DDB">
      <w:pPr>
        <w:spacing w:after="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b/>
        </w:rPr>
        <w:t>II. Razones del Voto Particular.</w:t>
      </w:r>
    </w:p>
    <w:p w:rsidR="00723231" w:rsidRDefault="00723231">
      <w:pPr>
        <w:spacing w:after="0" w:line="360" w:lineRule="auto"/>
        <w:ind w:right="139"/>
        <w:jc w:val="both"/>
        <w:rPr>
          <w:rFonts w:ascii="Palatino Linotype" w:eastAsia="Palatino Linotype" w:hAnsi="Palatino Linotype" w:cs="Palatino Linotype"/>
          <w:b/>
          <w:highlight w:val="red"/>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esto, es de recordar que la pretensión del Particular era obtener información relacionada con capitulaciones matrimoniales y su costo, sin embargo,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consideró que era información que no podía ser atendida a través de esta vía, ya que constituía un derecho de petición y, por consiguiente, el asunto debía ser sobreseído. </w:t>
      </w:r>
    </w:p>
    <w:p w:rsidR="00723231" w:rsidRDefault="00723231">
      <w:pPr>
        <w:spacing w:after="0" w:line="360" w:lineRule="auto"/>
        <w:ind w:right="139"/>
        <w:jc w:val="both"/>
        <w:rPr>
          <w:rFonts w:ascii="Palatino Linotype" w:eastAsia="Palatino Linotype" w:hAnsi="Palatino Linotype" w:cs="Palatino Linotype"/>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en principio es de mencionar que, de acuerdo con la fracción XXIV del artículo 92 de la Ley de Transparencia y Acceso a la Información Pública del Estado de México y Municipios, la información relacionada con los trámites que ofrecen los sujetos obligados, es información que los sujetos obligados deben poner a disposición de los particulares de manera actualizada y permanente, pues constituye una obligación de transparencia, tal como se observa a continuación: </w:t>
      </w:r>
    </w:p>
    <w:p w:rsidR="00730476" w:rsidRDefault="00730476">
      <w:pPr>
        <w:spacing w:after="0" w:line="360" w:lineRule="auto"/>
        <w:ind w:right="139"/>
        <w:jc w:val="both"/>
        <w:rPr>
          <w:rFonts w:ascii="Palatino Linotype" w:eastAsia="Palatino Linotype" w:hAnsi="Palatino Linotype" w:cs="Palatino Linotype"/>
        </w:rPr>
      </w:pPr>
    </w:p>
    <w:p w:rsidR="00723231" w:rsidRDefault="00A27DDB">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92.</w:t>
      </w:r>
      <w:r>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23231" w:rsidRDefault="00A27DDB">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23231" w:rsidRDefault="00A27DDB">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XXIV. Los trámites, requisitos y formatos que ofrecen, así como los tiempos de respuesta;</w:t>
      </w:r>
    </w:p>
    <w:p w:rsidR="00723231" w:rsidRDefault="00A27DDB">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23231" w:rsidRDefault="00723231">
      <w:pPr>
        <w:spacing w:after="0" w:line="360" w:lineRule="auto"/>
        <w:ind w:right="139"/>
        <w:jc w:val="both"/>
        <w:rPr>
          <w:rFonts w:ascii="Palatino Linotype" w:eastAsia="Palatino Linotype" w:hAnsi="Palatino Linotype" w:cs="Palatino Linotype"/>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Ahora bien, en relación con el asunto que nos ocupa, se tiene que en respuesta el Sujeto Obligado refirió que la información solicitada no era de su competencia, si no del Instituto de la Función Registral, situación por la cual el Particular se inconformó, por lo que, la controversia a resolver era la incompetencia aludida por la Secretaría de Justicia y Derechos Humanos, “</w:t>
      </w:r>
      <w:proofErr w:type="spellStart"/>
      <w:r w:rsidRPr="00FC77DB">
        <w:rPr>
          <w:rFonts w:ascii="Palatino Linotype" w:eastAsia="Palatino Linotype" w:hAnsi="Palatino Linotype" w:cs="Palatino Linotype"/>
          <w:i/>
        </w:rPr>
        <w:t>litis</w:t>
      </w:r>
      <w:proofErr w:type="spellEnd"/>
      <w:r>
        <w:rPr>
          <w:rFonts w:ascii="Palatino Linotype" w:eastAsia="Palatino Linotype" w:hAnsi="Palatino Linotype" w:cs="Palatino Linotype"/>
        </w:rPr>
        <w:t xml:space="preserve">” que no resolvió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w:t>
      </w:r>
    </w:p>
    <w:p w:rsidR="00723231" w:rsidRDefault="00723231">
      <w:pPr>
        <w:spacing w:after="0" w:line="360" w:lineRule="auto"/>
        <w:ind w:right="139"/>
        <w:jc w:val="both"/>
        <w:rPr>
          <w:rFonts w:ascii="Palatino Linotype" w:eastAsia="Palatino Linotype" w:hAnsi="Palatino Linotype" w:cs="Palatino Linotype"/>
        </w:rPr>
      </w:pPr>
    </w:p>
    <w:p w:rsidR="00723231" w:rsidRDefault="00A27DDB">
      <w:pPr>
        <w:tabs>
          <w:tab w:val="left" w:pos="142"/>
          <w:tab w:val="left" w:pos="284"/>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debo señalar que para el caso de que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hubiese estudiado la controversia a dirimir en el asunto que nos ocupa, hubiese obtenido dos escenarios posibles, el primero de ellos se circunscribe en que, si la Secretaría de Justicia y Derechos Humanos resultaba ser incompetente para conocer de los requerimientos planteados, y en su caso a criterio de la suscrita confirmar la respuesta,  o bien  conforme al criterio adoptado por la mayoría del pleno ordenar al sujeto obligado a observar lo que establece el artículo 167 de la Ley de Transparencia y Acceso a la Información Pública del Estado de México y Municipios, esto es ordenar el Acuerdo de Incompetencia emitido por el Comité de Transparencia del Sujeto Obligado. </w:t>
      </w:r>
    </w:p>
    <w:p w:rsidR="00723231" w:rsidRDefault="00723231">
      <w:pPr>
        <w:tabs>
          <w:tab w:val="left" w:pos="142"/>
          <w:tab w:val="left" w:pos="284"/>
        </w:tabs>
        <w:spacing w:after="0" w:line="360" w:lineRule="auto"/>
        <w:jc w:val="both"/>
        <w:rPr>
          <w:rFonts w:ascii="Palatino Linotype" w:eastAsia="Palatino Linotype" w:hAnsi="Palatino Linotype" w:cs="Palatino Linotype"/>
        </w:rPr>
      </w:pPr>
    </w:p>
    <w:p w:rsidR="00723231" w:rsidRDefault="00A27DDB">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Es por todo lo vertido en líneas anteriores que la Suscrita no comparte en totalidad el sentido de la resolución, por lo que se formula el presente voto particular.</w:t>
      </w:r>
    </w:p>
    <w:p w:rsidR="00723231" w:rsidRDefault="00723231">
      <w:pPr>
        <w:spacing w:after="0" w:line="360" w:lineRule="auto"/>
        <w:ind w:right="139"/>
        <w:jc w:val="both"/>
        <w:rPr>
          <w:rFonts w:ascii="Palatino Linotype" w:eastAsia="Palatino Linotype" w:hAnsi="Palatino Linotype" w:cs="Palatino Linotype"/>
          <w:highlight w:val="red"/>
        </w:rPr>
      </w:pPr>
    </w:p>
    <w:p w:rsidR="00723231" w:rsidRDefault="00723231">
      <w:pPr>
        <w:spacing w:after="0" w:line="360" w:lineRule="auto"/>
        <w:ind w:right="139"/>
        <w:jc w:val="both"/>
        <w:rPr>
          <w:rFonts w:ascii="Palatino Linotype" w:eastAsia="Palatino Linotype" w:hAnsi="Palatino Linotype" w:cs="Palatino Linotype"/>
        </w:rPr>
      </w:pPr>
      <w:bookmarkStart w:id="1" w:name="_heading=h.gjdgxs" w:colFirst="0" w:colLast="0"/>
      <w:bookmarkStart w:id="2" w:name="_GoBack"/>
      <w:bookmarkEnd w:id="1"/>
      <w:bookmarkEnd w:id="2"/>
    </w:p>
    <w:sectPr w:rsidR="00723231">
      <w:headerReference w:type="default" r:id="rId11"/>
      <w:footerReference w:type="default" r:id="rId12"/>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B7" w:rsidRDefault="00D329B7">
      <w:pPr>
        <w:spacing w:after="0" w:line="240" w:lineRule="auto"/>
      </w:pPr>
      <w:r>
        <w:separator/>
      </w:r>
    </w:p>
  </w:endnote>
  <w:endnote w:type="continuationSeparator" w:id="0">
    <w:p w:rsidR="00D329B7" w:rsidRDefault="00D3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31" w:rsidRDefault="00A27DDB">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FC77DB">
      <w:rPr>
        <w:rFonts w:ascii="Times New Roman" w:eastAsia="Times New Roman" w:hAnsi="Times New Roman" w:cs="Times New Roman"/>
        <w:b/>
        <w:noProof/>
        <w:color w:val="000000"/>
        <w:sz w:val="20"/>
        <w:szCs w:val="20"/>
      </w:rPr>
      <w:t>4</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FC77DB">
      <w:rPr>
        <w:rFonts w:ascii="Times New Roman" w:eastAsia="Times New Roman" w:hAnsi="Times New Roman" w:cs="Times New Roman"/>
        <w:b/>
        <w:noProof/>
        <w:color w:val="000000"/>
        <w:sz w:val="20"/>
        <w:szCs w:val="20"/>
      </w:rPr>
      <w:t>5</w:t>
    </w:r>
    <w:r>
      <w:rPr>
        <w:rFonts w:ascii="Times New Roman" w:eastAsia="Times New Roman" w:hAnsi="Times New Roman" w:cs="Times New Roman"/>
        <w:b/>
        <w:color w:val="000000"/>
        <w:sz w:val="20"/>
        <w:szCs w:val="20"/>
      </w:rPr>
      <w:fldChar w:fldCharType="end"/>
    </w:r>
  </w:p>
  <w:p w:rsidR="00723231" w:rsidRDefault="0072323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9B7" w:rsidRDefault="00D329B7">
      <w:pPr>
        <w:spacing w:after="0" w:line="240" w:lineRule="auto"/>
      </w:pPr>
      <w:r>
        <w:separator/>
      </w:r>
    </w:p>
  </w:footnote>
  <w:footnote w:type="continuationSeparator" w:id="0">
    <w:p w:rsidR="00D329B7" w:rsidRDefault="00D329B7">
      <w:pPr>
        <w:spacing w:after="0" w:line="240" w:lineRule="auto"/>
      </w:pPr>
      <w:r>
        <w:continuationSeparator/>
      </w:r>
    </w:p>
  </w:footnote>
  <w:footnote w:id="1">
    <w:p w:rsidR="00723231" w:rsidRDefault="00A27DDB">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23231" w:rsidRDefault="00A27DD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31" w:rsidRDefault="00A27D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PARTICULAR</w:t>
    </w:r>
    <w:r>
      <w:rPr>
        <w:noProof/>
      </w:rPr>
      <w:drawing>
        <wp:anchor distT="0" distB="0" distL="0" distR="0" simplePos="0" relativeHeight="251658240" behindDoc="1" locked="0" layoutInCell="1" hidden="0" allowOverlap="1">
          <wp:simplePos x="0" y="0"/>
          <wp:positionH relativeFrom="column">
            <wp:posOffset>-704214</wp:posOffset>
          </wp:positionH>
          <wp:positionV relativeFrom="paragraph">
            <wp:posOffset>-749299</wp:posOffset>
          </wp:positionV>
          <wp:extent cx="7510628" cy="988377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723231" w:rsidRDefault="00A27D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16681/INFOEM/IP/RR/2022</w:t>
    </w:r>
  </w:p>
  <w:p w:rsidR="00723231" w:rsidRDefault="0072323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31"/>
    <w:rsid w:val="000057D8"/>
    <w:rsid w:val="00164594"/>
    <w:rsid w:val="00723231"/>
    <w:rsid w:val="00730476"/>
    <w:rsid w:val="009256B8"/>
    <w:rsid w:val="00A27DDB"/>
    <w:rsid w:val="00D329B7"/>
    <w:rsid w:val="00FC77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56DB4-AED0-4427-8D1B-15EA58FF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5">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Pr>
  </w:style>
  <w:style w:type="paragraph" w:customStyle="1" w:styleId="Citas">
    <w:name w:val="Citas"/>
    <w:basedOn w:val="Normal"/>
    <w:qFormat/>
    <w:rsid w:val="000365D3"/>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rem.edomex.gob.mx/conoce_oficin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em.edomex.gob.mx/conoce_oficin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egislacion.edomex.gob.mx/sites/legislacion.edomex.gob.mx/files/files/pdf/cod/vig%20/codvig001.pdf" TargetMode="External"/><Relationship Id="rId4" Type="http://schemas.openxmlformats.org/officeDocument/2006/relationships/webSettings" Target="webSettings.xml"/><Relationship Id="rId9" Type="http://schemas.openxmlformats.org/officeDocument/2006/relationships/hyperlink" Target="https://legislacion.edomex.gob.mx/sites/legislacion.edomex.gob.mx/files/files/pdf/cod/vig%20/codvig00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jVfd0b0atyNmIWKdx0smfrIpjw==">AMUW2mX4uDP0sXQP9jzLs8KXKZg5DVHuLsSQxNxq8gx7qAzDjK9D7a6HzouqrrlHYh4ZdrCy0E/DTltpqjycE1hpFGT2IBFFg94/BtbSPvWmobIVOczAd3CVeAZGo7vHmyYsVqongosl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6633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INFOEM415</cp:lastModifiedBy>
  <cp:revision>3</cp:revision>
  <cp:lastPrinted>2023-02-08T00:33:00Z</cp:lastPrinted>
  <dcterms:created xsi:type="dcterms:W3CDTF">2023-10-17T19:34:00Z</dcterms:created>
  <dcterms:modified xsi:type="dcterms:W3CDTF">2025-02-10T20:34:00Z</dcterms:modified>
</cp:coreProperties>
</file>