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AFC39" w14:textId="4A4A76AA" w:rsidR="00F47FB5" w:rsidRPr="003B138A" w:rsidRDefault="009D583D" w:rsidP="00F47FB5">
      <w:pPr>
        <w:spacing w:line="360" w:lineRule="auto"/>
        <w:jc w:val="both"/>
        <w:rPr>
          <w:rFonts w:ascii="Palatino Linotype" w:eastAsia="Palatino Linotype" w:hAnsi="Palatino Linotype" w:cs="Palatino Linotype"/>
          <w:b/>
        </w:rPr>
      </w:pPr>
      <w:r>
        <w:rPr>
          <w:rFonts w:ascii="Palatino Linotype" w:hAnsi="Palatino Linotype" w:cs="Tahoma"/>
          <w:b/>
        </w:rPr>
        <w:t xml:space="preserve">VOTO PARTICULAR QUE FORMULA </w:t>
      </w:r>
      <w:r w:rsidR="00F47FB5" w:rsidRPr="00EE3BE9">
        <w:rPr>
          <w:rFonts w:ascii="Palatino Linotype" w:hAnsi="Palatino Linotype" w:cs="Tahoma"/>
          <w:b/>
        </w:rPr>
        <w:t xml:space="preserve">LA COMISIONADA MARÍA DEL ROSARIO MEJÍA AYALA, CON RELACIÓN A LA RESOLUCIÓN EMITIDA POR EL PLENO DEL </w:t>
      </w:r>
      <w:r w:rsidR="006E016F" w:rsidRPr="00EE3BE9">
        <w:rPr>
          <w:rFonts w:ascii="Palatino Linotype" w:hAnsi="Palatino Linotype" w:cs="Tahoma"/>
          <w:b/>
        </w:rPr>
        <w:t xml:space="preserve">INSTITUTO DE TRANSPARENCIA, ACCESO A LA INFORMACIÓN PÚBLICA Y PROTECCIÓN DE DATOS PERSONALES DEL ESTADO DE MÉXICO Y MUNICIPIOS AL RECURSO DE REVISIÓN </w:t>
      </w:r>
      <w:r w:rsidR="00104DE0">
        <w:rPr>
          <w:rFonts w:ascii="Palatino Linotype" w:hAnsi="Palatino Linotype" w:cs="Tahoma"/>
          <w:b/>
          <w:bCs/>
          <w:color w:val="0D0D0D" w:themeColor="text1" w:themeTint="F2"/>
          <w:sz w:val="22"/>
          <w:szCs w:val="22"/>
        </w:rPr>
        <w:t>02101/INFOEM/IP/RR/2023</w:t>
      </w:r>
      <w:r w:rsidR="00104DE0" w:rsidRPr="00EE3BE9">
        <w:rPr>
          <w:rFonts w:ascii="Palatino Linotype" w:hAnsi="Palatino Linotype" w:cs="Arial"/>
          <w:b/>
          <w:bCs/>
          <w:color w:val="000000" w:themeColor="text1"/>
        </w:rPr>
        <w:t>,</w:t>
      </w:r>
      <w:r w:rsidR="00104DE0" w:rsidRPr="00EE3BE9">
        <w:rPr>
          <w:rFonts w:ascii="Palatino Linotype" w:hAnsi="Palatino Linotype" w:cs="Tahoma"/>
          <w:b/>
        </w:rPr>
        <w:t xml:space="preserve"> PROMOVIDO EN CONTRA D</w:t>
      </w:r>
      <w:r w:rsidR="00104DE0">
        <w:rPr>
          <w:rFonts w:ascii="Palatino Linotype" w:hAnsi="Palatino Linotype" w:cs="Tahoma"/>
          <w:b/>
        </w:rPr>
        <w:t xml:space="preserve">EL </w:t>
      </w:r>
      <w:r w:rsidR="00104DE0">
        <w:rPr>
          <w:rFonts w:ascii="Palatino Linotype" w:eastAsia="Calibri" w:hAnsi="Palatino Linotype" w:cs="Tahoma"/>
          <w:b/>
          <w:bCs/>
          <w:sz w:val="22"/>
          <w:szCs w:val="22"/>
          <w:lang w:eastAsia="en-US"/>
        </w:rPr>
        <w:t>AYUNTAMIENTO DE TULTITLÁN</w:t>
      </w:r>
      <w:r w:rsidR="00E54E99">
        <w:rPr>
          <w:rFonts w:ascii="Palatino Linotype" w:eastAsia="Calibri" w:hAnsi="Palatino Linotype" w:cs="Tahoma"/>
          <w:b/>
          <w:bCs/>
          <w:sz w:val="22"/>
          <w:szCs w:val="22"/>
          <w:lang w:eastAsia="en-US"/>
        </w:rPr>
        <w:t>.</w:t>
      </w:r>
    </w:p>
    <w:p w14:paraId="4B300B03" w14:textId="77777777" w:rsidR="00326EEA" w:rsidRPr="00EE3BE9" w:rsidRDefault="00326EEA" w:rsidP="00CF3F65">
      <w:pPr>
        <w:spacing w:line="360" w:lineRule="auto"/>
        <w:jc w:val="both"/>
        <w:rPr>
          <w:rFonts w:ascii="Palatino Linotype" w:hAnsi="Palatino Linotype" w:cs="Arial"/>
          <w:b/>
        </w:rPr>
      </w:pPr>
    </w:p>
    <w:p w14:paraId="51A10ACA" w14:textId="77777777" w:rsidR="007B1CFA" w:rsidRPr="00EE3BE9"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EE3BE9">
        <w:rPr>
          <w:rFonts w:ascii="Palatino Linotype" w:hAnsi="Palatino Linotype"/>
          <w:color w:val="000000" w:themeColor="text1"/>
          <w:sz w:val="24"/>
          <w:szCs w:val="24"/>
        </w:rPr>
        <w:t>Consideraciones Generales.</w:t>
      </w:r>
      <w:bookmarkEnd w:id="0"/>
    </w:p>
    <w:p w14:paraId="2A27C14C" w14:textId="77777777" w:rsidR="007B1CFA" w:rsidRPr="00EE3BE9" w:rsidRDefault="007B1CFA" w:rsidP="00CF3F65">
      <w:pPr>
        <w:spacing w:line="360" w:lineRule="auto"/>
        <w:rPr>
          <w:rFonts w:ascii="Palatino Linotype" w:hAnsi="Palatino Linotype"/>
        </w:rPr>
      </w:pPr>
    </w:p>
    <w:p w14:paraId="60F0E591" w14:textId="1A3DBECC" w:rsidR="00530898" w:rsidRPr="00EE3BE9" w:rsidRDefault="00CF3F65" w:rsidP="008F67BC">
      <w:pPr>
        <w:spacing w:line="360" w:lineRule="auto"/>
        <w:jc w:val="both"/>
        <w:rPr>
          <w:rFonts w:ascii="Palatino Linotype" w:eastAsia="Palatino Linotype" w:hAnsi="Palatino Linotype" w:cs="Palatino Linotype"/>
          <w:b/>
        </w:rPr>
      </w:pPr>
      <w:r w:rsidRPr="00EE3BE9">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EE3BE9">
        <w:rPr>
          <w:rFonts w:ascii="Palatino Linotype" w:hAnsi="Palatino Linotype" w:cs="Arial"/>
        </w:rPr>
        <w:t xml:space="preserve"> que sustentan la Resolución de</w:t>
      </w:r>
      <w:r w:rsidR="003B138A">
        <w:rPr>
          <w:rFonts w:ascii="Palatino Linotype" w:hAnsi="Palatino Linotype" w:cs="Arial"/>
        </w:rPr>
        <w:t xml:space="preserve">l recurso de revisión </w:t>
      </w:r>
      <w:r w:rsidR="00104DE0">
        <w:rPr>
          <w:rFonts w:ascii="Palatino Linotype" w:hAnsi="Palatino Linotype" w:cs="Tahoma"/>
          <w:b/>
          <w:bCs/>
          <w:color w:val="0D0D0D" w:themeColor="text1" w:themeTint="F2"/>
          <w:sz w:val="22"/>
          <w:szCs w:val="22"/>
        </w:rPr>
        <w:t>02101/INFOEM/IP/RR/2023</w:t>
      </w:r>
      <w:r w:rsidR="007B578D" w:rsidRPr="00EE3BE9">
        <w:rPr>
          <w:rFonts w:ascii="Palatino Linotype" w:hAnsi="Palatino Linotype" w:cs="Arial"/>
          <w:bCs/>
          <w:lang w:eastAsia="es-MX"/>
        </w:rPr>
        <w:t xml:space="preserve">, </w:t>
      </w:r>
      <w:r w:rsidR="008B0A68" w:rsidRPr="00EE3BE9">
        <w:rPr>
          <w:rFonts w:ascii="Palatino Linotype" w:hAnsi="Palatino Linotype" w:cs="Arial"/>
        </w:rPr>
        <w:t xml:space="preserve">presentado conforme al criterio mayoritario del Pleno, </w:t>
      </w:r>
      <w:r w:rsidRPr="00EE3BE9">
        <w:rPr>
          <w:rFonts w:ascii="Palatino Linotype" w:hAnsi="Palatino Linotype" w:cs="Arial"/>
        </w:rPr>
        <w:t>promovido en contra de</w:t>
      </w:r>
      <w:r w:rsidR="0068101D" w:rsidRPr="00EE3BE9">
        <w:rPr>
          <w:rFonts w:ascii="Palatino Linotype" w:hAnsi="Palatino Linotype" w:cs="Arial"/>
        </w:rPr>
        <w:t xml:space="preserve">l </w:t>
      </w:r>
      <w:r w:rsidR="00BC1756" w:rsidRPr="00EE3BE9">
        <w:rPr>
          <w:rFonts w:ascii="Palatino Linotype" w:hAnsi="Palatino Linotype" w:cs="Arial"/>
        </w:rPr>
        <w:t xml:space="preserve"> </w:t>
      </w:r>
      <w:r w:rsidR="00104DE0">
        <w:rPr>
          <w:rFonts w:ascii="Palatino Linotype" w:eastAsia="Calibri" w:hAnsi="Palatino Linotype" w:cs="Tahoma"/>
          <w:b/>
          <w:bCs/>
          <w:sz w:val="22"/>
          <w:szCs w:val="22"/>
          <w:lang w:eastAsia="en-US"/>
        </w:rPr>
        <w:t>Ayuntamiento de Tultitlán</w:t>
      </w:r>
      <w:r w:rsidR="006A7AB7" w:rsidRPr="00EE3BE9">
        <w:rPr>
          <w:rFonts w:ascii="Palatino Linotype" w:eastAsia="Palatino Linotype" w:hAnsi="Palatino Linotype" w:cs="Palatino Linotype"/>
          <w:b/>
        </w:rPr>
        <w:t>.</w:t>
      </w:r>
    </w:p>
    <w:p w14:paraId="66D32CD4" w14:textId="77777777" w:rsidR="00EF3513" w:rsidRPr="00EE3BE9" w:rsidRDefault="00EF3513" w:rsidP="008F67BC">
      <w:pPr>
        <w:spacing w:line="360" w:lineRule="auto"/>
        <w:jc w:val="both"/>
        <w:rPr>
          <w:rFonts w:ascii="Palatino Linotype" w:eastAsia="Palatino Linotype" w:hAnsi="Palatino Linotype" w:cs="Palatino Linotype"/>
          <w:b/>
        </w:rPr>
      </w:pPr>
    </w:p>
    <w:p w14:paraId="2CD2271C" w14:textId="6FE9ACC2" w:rsidR="00BF358F" w:rsidRDefault="00EF3513" w:rsidP="00BF358F">
      <w:pPr>
        <w:spacing w:line="360" w:lineRule="auto"/>
        <w:jc w:val="both"/>
        <w:rPr>
          <w:rFonts w:ascii="Palatino Linotype" w:hAnsi="Palatino Linotype" w:cs="Arial"/>
        </w:rPr>
      </w:pPr>
      <w:r w:rsidRPr="00EE3BE9">
        <w:rPr>
          <w:rFonts w:ascii="Palatino Linotype" w:eastAsia="Calibri" w:hAnsi="Palatino Linotype"/>
          <w:bCs/>
        </w:rPr>
        <w:t>El</w:t>
      </w:r>
      <w:r w:rsidRPr="00EE3BE9">
        <w:rPr>
          <w:rFonts w:ascii="Palatino Linotype" w:eastAsia="Calibri" w:hAnsi="Palatino Linotype"/>
          <w:b/>
        </w:rPr>
        <w:t xml:space="preserve"> RECURRENTE </w:t>
      </w:r>
      <w:r w:rsidRPr="00EE3BE9">
        <w:rPr>
          <w:rFonts w:ascii="Palatino Linotype" w:eastAsia="Calibri" w:hAnsi="Palatino Linotype"/>
          <w:bCs/>
        </w:rPr>
        <w:t>presentó</w:t>
      </w:r>
      <w:r w:rsidRPr="00EE3BE9">
        <w:rPr>
          <w:rFonts w:ascii="Palatino Linotype" w:eastAsia="Calibri" w:hAnsi="Palatino Linotype" w:cs="Arial"/>
        </w:rPr>
        <w:t xml:space="preserve"> vía Sistema de Acceso a la Información Mexiquense (</w:t>
      </w:r>
      <w:r w:rsidRPr="00EE3BE9">
        <w:rPr>
          <w:rFonts w:ascii="Palatino Linotype" w:eastAsia="Calibri" w:hAnsi="Palatino Linotype" w:cs="Arial"/>
          <w:b/>
        </w:rPr>
        <w:t>SAIMEX)</w:t>
      </w:r>
      <w:r w:rsidRPr="00EE3BE9">
        <w:rPr>
          <w:rFonts w:ascii="Palatino Linotype" w:eastAsia="Calibri" w:hAnsi="Palatino Linotype" w:cs="Arial"/>
        </w:rPr>
        <w:t xml:space="preserve">, </w:t>
      </w:r>
      <w:r w:rsidR="00BF358F" w:rsidRPr="00EE3BE9">
        <w:rPr>
          <w:rFonts w:ascii="Palatino Linotype" w:eastAsia="Calibri" w:hAnsi="Palatino Linotype" w:cs="Arial"/>
        </w:rPr>
        <w:t>la</w:t>
      </w:r>
      <w:r w:rsidR="008C19BE" w:rsidRPr="00EE3BE9">
        <w:rPr>
          <w:rFonts w:ascii="Palatino Linotype" w:eastAsia="Calibri" w:hAnsi="Palatino Linotype" w:cs="Arial"/>
        </w:rPr>
        <w:t xml:space="preserve"> solicitud</w:t>
      </w:r>
      <w:r w:rsidR="00BF358F" w:rsidRPr="00EE3BE9">
        <w:rPr>
          <w:rFonts w:ascii="Palatino Linotype" w:eastAsia="Calibri" w:hAnsi="Palatino Linotype" w:cs="Arial"/>
        </w:rPr>
        <w:t xml:space="preserve"> de información pública registrada con</w:t>
      </w:r>
      <w:r w:rsidR="003B138A">
        <w:rPr>
          <w:rFonts w:ascii="Palatino Linotype" w:eastAsia="Calibri" w:hAnsi="Palatino Linotype" w:cs="Arial"/>
        </w:rPr>
        <w:t xml:space="preserve"> el número </w:t>
      </w:r>
      <w:r w:rsidR="00BF358F" w:rsidRPr="00EE3BE9">
        <w:rPr>
          <w:rFonts w:ascii="Palatino Linotype" w:eastAsia="Calibri" w:hAnsi="Palatino Linotype" w:cs="Arial"/>
        </w:rPr>
        <w:t xml:space="preserve"> </w:t>
      </w:r>
      <w:r w:rsidR="00104DE0">
        <w:rPr>
          <w:rFonts w:ascii="Palatino Linotype" w:hAnsi="Palatino Linotype" w:cs="Tahoma"/>
          <w:b/>
          <w:bCs/>
          <w:sz w:val="22"/>
          <w:szCs w:val="22"/>
        </w:rPr>
        <w:t>00067/TULTITLA/IP/2023</w:t>
      </w:r>
      <w:r w:rsidR="00B64C7A" w:rsidRPr="00EE3BE9">
        <w:rPr>
          <w:rFonts w:ascii="Palatino Linotype" w:hAnsi="Palatino Linotype"/>
          <w:b/>
          <w:bCs/>
        </w:rPr>
        <w:t>,</w:t>
      </w:r>
      <w:r w:rsidR="00BF358F" w:rsidRPr="00EE3BE9">
        <w:rPr>
          <w:rFonts w:ascii="Palatino Linotype" w:hAnsi="Palatino Linotype" w:cs="Arial"/>
          <w:b/>
          <w:lang w:eastAsia="es-MX"/>
        </w:rPr>
        <w:t xml:space="preserve"> </w:t>
      </w:r>
      <w:r w:rsidR="00187962" w:rsidRPr="00EE3BE9">
        <w:rPr>
          <w:rFonts w:ascii="Palatino Linotype" w:hAnsi="Palatino Linotype" w:cs="Arial"/>
        </w:rPr>
        <w:t>mediante la</w:t>
      </w:r>
      <w:r w:rsidR="00BF358F" w:rsidRPr="00EE3BE9">
        <w:rPr>
          <w:rFonts w:ascii="Palatino Linotype" w:hAnsi="Palatino Linotype" w:cs="Arial"/>
        </w:rPr>
        <w:t xml:space="preserve"> cual</w:t>
      </w:r>
      <w:r w:rsidR="00187962" w:rsidRPr="00EE3BE9">
        <w:rPr>
          <w:rFonts w:ascii="Palatino Linotype" w:hAnsi="Palatino Linotype" w:cs="Arial"/>
        </w:rPr>
        <w:t xml:space="preserve"> se</w:t>
      </w:r>
      <w:r w:rsidR="00BF358F" w:rsidRPr="00EE3BE9">
        <w:rPr>
          <w:rFonts w:ascii="Palatino Linotype" w:hAnsi="Palatino Linotype" w:cs="Arial"/>
        </w:rPr>
        <w:t xml:space="preserve"> solicitó la siguiente información:</w:t>
      </w:r>
    </w:p>
    <w:p w14:paraId="2B211D26" w14:textId="77777777" w:rsidR="008D566B" w:rsidRPr="00EE3BE9" w:rsidRDefault="008D566B" w:rsidP="00BF358F">
      <w:pPr>
        <w:spacing w:line="360" w:lineRule="auto"/>
        <w:jc w:val="both"/>
        <w:rPr>
          <w:rFonts w:ascii="Palatino Linotype" w:hAnsi="Palatino Linotype" w:cs="Arial"/>
        </w:rPr>
      </w:pPr>
    </w:p>
    <w:p w14:paraId="511CB0B1" w14:textId="77777777" w:rsidR="00104DE0" w:rsidRDefault="00104DE0" w:rsidP="00104DE0">
      <w:pPr>
        <w:tabs>
          <w:tab w:val="left" w:pos="567"/>
        </w:tabs>
        <w:spacing w:line="360" w:lineRule="auto"/>
        <w:ind w:left="567" w:right="539"/>
        <w:contextualSpacing/>
        <w:jc w:val="both"/>
        <w:rPr>
          <w:rFonts w:ascii="Palatino Linotype" w:hAnsi="Palatino Linotype" w:cs="Tahoma"/>
          <w:b/>
          <w:bCs/>
          <w:sz w:val="22"/>
          <w:szCs w:val="22"/>
          <w:lang w:val="es-MX"/>
        </w:rPr>
      </w:pPr>
      <w:r>
        <w:rPr>
          <w:rFonts w:ascii="Palatino Linotype" w:hAnsi="Palatino Linotype" w:cs="Tahoma"/>
          <w:b/>
          <w:bCs/>
        </w:rPr>
        <w:lastRenderedPageBreak/>
        <w:t>DESCRIPCIÓN CLARA Y PRECISA DE LA INFORMACIÓN SOLICITADA</w:t>
      </w:r>
      <w:r>
        <w:rPr>
          <w:rFonts w:ascii="Palatino Linotype" w:hAnsi="Palatino Linotype" w:cs="Tahoma"/>
          <w:b/>
          <w:bCs/>
          <w:sz w:val="22"/>
          <w:szCs w:val="22"/>
        </w:rPr>
        <w:t>:</w:t>
      </w:r>
    </w:p>
    <w:p w14:paraId="54B35A08" w14:textId="77777777" w:rsidR="00104DE0" w:rsidRDefault="00104DE0" w:rsidP="00104DE0">
      <w:pPr>
        <w:pStyle w:val="Prrafodelista"/>
        <w:tabs>
          <w:tab w:val="left" w:pos="567"/>
        </w:tabs>
        <w:spacing w:line="360" w:lineRule="auto"/>
        <w:ind w:left="567" w:right="539"/>
        <w:jc w:val="both"/>
        <w:rPr>
          <w:rFonts w:ascii="Palatino Linotype" w:hAnsi="Palatino Linotype"/>
          <w:i/>
          <w:iCs/>
          <w:color w:val="000000"/>
          <w:sz w:val="20"/>
          <w:szCs w:val="20"/>
        </w:rPr>
      </w:pPr>
      <w:r>
        <w:rPr>
          <w:rFonts w:ascii="Palatino Linotype" w:hAnsi="Palatino Linotype"/>
          <w:i/>
          <w:iCs/>
          <w:color w:val="000000"/>
          <w:sz w:val="20"/>
          <w:szCs w:val="20"/>
        </w:rPr>
        <w:t xml:space="preserve">“DIRIGIDO A LA TITULAR DEL DEPARTAMENTO DE CONTRALORIA DEL MUNCIPIO DE TULTITLÁN. SOLICITANDO INFORMACIÓN DEL CASO CON FOLIO INFOEM/DGPDP/PI/107/2022, EXPEDIENTE COMPLETO. Y </w:t>
      </w:r>
      <w:proofErr w:type="gramStart"/>
      <w:r>
        <w:rPr>
          <w:rFonts w:ascii="Palatino Linotype" w:hAnsi="Palatino Linotype"/>
          <w:i/>
          <w:iCs/>
          <w:color w:val="000000"/>
          <w:sz w:val="20"/>
          <w:szCs w:val="20"/>
        </w:rPr>
        <w:t>¿</w:t>
      </w:r>
      <w:proofErr w:type="gramEnd"/>
      <w:r>
        <w:rPr>
          <w:rFonts w:ascii="Palatino Linotype" w:hAnsi="Palatino Linotype"/>
          <w:i/>
          <w:iCs/>
          <w:color w:val="000000"/>
          <w:sz w:val="20"/>
          <w:szCs w:val="20"/>
        </w:rPr>
        <w:t>SIENDO SU HERMANA LA JEFA DE NORMATIVIDAD DE COMERCIO DE VÍA PÚBLICA, LA LIC. MARTHA ANGÉLICA MARTINEZ TORRES, QUE ESTÁ IMPLICADA EN EL CASO, ASÍ COMO EL DIRECTOR DE DESARROLLO ECONÓMICO, LIC. JOSE MANUEL BONILLA ALEGRÍA, HABRÁ SANCION EJEMPLAR POR LAS IRREGULARIDAES COMETIDAS EN EL CASO PARA TALES SERVIDORES PÚBLICOS</w:t>
      </w:r>
      <w:proofErr w:type="gramStart"/>
      <w:r>
        <w:rPr>
          <w:rFonts w:ascii="Palatino Linotype" w:hAnsi="Palatino Linotype"/>
          <w:i/>
          <w:iCs/>
          <w:color w:val="000000"/>
          <w:sz w:val="20"/>
          <w:szCs w:val="20"/>
        </w:rPr>
        <w:t>?</w:t>
      </w:r>
      <w:proofErr w:type="gramEnd"/>
      <w:r>
        <w:rPr>
          <w:rFonts w:ascii="Palatino Linotype" w:hAnsi="Palatino Linotype"/>
          <w:i/>
          <w:iCs/>
          <w:color w:val="000000"/>
          <w:sz w:val="20"/>
          <w:szCs w:val="20"/>
        </w:rPr>
        <w:t xml:space="preserve"> ¿ ". (Sic).</w:t>
      </w:r>
    </w:p>
    <w:p w14:paraId="1B7894DE" w14:textId="77777777" w:rsidR="0067381F" w:rsidRPr="00EE3BE9" w:rsidRDefault="0067381F" w:rsidP="00B64C7A">
      <w:pPr>
        <w:pStyle w:val="Prrafodelista"/>
        <w:tabs>
          <w:tab w:val="left" w:pos="567"/>
        </w:tabs>
        <w:spacing w:line="360" w:lineRule="auto"/>
        <w:ind w:left="0"/>
        <w:jc w:val="both"/>
        <w:rPr>
          <w:rFonts w:ascii="Palatino Linotype" w:eastAsia="Calibri" w:hAnsi="Palatino Linotype" w:cs="Arial"/>
          <w:color w:val="000000" w:themeColor="text1"/>
        </w:rPr>
      </w:pPr>
    </w:p>
    <w:p w14:paraId="35304E6C" w14:textId="77777777" w:rsidR="003B138A" w:rsidRDefault="003B138A" w:rsidP="003B138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otorgó, a través del SAIMEX, respuesta a la solicitud de acceso a la información y adjunta a su respuesta el siguiente archivo electrónico:</w:t>
      </w:r>
    </w:p>
    <w:p w14:paraId="193D6811" w14:textId="77777777" w:rsidR="003B138A" w:rsidRDefault="003B138A" w:rsidP="003B138A">
      <w:pPr>
        <w:spacing w:line="360" w:lineRule="auto"/>
        <w:jc w:val="both"/>
        <w:rPr>
          <w:rFonts w:ascii="Calibri" w:eastAsia="Calibri" w:hAnsi="Calibri" w:cs="Calibri"/>
          <w:sz w:val="22"/>
          <w:szCs w:val="22"/>
        </w:rPr>
      </w:pPr>
    </w:p>
    <w:p w14:paraId="22568905" w14:textId="77777777" w:rsidR="00104DE0" w:rsidRDefault="00104DE0" w:rsidP="00104DE0">
      <w:pPr>
        <w:pStyle w:val="Prrafodelista"/>
        <w:numPr>
          <w:ilvl w:val="0"/>
          <w:numId w:val="48"/>
        </w:numPr>
        <w:autoSpaceDE w:val="0"/>
        <w:autoSpaceDN w:val="0"/>
        <w:adjustRightInd w:val="0"/>
        <w:spacing w:line="360" w:lineRule="auto"/>
        <w:jc w:val="both"/>
        <w:rPr>
          <w:rFonts w:ascii="Palatino Linotype" w:hAnsi="Palatino Linotype" w:cs="Tahoma"/>
          <w:szCs w:val="22"/>
          <w:lang w:val="es-MX"/>
        </w:rPr>
      </w:pPr>
      <w:r>
        <w:rPr>
          <w:rFonts w:ascii="Palatino Linotype" w:hAnsi="Palatino Linotype" w:cs="Tahoma"/>
          <w:b/>
          <w:i/>
          <w:szCs w:val="22"/>
        </w:rPr>
        <w:t>S67UT.pdf:</w:t>
      </w:r>
      <w:r>
        <w:rPr>
          <w:rFonts w:ascii="Palatino Linotype" w:hAnsi="Palatino Linotype" w:cs="Tahoma"/>
          <w:szCs w:val="22"/>
        </w:rPr>
        <w:t xml:space="preserve"> Consiste en un oficio suscrito por el Jefe de la Unidad Municipal de Acceso a la Información Pública y la Protección de Datos Personales del Sujeto Obligado en el que manifestó lo siguiente:</w:t>
      </w:r>
    </w:p>
    <w:p w14:paraId="6CD341A8" w14:textId="77777777" w:rsidR="00104DE0" w:rsidRDefault="00104DE0" w:rsidP="00104DE0">
      <w:pPr>
        <w:autoSpaceDE w:val="0"/>
        <w:autoSpaceDN w:val="0"/>
        <w:adjustRightInd w:val="0"/>
        <w:spacing w:line="360" w:lineRule="auto"/>
        <w:jc w:val="both"/>
        <w:rPr>
          <w:rFonts w:ascii="Palatino Linotype" w:hAnsi="Palatino Linotype" w:cs="Tahoma"/>
          <w:sz w:val="22"/>
          <w:szCs w:val="22"/>
        </w:rPr>
      </w:pPr>
    </w:p>
    <w:p w14:paraId="7F8AB6C0" w14:textId="77777777" w:rsidR="00104DE0" w:rsidRDefault="00104DE0" w:rsidP="00104DE0">
      <w:pPr>
        <w:autoSpaceDE w:val="0"/>
        <w:autoSpaceDN w:val="0"/>
        <w:adjustRightInd w:val="0"/>
        <w:spacing w:line="360" w:lineRule="auto"/>
        <w:ind w:left="567" w:right="539"/>
        <w:contextualSpacing/>
        <w:jc w:val="both"/>
        <w:rPr>
          <w:rFonts w:ascii="Palatino Linotype" w:hAnsi="Palatino Linotype" w:cs="Tahoma"/>
          <w:i/>
          <w:sz w:val="20"/>
          <w:szCs w:val="22"/>
        </w:rPr>
      </w:pPr>
      <w:r>
        <w:rPr>
          <w:rFonts w:ascii="Palatino Linotype" w:hAnsi="Palatino Linotype" w:cs="Tahoma"/>
          <w:i/>
          <w:szCs w:val="22"/>
        </w:rPr>
        <w:t xml:space="preserve">POR ESTE MEDIO RECIBA UN CORDIAL SALUDO, AL TIEMPO QUE DECLARO  BAJO A ESTE SUJETO OBLIGADO INCOMPETENTE PARCIALMENTE PARA DAR RESPUESTA A SU SOLICITUD EN RAZÓN DE QUE LA INFORMACIÓN SOLICITADA SE ENCUENTRA EN POSESIÓN DE OTRO SUJETO OBLIGADO. </w:t>
      </w:r>
    </w:p>
    <w:p w14:paraId="0791D32C" w14:textId="77777777" w:rsidR="00104DE0" w:rsidRDefault="00104DE0" w:rsidP="00104DE0">
      <w:pPr>
        <w:autoSpaceDE w:val="0"/>
        <w:autoSpaceDN w:val="0"/>
        <w:adjustRightInd w:val="0"/>
        <w:spacing w:line="360" w:lineRule="auto"/>
        <w:ind w:left="567" w:right="539"/>
        <w:contextualSpacing/>
        <w:jc w:val="both"/>
        <w:rPr>
          <w:rFonts w:ascii="Palatino Linotype" w:hAnsi="Palatino Linotype" w:cs="Tahoma"/>
          <w:i/>
          <w:szCs w:val="22"/>
        </w:rPr>
      </w:pPr>
    </w:p>
    <w:p w14:paraId="005EF65C" w14:textId="77777777" w:rsidR="00104DE0" w:rsidRDefault="00104DE0" w:rsidP="00104DE0">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lastRenderedPageBreak/>
        <w:t xml:space="preserve">DE ACUERDO A LO QUE ESTABLECE LA LEY EN EL ARTICULO 167 DE LA LEY DE TRANSPARENCIA Y ACCESO A LA INFORMACIÓN PUBLICA DEL ESTADO DE MÉXICO Y MUNICIPIOS, ESTA UNIDAD DE TRANSPARENCIA ESTA EN LA OBLIGACIÓN DE ORIENTAR PARA QUE PUEDA SUBSANAR SU DERECHO DE ACCESO A LA INFORMACIÓN PÚBLICA. </w:t>
      </w:r>
    </w:p>
    <w:p w14:paraId="561DE3D0" w14:textId="77777777" w:rsidR="00104DE0" w:rsidRDefault="00104DE0" w:rsidP="00104DE0">
      <w:pPr>
        <w:autoSpaceDE w:val="0"/>
        <w:autoSpaceDN w:val="0"/>
        <w:adjustRightInd w:val="0"/>
        <w:spacing w:line="360" w:lineRule="auto"/>
        <w:ind w:left="567" w:right="539"/>
        <w:contextualSpacing/>
        <w:jc w:val="both"/>
        <w:rPr>
          <w:rFonts w:ascii="Palatino Linotype" w:hAnsi="Palatino Linotype" w:cs="Tahoma"/>
          <w:i/>
          <w:szCs w:val="22"/>
        </w:rPr>
      </w:pPr>
    </w:p>
    <w:p w14:paraId="53B98BD6" w14:textId="77777777" w:rsidR="00104DE0" w:rsidRDefault="00104DE0" w:rsidP="00104DE0">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POR LO QUE LE RECOMENDAMOS REDIRIGIR SU SOLICITUD A LA DIRECCIÓN DE PROTECCIÓN DE DATOS PERSONALES DEL INFOEM, DEPENDENCIA QUE RESGUARDA EL EXPEDIENTE DESRCITO EN SU SOLICITUD DE INFORMACIÓN. POR OTRA PARTE, ESTA UNIDAD DE TRANSPARENCIA LE ENTREGA LOS INFORMES DE CUMPLIMIENTO EN POSESIÓN E ESTE SUJETO OBLIGADO DERIVADO DE LA INVESTIGACIÓN REALIZADA DERIVADA POR DENUNCIAS REALIZADAS Y DETERMINADAS POR DICHA DEPENDENCIA A ESTE SUJETO OBLIGADO.</w:t>
      </w:r>
    </w:p>
    <w:p w14:paraId="103680D7" w14:textId="77777777" w:rsidR="00104DE0" w:rsidRDefault="00104DE0" w:rsidP="00104DE0">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w:t>
      </w:r>
    </w:p>
    <w:p w14:paraId="15F96165" w14:textId="77777777" w:rsidR="00104DE0" w:rsidRDefault="00104DE0" w:rsidP="00104DE0">
      <w:pPr>
        <w:autoSpaceDE w:val="0"/>
        <w:autoSpaceDN w:val="0"/>
        <w:adjustRightInd w:val="0"/>
        <w:spacing w:line="360" w:lineRule="auto"/>
        <w:jc w:val="both"/>
        <w:rPr>
          <w:rFonts w:ascii="Palatino Linotype" w:hAnsi="Palatino Linotype" w:cs="Tahoma"/>
          <w:sz w:val="22"/>
          <w:szCs w:val="22"/>
        </w:rPr>
      </w:pPr>
    </w:p>
    <w:p w14:paraId="1B1A1664" w14:textId="77777777" w:rsidR="00104DE0" w:rsidRDefault="00104DE0" w:rsidP="00104DE0">
      <w:pPr>
        <w:pStyle w:val="Prrafodelista"/>
        <w:numPr>
          <w:ilvl w:val="0"/>
          <w:numId w:val="48"/>
        </w:num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
          <w:i/>
          <w:szCs w:val="22"/>
        </w:rPr>
        <w:t>S67 CONTRALORIA.pdf</w:t>
      </w:r>
      <w:r>
        <w:rPr>
          <w:rFonts w:ascii="Palatino Linotype" w:hAnsi="Palatino Linotype" w:cs="Tahoma"/>
          <w:szCs w:val="22"/>
        </w:rPr>
        <w:t>: Corresponde a un oficio suscrito por la Contralora Municipal del Sujeto Obligado en el que señaló lo siguiente:</w:t>
      </w:r>
    </w:p>
    <w:p w14:paraId="52D9C4BB" w14:textId="77777777" w:rsidR="00104DE0" w:rsidRDefault="00104DE0" w:rsidP="00104DE0">
      <w:pPr>
        <w:autoSpaceDE w:val="0"/>
        <w:autoSpaceDN w:val="0"/>
        <w:adjustRightInd w:val="0"/>
        <w:spacing w:line="360" w:lineRule="auto"/>
        <w:jc w:val="both"/>
        <w:rPr>
          <w:rFonts w:ascii="Palatino Linotype" w:hAnsi="Palatino Linotype" w:cs="Tahoma"/>
          <w:sz w:val="22"/>
          <w:szCs w:val="22"/>
        </w:rPr>
      </w:pPr>
    </w:p>
    <w:p w14:paraId="075D21F0" w14:textId="77777777" w:rsidR="00104DE0" w:rsidRDefault="00104DE0" w:rsidP="00104DE0">
      <w:pPr>
        <w:autoSpaceDE w:val="0"/>
        <w:autoSpaceDN w:val="0"/>
        <w:adjustRightInd w:val="0"/>
        <w:spacing w:line="360" w:lineRule="auto"/>
        <w:ind w:left="567" w:right="539"/>
        <w:contextualSpacing/>
        <w:jc w:val="both"/>
        <w:rPr>
          <w:rFonts w:ascii="Palatino Linotype" w:hAnsi="Palatino Linotype" w:cs="Tahoma"/>
          <w:i/>
          <w:sz w:val="20"/>
          <w:szCs w:val="22"/>
        </w:rPr>
      </w:pPr>
      <w:r>
        <w:rPr>
          <w:rFonts w:ascii="Palatino Linotype" w:hAnsi="Palatino Linotype" w:cs="Tahoma"/>
          <w:i/>
          <w:szCs w:val="22"/>
        </w:rPr>
        <w:t>“…</w:t>
      </w:r>
    </w:p>
    <w:p w14:paraId="1AEBAC29" w14:textId="77777777" w:rsidR="00104DE0" w:rsidRDefault="00104DE0" w:rsidP="00104DE0">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lastRenderedPageBreak/>
        <w:t xml:space="preserve">Anticipándole un afectuoso saludo, al mismo tiempo, en atención a la solicitud con folio </w:t>
      </w:r>
      <w:r>
        <w:rPr>
          <w:rFonts w:ascii="Palatino Linotype" w:hAnsi="Palatino Linotype" w:cs="Tahoma"/>
          <w:b/>
          <w:i/>
          <w:szCs w:val="22"/>
        </w:rPr>
        <w:t>00067/TULTITLA/IP/2023</w:t>
      </w:r>
      <w:r>
        <w:rPr>
          <w:rFonts w:ascii="Palatino Linotype" w:hAnsi="Palatino Linotype" w:cs="Tahoma"/>
          <w:i/>
          <w:szCs w:val="22"/>
        </w:rPr>
        <w:t>, informo a Usted que no obra en los archivos de esta Contraloría Municipal, el expediente INFOEM/DGPDP/PI//07/2022.</w:t>
      </w:r>
    </w:p>
    <w:p w14:paraId="5E386EAB" w14:textId="77777777" w:rsidR="00104DE0" w:rsidRDefault="00104DE0" w:rsidP="00104DE0">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w:t>
      </w:r>
    </w:p>
    <w:p w14:paraId="35FA84CB" w14:textId="77777777" w:rsidR="00104DE0" w:rsidRDefault="00104DE0" w:rsidP="00104DE0">
      <w:pPr>
        <w:autoSpaceDE w:val="0"/>
        <w:autoSpaceDN w:val="0"/>
        <w:adjustRightInd w:val="0"/>
        <w:spacing w:line="360" w:lineRule="auto"/>
        <w:jc w:val="both"/>
        <w:rPr>
          <w:rFonts w:ascii="Palatino Linotype" w:hAnsi="Palatino Linotype" w:cs="Tahoma"/>
          <w:sz w:val="22"/>
          <w:szCs w:val="22"/>
        </w:rPr>
      </w:pPr>
    </w:p>
    <w:p w14:paraId="66C51E16" w14:textId="77777777" w:rsidR="00104DE0" w:rsidRDefault="00104DE0" w:rsidP="00104DE0">
      <w:pPr>
        <w:pStyle w:val="Prrafodelista"/>
        <w:numPr>
          <w:ilvl w:val="0"/>
          <w:numId w:val="48"/>
        </w:num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i/>
          <w:szCs w:val="22"/>
        </w:rPr>
        <w:t>Oficiodecumplimiento465.2022 (1).</w:t>
      </w:r>
      <w:proofErr w:type="spellStart"/>
      <w:r>
        <w:rPr>
          <w:rFonts w:ascii="Palatino Linotype" w:hAnsi="Palatino Linotype" w:cs="Tahoma"/>
          <w:b/>
          <w:i/>
          <w:szCs w:val="22"/>
        </w:rPr>
        <w:t>pdf</w:t>
      </w:r>
      <w:proofErr w:type="spellEnd"/>
      <w:r>
        <w:rPr>
          <w:rFonts w:ascii="Palatino Linotype" w:hAnsi="Palatino Linotype" w:cs="Tahoma"/>
          <w:b/>
          <w:i/>
          <w:szCs w:val="22"/>
        </w:rPr>
        <w:t>, Acuerdodecumplimiento.PV.24.2022.pdf:</w:t>
      </w:r>
      <w:r>
        <w:rPr>
          <w:rFonts w:ascii="Palatino Linotype" w:hAnsi="Palatino Linotype" w:cs="Tahoma"/>
          <w:szCs w:val="22"/>
        </w:rPr>
        <w:t xml:space="preserve"> Los presentes archivos corresponden al cumplimiento que le fue notificado al Sujeto Obligado por parte del Director General de Protección de Datos Personales e este Instituto pero del expediente </w:t>
      </w:r>
      <w:r>
        <w:rPr>
          <w:rFonts w:ascii="Palatino Linotype" w:hAnsi="Palatino Linotype" w:cs="Tahoma"/>
          <w:b/>
          <w:szCs w:val="22"/>
        </w:rPr>
        <w:t>INFOEM/DGPDP/PV/24/2022</w:t>
      </w:r>
    </w:p>
    <w:p w14:paraId="7563DCAB" w14:textId="77777777" w:rsidR="003B138A" w:rsidRDefault="003B138A" w:rsidP="003B138A">
      <w:pPr>
        <w:spacing w:line="360" w:lineRule="auto"/>
        <w:ind w:right="-234"/>
        <w:jc w:val="both"/>
        <w:rPr>
          <w:rFonts w:ascii="Palatino Linotype" w:eastAsia="Palatino Linotype" w:hAnsi="Palatino Linotype" w:cs="Palatino Linotype"/>
        </w:rPr>
      </w:pPr>
    </w:p>
    <w:p w14:paraId="1315874E" w14:textId="77777777" w:rsidR="003B138A" w:rsidRDefault="003B138A" w:rsidP="003B138A">
      <w:pPr>
        <w:spacing w:line="360" w:lineRule="auto"/>
        <w:ind w:right="-234"/>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respuesta,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interpuso el recurso de revisión,  en el cual manifestó, lo siguiente:</w:t>
      </w:r>
    </w:p>
    <w:p w14:paraId="3BF4867D" w14:textId="77777777" w:rsidR="003B138A" w:rsidRDefault="003B138A" w:rsidP="003B138A">
      <w:pPr>
        <w:spacing w:line="360" w:lineRule="auto"/>
        <w:ind w:right="-234"/>
        <w:jc w:val="both"/>
        <w:rPr>
          <w:rFonts w:ascii="Palatino Linotype" w:eastAsia="Palatino Linotype" w:hAnsi="Palatino Linotype" w:cs="Palatino Linotype"/>
        </w:rPr>
      </w:pPr>
    </w:p>
    <w:p w14:paraId="2B1B4264" w14:textId="77777777" w:rsidR="00104DE0" w:rsidRDefault="00104DE0" w:rsidP="00104DE0">
      <w:pPr>
        <w:spacing w:line="360" w:lineRule="auto"/>
        <w:ind w:left="567" w:right="539"/>
        <w:contextualSpacing/>
        <w:jc w:val="both"/>
        <w:rPr>
          <w:rFonts w:ascii="Palatino Linotype" w:hAnsi="Palatino Linotype" w:cs="Tahoma"/>
          <w:b/>
          <w:bCs/>
          <w:szCs w:val="22"/>
          <w:lang w:val="es-MX"/>
        </w:rPr>
      </w:pPr>
      <w:r>
        <w:rPr>
          <w:rFonts w:ascii="Palatino Linotype" w:hAnsi="Palatino Linotype" w:cs="Tahoma"/>
          <w:b/>
          <w:bCs/>
          <w:szCs w:val="22"/>
        </w:rPr>
        <w:t>ACTO IMPUGNADO</w:t>
      </w:r>
    </w:p>
    <w:p w14:paraId="4FCEBD36" w14:textId="77777777" w:rsidR="00104DE0" w:rsidRDefault="00104DE0" w:rsidP="00104DE0">
      <w:pPr>
        <w:spacing w:line="360" w:lineRule="auto"/>
        <w:ind w:left="567" w:right="539"/>
        <w:contextualSpacing/>
        <w:jc w:val="both"/>
        <w:rPr>
          <w:rFonts w:ascii="Palatino Linotype" w:hAnsi="Palatino Linotype" w:cs="Tahoma"/>
          <w:bCs/>
          <w:i/>
          <w:szCs w:val="22"/>
        </w:rPr>
      </w:pPr>
      <w:r>
        <w:rPr>
          <w:rFonts w:ascii="Palatino Linotype" w:hAnsi="Palatino Linotype" w:cs="Tahoma"/>
          <w:bCs/>
          <w:i/>
          <w:szCs w:val="22"/>
        </w:rPr>
        <w:t>“NO SE DIO RESPUESTA A LA INFORMACIÓN SOLICITADA EN NINGUNO DE LOS OFICIOS RECIBIDOS" (Sic)</w:t>
      </w:r>
    </w:p>
    <w:p w14:paraId="493D9403" w14:textId="77777777" w:rsidR="00104DE0" w:rsidRDefault="00104DE0" w:rsidP="00104DE0">
      <w:pPr>
        <w:spacing w:line="360" w:lineRule="auto"/>
        <w:ind w:left="567" w:right="539"/>
        <w:contextualSpacing/>
        <w:jc w:val="both"/>
        <w:rPr>
          <w:rFonts w:ascii="Palatino Linotype" w:hAnsi="Palatino Linotype" w:cs="Tahoma"/>
          <w:bCs/>
          <w:i/>
          <w:szCs w:val="22"/>
        </w:rPr>
      </w:pPr>
    </w:p>
    <w:p w14:paraId="5A64174C" w14:textId="77777777" w:rsidR="00104DE0" w:rsidRDefault="00104DE0" w:rsidP="00104DE0">
      <w:pPr>
        <w:spacing w:line="360" w:lineRule="auto"/>
        <w:ind w:left="567" w:right="539"/>
        <w:contextualSpacing/>
        <w:jc w:val="both"/>
        <w:rPr>
          <w:rFonts w:ascii="Palatino Linotype" w:hAnsi="Palatino Linotype" w:cs="Tahoma"/>
          <w:b/>
          <w:bCs/>
          <w:szCs w:val="22"/>
        </w:rPr>
      </w:pPr>
      <w:r>
        <w:rPr>
          <w:rFonts w:ascii="Palatino Linotype" w:hAnsi="Palatino Linotype" w:cs="Tahoma"/>
          <w:b/>
          <w:bCs/>
          <w:szCs w:val="22"/>
        </w:rPr>
        <w:t>RAZONES O MOTIVOS DE LA INCONFORMIDAD</w:t>
      </w:r>
    </w:p>
    <w:p w14:paraId="4CDEA124" w14:textId="77777777" w:rsidR="00104DE0" w:rsidRDefault="00104DE0" w:rsidP="00104DE0">
      <w:pPr>
        <w:spacing w:line="360" w:lineRule="auto"/>
        <w:ind w:left="567" w:right="539"/>
        <w:contextualSpacing/>
        <w:jc w:val="both"/>
        <w:rPr>
          <w:rFonts w:ascii="Palatino Linotype" w:hAnsi="Palatino Linotype" w:cs="Tahoma"/>
          <w:bCs/>
          <w:i/>
          <w:szCs w:val="22"/>
        </w:rPr>
      </w:pPr>
      <w:r>
        <w:rPr>
          <w:rFonts w:ascii="Palatino Linotype" w:hAnsi="Palatino Linotype" w:cs="Tahoma"/>
          <w:bCs/>
          <w:i/>
          <w:szCs w:val="22"/>
        </w:rPr>
        <w:t xml:space="preserve">“EN LA INFORMACIÓN ENTREGADA EN ESTA PLATAFORMA NO SE ESPECIFICAN LAS SANCIONES AL DIRECTOR DE DESARROLLO ECONÓMICO, JOSE MANUEL BONILLA ALEGRÍA, ASÍ COMO LA JEFA </w:t>
      </w:r>
      <w:r>
        <w:rPr>
          <w:rFonts w:ascii="Palatino Linotype" w:hAnsi="Palatino Linotype" w:cs="Tahoma"/>
          <w:bCs/>
          <w:i/>
          <w:szCs w:val="22"/>
        </w:rPr>
        <w:lastRenderedPageBreak/>
        <w:t xml:space="preserve">DE NORMATIVIDAD DEL COMERCIO EN VÍA PÚBLICA, MARTA ANGELICA MARTÍNEZ TORRES POR VIOLACIÓN DEL CÓDIGO DE ÉTICA POR FILTRACIÓN DE INFORMACIÓN DE SOLICITUDES DE INFORMACIÓN EN INFOEM EN MI CASO. </w:t>
      </w:r>
      <w:bookmarkStart w:id="1" w:name="_Hlk151472417"/>
      <w:r>
        <w:rPr>
          <w:rFonts w:ascii="Palatino Linotype" w:hAnsi="Palatino Linotype" w:cs="Tahoma"/>
          <w:bCs/>
          <w:i/>
          <w:szCs w:val="22"/>
        </w:rPr>
        <w:t>TAMPOCO SE ME RESPONDE DELPOSIBLE CASO DE NEPOTISMO DEL TITULAR DE LA CONTRALORÍA, EDNA MARTÍNEZ TORRES, Y DEL POSIBLE CONFLICTO DE INTERÉS CON SU HERMANA COMO ENCUBRIMIENTO POR POSIBLES ACTOS DE CORRUPCIÓN Y VIOLACIÓN DEL CÓDIGO DE ÉTICA DE LOS SERVIDORES PÚBLICOS EN EL GOBIERNO MUNICIPAL DE TULTITLÁN</w:t>
      </w:r>
      <w:bookmarkEnd w:id="1"/>
      <w:r>
        <w:rPr>
          <w:rFonts w:ascii="Palatino Linotype" w:hAnsi="Palatino Linotype" w:cs="Tahoma"/>
          <w:bCs/>
          <w:i/>
          <w:szCs w:val="22"/>
        </w:rPr>
        <w:t>.</w:t>
      </w:r>
    </w:p>
    <w:p w14:paraId="13D8B673" w14:textId="77777777" w:rsidR="00104DE0" w:rsidRDefault="00104DE0" w:rsidP="00104DE0">
      <w:pPr>
        <w:spacing w:line="360" w:lineRule="auto"/>
        <w:ind w:left="567" w:right="539"/>
        <w:contextualSpacing/>
        <w:jc w:val="both"/>
        <w:rPr>
          <w:rFonts w:ascii="Palatino Linotype" w:hAnsi="Palatino Linotype" w:cs="Tahoma"/>
          <w:bCs/>
          <w:szCs w:val="22"/>
        </w:rPr>
      </w:pPr>
    </w:p>
    <w:p w14:paraId="7BDC217B" w14:textId="77777777" w:rsidR="00104DE0" w:rsidRDefault="00104DE0" w:rsidP="00104DE0">
      <w:pPr>
        <w:spacing w:line="360" w:lineRule="auto"/>
        <w:jc w:val="both"/>
        <w:rPr>
          <w:rFonts w:ascii="Palatino Linotype" w:hAnsi="Palatino Linotype" w:cs="Tahoma"/>
          <w:sz w:val="22"/>
          <w:szCs w:val="22"/>
        </w:rPr>
      </w:pPr>
      <w:r>
        <w:rPr>
          <w:rFonts w:ascii="Palatino Linotype" w:hAnsi="Palatino Linotype" w:cs="Tahoma"/>
          <w:sz w:val="22"/>
          <w:szCs w:val="22"/>
        </w:rPr>
        <w:t>El Particular adjuntó el acuerdo de radicación por medio del cual se formó el expediente mencionado en su solicitud.</w:t>
      </w:r>
    </w:p>
    <w:p w14:paraId="08C426F4" w14:textId="77777777" w:rsidR="00104DE0" w:rsidRDefault="00104DE0" w:rsidP="00104DE0">
      <w:pPr>
        <w:spacing w:line="360" w:lineRule="auto"/>
        <w:jc w:val="both"/>
        <w:rPr>
          <w:rFonts w:ascii="Palatino Linotype" w:hAnsi="Palatino Linotype" w:cs="Tahoma"/>
          <w:sz w:val="22"/>
          <w:szCs w:val="22"/>
        </w:rPr>
      </w:pPr>
    </w:p>
    <w:p w14:paraId="1343BCF1" w14:textId="68172585" w:rsidR="00104DE0" w:rsidRDefault="003B138A" w:rsidP="00104DE0">
      <w:pPr>
        <w:tabs>
          <w:tab w:val="left" w:pos="7938"/>
        </w:tabs>
        <w:spacing w:line="360" w:lineRule="auto"/>
        <w:ind w:right="-93"/>
        <w:contextualSpacing/>
        <w:jc w:val="both"/>
        <w:rPr>
          <w:rFonts w:ascii="Palatino Linotype" w:hAnsi="Palatino Linotype" w:cs="Arial"/>
          <w:sz w:val="22"/>
          <w:szCs w:val="22"/>
        </w:rPr>
      </w:pPr>
      <w:r>
        <w:rPr>
          <w:rFonts w:ascii="Palatino Linotype" w:eastAsia="Palatino Linotype" w:hAnsi="Palatino Linotype" w:cs="Palatino Linotype"/>
        </w:rPr>
        <w:t>Previo estudio,</w:t>
      </w:r>
      <w:r>
        <w:rPr>
          <w:rFonts w:ascii="Palatino Linotype" w:eastAsia="Palatino Linotype" w:hAnsi="Palatino Linotype" w:cs="Palatino Linotype"/>
          <w:b/>
        </w:rPr>
        <w:t xml:space="preserve"> </w:t>
      </w:r>
      <w:r>
        <w:rPr>
          <w:rFonts w:ascii="Palatino Linotype" w:eastAsia="Palatino Linotype" w:hAnsi="Palatino Linotype" w:cs="Palatino Linotype"/>
        </w:rPr>
        <w:t>la resolución determina</w:t>
      </w:r>
      <w:r>
        <w:rPr>
          <w:rFonts w:ascii="Palatino Linotype" w:eastAsia="Palatino Linotype" w:hAnsi="Palatino Linotype" w:cs="Palatino Linotype"/>
          <w:b/>
        </w:rPr>
        <w:t xml:space="preserve"> REVOCAR</w:t>
      </w:r>
      <w:r>
        <w:rPr>
          <w:rFonts w:ascii="Palatino Linotype" w:eastAsia="Palatino Linotype" w:hAnsi="Palatino Linotype" w:cs="Palatino Linotype"/>
        </w:rPr>
        <w:t xml:space="preserve"> la respuesta emitida por el </w:t>
      </w:r>
      <w:r w:rsidR="00104DE0">
        <w:rPr>
          <w:rFonts w:ascii="Palatino Linotype" w:eastAsia="Calibri" w:hAnsi="Palatino Linotype" w:cs="Tahoma"/>
          <w:b/>
          <w:bCs/>
          <w:sz w:val="22"/>
          <w:szCs w:val="22"/>
          <w:lang w:eastAsia="en-US"/>
        </w:rPr>
        <w:t xml:space="preserve">Ayuntamiento de Tultitlán </w:t>
      </w:r>
      <w:r>
        <w:rPr>
          <w:rFonts w:ascii="Palatino Linotype" w:eastAsia="Palatino Linotype" w:hAnsi="Palatino Linotype" w:cs="Palatino Linotype"/>
        </w:rPr>
        <w:t xml:space="preserve">y se </w:t>
      </w:r>
      <w:r>
        <w:rPr>
          <w:rFonts w:ascii="Palatino Linotype" w:eastAsia="Palatino Linotype" w:hAnsi="Palatino Linotype" w:cs="Palatino Linotype"/>
          <w:b/>
        </w:rPr>
        <w:t>ORDENA</w:t>
      </w:r>
      <w:r w:rsidR="00104DE0">
        <w:rPr>
          <w:rFonts w:ascii="Palatino Linotype" w:hAnsi="Palatino Linotype" w:cs="Tahoma"/>
          <w:sz w:val="22"/>
          <w:szCs w:val="22"/>
        </w:rPr>
        <w:t>, a efecto de que, previa búsqueda exhaustiva y razonable en los archivos de sus áreas competentes, remita</w:t>
      </w:r>
      <w:r w:rsidR="00104DE0">
        <w:rPr>
          <w:rFonts w:ascii="Palatino Linotype" w:hAnsi="Palatino Linotype" w:cs="Tahoma"/>
          <w:bCs/>
          <w:iCs/>
          <w:sz w:val="22"/>
          <w:szCs w:val="22"/>
          <w:lang w:val="es-ES_tradnl"/>
        </w:rPr>
        <w:t>, a través del Sistema de Acceso a la Información Mexiquense (SAIMEX)</w:t>
      </w:r>
      <w:r w:rsidR="00104DE0">
        <w:rPr>
          <w:rFonts w:ascii="Palatino Linotype" w:hAnsi="Palatino Linotype" w:cs="Arial"/>
          <w:sz w:val="22"/>
          <w:szCs w:val="22"/>
        </w:rPr>
        <w:t>, de ser procedente en versión pública, el expediente concluido</w:t>
      </w:r>
      <w:r w:rsidR="00104DE0">
        <w:rPr>
          <w:rFonts w:ascii="Palatino Linotype" w:hAnsi="Palatino Linotype"/>
          <w:sz w:val="22"/>
          <w:szCs w:val="22"/>
        </w:rPr>
        <w:t xml:space="preserve"> al </w:t>
      </w:r>
      <w:r w:rsidR="00104DE0">
        <w:rPr>
          <w:rFonts w:ascii="Palatino Linotype" w:hAnsi="Palatino Linotype" w:cs="Arial"/>
          <w:sz w:val="22"/>
          <w:szCs w:val="22"/>
        </w:rPr>
        <w:t>veintitrés de marzo de dos mil veintitrés, generado por la Contraloría Municipal derivado de la notificación de la determinación de la Dirección General de Protección de Datos Personales de este Instituto, dentro del expediente INFOEM/DGPDP/PI/107/2022.</w:t>
      </w:r>
    </w:p>
    <w:p w14:paraId="28B4292B" w14:textId="77777777" w:rsidR="00104DE0" w:rsidRDefault="00104DE0" w:rsidP="00104DE0">
      <w:pPr>
        <w:tabs>
          <w:tab w:val="left" w:pos="7938"/>
        </w:tabs>
        <w:spacing w:line="360" w:lineRule="auto"/>
        <w:ind w:right="-93"/>
        <w:contextualSpacing/>
        <w:jc w:val="both"/>
        <w:rPr>
          <w:rFonts w:ascii="Palatino Linotype" w:hAnsi="Palatino Linotype" w:cs="Arial"/>
          <w:sz w:val="22"/>
          <w:szCs w:val="22"/>
        </w:rPr>
      </w:pPr>
    </w:p>
    <w:p w14:paraId="229C1244" w14:textId="77777777" w:rsidR="00104DE0" w:rsidRDefault="00104DE0" w:rsidP="00104DE0">
      <w:pPr>
        <w:tabs>
          <w:tab w:val="left" w:pos="7938"/>
        </w:tabs>
        <w:spacing w:line="360" w:lineRule="auto"/>
        <w:ind w:right="-93"/>
        <w:contextualSpacing/>
        <w:jc w:val="both"/>
        <w:rPr>
          <w:rFonts w:ascii="Palatino Linotype" w:hAnsi="Palatino Linotype" w:cs="Arial"/>
          <w:sz w:val="22"/>
          <w:szCs w:val="22"/>
        </w:rPr>
      </w:pPr>
      <w:r>
        <w:rPr>
          <w:rFonts w:ascii="Palatino Linotype" w:hAnsi="Palatino Linotype" w:cs="Arial"/>
          <w:sz w:val="22"/>
          <w:szCs w:val="22"/>
        </w:rPr>
        <w:lastRenderedPageBreak/>
        <w:t>Para el caso de que al veintitrés de marzo de dos mil veintitrés, el expediente que se ordena entregar no se encuentre concluido, el Sujeto Obligado deberá hacer entrega del acuerdo de clasificación emitido por el Comité de Transparencia, en donde de manera fundada y motivada, confirme la clasificación como reservada de la totalidad del expediente, en términos del artículo 140, fracción VIII, de la Ley de Transparencia y Acceso a la Información Pública del Estado de México y Municipios.</w:t>
      </w:r>
    </w:p>
    <w:p w14:paraId="587584A8" w14:textId="77777777" w:rsidR="00104DE0" w:rsidRDefault="00104DE0" w:rsidP="00104DE0">
      <w:pPr>
        <w:spacing w:line="360" w:lineRule="auto"/>
        <w:ind w:right="-93"/>
        <w:contextualSpacing/>
        <w:jc w:val="both"/>
        <w:rPr>
          <w:rFonts w:ascii="Palatino Linotype" w:hAnsi="Palatino Linotype" w:cs="Arial"/>
          <w:sz w:val="22"/>
          <w:szCs w:val="22"/>
        </w:rPr>
      </w:pPr>
    </w:p>
    <w:p w14:paraId="56E30A70" w14:textId="73D75873" w:rsidR="00104DE0" w:rsidRPr="00EC7D32" w:rsidRDefault="00187962" w:rsidP="00104DE0">
      <w:pPr>
        <w:spacing w:line="360" w:lineRule="auto"/>
        <w:jc w:val="both"/>
        <w:rPr>
          <w:rFonts w:ascii="Palatino Linotype" w:eastAsia="Calibri" w:hAnsi="Palatino Linotype" w:cs="Tahoma"/>
          <w:bCs/>
          <w:iCs/>
          <w:sz w:val="22"/>
          <w:szCs w:val="22"/>
          <w:lang w:eastAsia="en-US"/>
        </w:rPr>
      </w:pPr>
      <w:r w:rsidRPr="00EE3BE9">
        <w:rPr>
          <w:rFonts w:ascii="Palatino Linotype" w:eastAsia="Palatino Linotype" w:hAnsi="Palatino Linotype" w:cs="Palatino Linotype"/>
        </w:rPr>
        <w:t>En ese sentido, dentro del estudio se i</w:t>
      </w:r>
      <w:r w:rsidR="00FA79C9">
        <w:rPr>
          <w:rFonts w:ascii="Palatino Linotype" w:eastAsia="Palatino Linotype" w:hAnsi="Palatino Linotype" w:cs="Palatino Linotype"/>
        </w:rPr>
        <w:t>ndica  que</w:t>
      </w:r>
      <w:r w:rsidR="00FA79C9" w:rsidRPr="00FA79C9">
        <w:rPr>
          <w:rFonts w:ascii="Palatino Linotype" w:hAnsi="Palatino Linotype"/>
        </w:rPr>
        <w:t xml:space="preserve">, </w:t>
      </w:r>
      <w:r w:rsidR="00104DE0">
        <w:rPr>
          <w:rFonts w:ascii="Palatino Linotype" w:eastAsia="Calibri" w:hAnsi="Palatino Linotype" w:cs="Tahoma"/>
          <w:bCs/>
          <w:iCs/>
          <w:sz w:val="22"/>
          <w:szCs w:val="22"/>
          <w:lang w:eastAsia="en-US"/>
        </w:rPr>
        <w:t xml:space="preserve">proporcionar el nombre de un servidor público que haya sido absuelto, podría generar una percepción negativa del servidor público, pues si bien, no se le sancionó, lo cierto es que daría a conocer que fue investigada por la </w:t>
      </w:r>
      <w:r w:rsidR="00104DE0" w:rsidRPr="00EC7D32">
        <w:rPr>
          <w:rFonts w:ascii="Palatino Linotype" w:eastAsia="Calibri" w:hAnsi="Palatino Linotype" w:cs="Tahoma"/>
          <w:bCs/>
          <w:iCs/>
          <w:sz w:val="22"/>
          <w:szCs w:val="22"/>
          <w:lang w:eastAsia="en-US"/>
        </w:rPr>
        <w:t>Contraloría, lo cual podría afectar su honor, intimidad, buena imagen y nombre, así como a su vida privada.</w:t>
      </w:r>
    </w:p>
    <w:p w14:paraId="5F144F17" w14:textId="77777777" w:rsidR="00104DE0" w:rsidRPr="00EC7D32" w:rsidRDefault="00104DE0" w:rsidP="00104DE0">
      <w:pPr>
        <w:spacing w:line="360" w:lineRule="auto"/>
        <w:jc w:val="both"/>
        <w:rPr>
          <w:rFonts w:ascii="Palatino Linotype" w:eastAsia="Calibri" w:hAnsi="Palatino Linotype" w:cs="Tahoma"/>
          <w:bCs/>
          <w:iCs/>
          <w:sz w:val="22"/>
          <w:szCs w:val="22"/>
          <w:lang w:eastAsia="en-US"/>
        </w:rPr>
      </w:pPr>
    </w:p>
    <w:p w14:paraId="292B0E7B" w14:textId="77777777" w:rsidR="00104DE0" w:rsidRPr="00EC7D32" w:rsidRDefault="00104DE0" w:rsidP="00104DE0">
      <w:pPr>
        <w:spacing w:line="360" w:lineRule="auto"/>
        <w:jc w:val="both"/>
        <w:rPr>
          <w:rFonts w:ascii="Palatino Linotype" w:eastAsia="Calibri" w:hAnsi="Palatino Linotype" w:cs="Tahoma"/>
          <w:bCs/>
          <w:iCs/>
          <w:sz w:val="22"/>
          <w:szCs w:val="22"/>
          <w:lang w:val="es-MX" w:eastAsia="en-US"/>
        </w:rPr>
      </w:pPr>
      <w:r w:rsidRPr="00EC7D32">
        <w:rPr>
          <w:rFonts w:ascii="Palatino Linotype" w:eastAsia="Calibri" w:hAnsi="Palatino Linotype" w:cs="Tahoma"/>
          <w:bCs/>
          <w:iCs/>
          <w:sz w:val="22"/>
          <w:szCs w:val="22"/>
          <w:lang w:eastAsia="en-US"/>
        </w:rPr>
        <w:t>Por lo que, en su caso, resulta procedente la clasificación en términos del artículo 143, fracción I, de la Ley de Transparencia y Acceso a la Información Pública del Estado de México y Municipios, del nombre de servidores públicos en procedimiento de responsabilidad administrativa concluido absolutorio, instaurado en contra del servidor público.</w:t>
      </w:r>
    </w:p>
    <w:p w14:paraId="7626F97A" w14:textId="545EE0CD" w:rsidR="00FA79C9" w:rsidRPr="00EC7D32" w:rsidRDefault="00FA79C9" w:rsidP="00104DE0">
      <w:pPr>
        <w:tabs>
          <w:tab w:val="left" w:pos="709"/>
        </w:tabs>
        <w:spacing w:line="360" w:lineRule="auto"/>
        <w:jc w:val="both"/>
        <w:rPr>
          <w:rFonts w:ascii="Palatino Linotype" w:hAnsi="Palatino Linotype"/>
        </w:rPr>
      </w:pPr>
    </w:p>
    <w:p w14:paraId="503DACBD" w14:textId="630A4F30" w:rsidR="00FA79C9" w:rsidRPr="00FA79C9" w:rsidRDefault="00FA79C9" w:rsidP="00FA79C9">
      <w:pPr>
        <w:tabs>
          <w:tab w:val="left" w:pos="709"/>
        </w:tabs>
        <w:spacing w:line="360" w:lineRule="auto"/>
        <w:jc w:val="both"/>
        <w:rPr>
          <w:rFonts w:ascii="Palatino Linotype" w:hAnsi="Palatino Linotype"/>
        </w:rPr>
      </w:pPr>
      <w:r w:rsidRPr="00FA79C9">
        <w:rPr>
          <w:rFonts w:ascii="Palatino Linotype" w:hAnsi="Palatino Linotype"/>
        </w:rPr>
        <w:t xml:space="preserve">Al respecto, </w:t>
      </w:r>
      <w:r w:rsidR="00FE71A1">
        <w:rPr>
          <w:rFonts w:ascii="Palatino Linotype" w:hAnsi="Palatino Linotype"/>
        </w:rPr>
        <w:t xml:space="preserve"> se citó el siguiente Criterio de </w:t>
      </w:r>
      <w:r w:rsidRPr="00FA79C9">
        <w:rPr>
          <w:rFonts w:ascii="Palatino Linotype" w:hAnsi="Palatino Linotype"/>
        </w:rPr>
        <w:t xml:space="preserve">la Suprema Corte de Justicia de la Nación </w:t>
      </w:r>
      <w:r w:rsidR="00FE71A1">
        <w:rPr>
          <w:rFonts w:ascii="Palatino Linotype" w:hAnsi="Palatino Linotype"/>
        </w:rPr>
        <w:t xml:space="preserve">que </w:t>
      </w:r>
      <w:r w:rsidRPr="00FA79C9">
        <w:rPr>
          <w:rFonts w:ascii="Palatino Linotype" w:hAnsi="Palatino Linotype"/>
        </w:rPr>
        <w:t>reconoc</w:t>
      </w:r>
      <w:r w:rsidR="00FE71A1">
        <w:rPr>
          <w:rFonts w:ascii="Palatino Linotype" w:hAnsi="Palatino Linotype"/>
        </w:rPr>
        <w:t>e</w:t>
      </w:r>
      <w:r w:rsidRPr="00FA79C9">
        <w:rPr>
          <w:rFonts w:ascii="Palatino Linotype" w:hAnsi="Palatino Linotype"/>
        </w:rPr>
        <w:t xml:space="preserve"> como derechos fundamentales de las personas, el derecho a la intimidad y a la propia imagen, </w:t>
      </w:r>
      <w:r w:rsidR="00FE71A1">
        <w:rPr>
          <w:rFonts w:ascii="Palatino Linotype" w:hAnsi="Palatino Linotype"/>
        </w:rPr>
        <w:t>como se observa</w:t>
      </w:r>
      <w:r w:rsidRPr="00FA79C9">
        <w:rPr>
          <w:rFonts w:ascii="Palatino Linotype" w:hAnsi="Palatino Linotype"/>
        </w:rPr>
        <w:t>:</w:t>
      </w:r>
    </w:p>
    <w:p w14:paraId="6918AC65" w14:textId="77777777" w:rsidR="00FA79C9" w:rsidRPr="00FA79C9" w:rsidRDefault="00FA79C9" w:rsidP="00FA79C9">
      <w:pPr>
        <w:tabs>
          <w:tab w:val="left" w:pos="709"/>
        </w:tabs>
        <w:spacing w:line="360" w:lineRule="auto"/>
        <w:jc w:val="both"/>
        <w:rPr>
          <w:rFonts w:ascii="Palatino Linotype" w:hAnsi="Palatino Linotype"/>
        </w:rPr>
      </w:pPr>
    </w:p>
    <w:p w14:paraId="729A8172" w14:textId="77777777" w:rsidR="00FA79C9" w:rsidRPr="00FA79C9" w:rsidRDefault="00FA79C9" w:rsidP="00FA79C9">
      <w:pPr>
        <w:tabs>
          <w:tab w:val="left" w:pos="709"/>
        </w:tabs>
        <w:ind w:left="851" w:right="851"/>
        <w:jc w:val="both"/>
        <w:rPr>
          <w:rFonts w:ascii="Palatino Linotype" w:hAnsi="Palatino Linotype"/>
          <w:i/>
        </w:rPr>
      </w:pPr>
      <w:r w:rsidRPr="00FA79C9">
        <w:rPr>
          <w:rFonts w:ascii="Palatino Linotype" w:hAnsi="Palatino Linotype"/>
          <w:i/>
        </w:rPr>
        <w:lastRenderedPageBreak/>
        <w:t>“</w:t>
      </w:r>
      <w:r w:rsidRPr="00FA79C9">
        <w:rPr>
          <w:rFonts w:ascii="Palatino Linotype" w:hAnsi="Palatino Linotype"/>
          <w:b/>
          <w:bCs/>
          <w:i/>
        </w:rPr>
        <w:t>DERECHOS A LA INTIMIDAD, PROPIA IMAGEN, IDENTIDAD PERSONAL Y SEXUAL. CONSTITUYEN DERECHOS DE DEFENSA Y GARANTÍA ESENCIAL PARA LA CONDICIÓN HUMANA</w:t>
      </w:r>
      <w:r w:rsidRPr="00FA79C9">
        <w:rPr>
          <w:rFonts w:ascii="Palatino Linotype" w:hAnsi="Palatino Linotype"/>
          <w:i/>
        </w:rPr>
        <w:t>.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2C64DBB1" w14:textId="77777777" w:rsidR="00FA79C9" w:rsidRPr="00FA79C9" w:rsidRDefault="00FA79C9" w:rsidP="00FA79C9">
      <w:pPr>
        <w:tabs>
          <w:tab w:val="left" w:pos="709"/>
        </w:tabs>
        <w:spacing w:line="360" w:lineRule="auto"/>
        <w:jc w:val="both"/>
        <w:rPr>
          <w:rFonts w:ascii="Palatino Linotype" w:hAnsi="Palatino Linotype"/>
        </w:rPr>
      </w:pPr>
      <w:r w:rsidRPr="00FA79C9">
        <w:rPr>
          <w:rFonts w:ascii="Palatino Linotype" w:hAnsi="Palatino Linotype"/>
        </w:rPr>
        <w:t xml:space="preserve"> </w:t>
      </w:r>
    </w:p>
    <w:p w14:paraId="344CD0B8" w14:textId="2205F3AD" w:rsidR="00FA79C9" w:rsidRDefault="00FA79C9" w:rsidP="00FA79C9">
      <w:pPr>
        <w:tabs>
          <w:tab w:val="left" w:pos="709"/>
        </w:tabs>
        <w:spacing w:line="360" w:lineRule="auto"/>
        <w:jc w:val="both"/>
        <w:rPr>
          <w:rFonts w:ascii="Palatino Linotype" w:hAnsi="Palatino Linotype"/>
        </w:rPr>
      </w:pPr>
      <w:r w:rsidRPr="00FA79C9">
        <w:rPr>
          <w:rFonts w:ascii="Palatino Linotype" w:hAnsi="Palatino Linotype"/>
        </w:rPr>
        <w:lastRenderedPageBreak/>
        <w:t xml:space="preserve">En ese sentido, se </w:t>
      </w:r>
      <w:r w:rsidR="00FE71A1">
        <w:rPr>
          <w:rFonts w:ascii="Palatino Linotype" w:hAnsi="Palatino Linotype"/>
        </w:rPr>
        <w:t>hizo</w:t>
      </w:r>
      <w:r w:rsidRPr="00FA79C9">
        <w:rPr>
          <w:rFonts w:ascii="Palatino Linotype" w:hAnsi="Palatino Linotype"/>
        </w:rPr>
        <w:t xml:space="preserve"> notar </w:t>
      </w:r>
      <w:r w:rsidR="00FE71A1">
        <w:rPr>
          <w:rFonts w:ascii="Palatino Linotype" w:hAnsi="Palatino Linotype"/>
        </w:rPr>
        <w:t xml:space="preserve">que </w:t>
      </w:r>
      <w:r w:rsidRPr="00FA79C9">
        <w:rPr>
          <w:rFonts w:ascii="Palatino Linotype" w:hAnsi="Palatino Linotype"/>
        </w:rPr>
        <w:t>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14:paraId="153AA7AC" w14:textId="77777777" w:rsidR="003B138A" w:rsidRPr="00FA79C9" w:rsidRDefault="003B138A" w:rsidP="00FA79C9">
      <w:pPr>
        <w:tabs>
          <w:tab w:val="left" w:pos="709"/>
        </w:tabs>
        <w:spacing w:line="360" w:lineRule="auto"/>
        <w:jc w:val="both"/>
        <w:rPr>
          <w:rFonts w:ascii="Palatino Linotype" w:hAnsi="Palatino Linotype"/>
        </w:rPr>
      </w:pPr>
    </w:p>
    <w:p w14:paraId="6EF9F487" w14:textId="22CEAF02" w:rsidR="00FA79C9" w:rsidRPr="00825EBC" w:rsidRDefault="00FE71A1" w:rsidP="00FA79C9">
      <w:pPr>
        <w:tabs>
          <w:tab w:val="left" w:pos="709"/>
        </w:tabs>
        <w:spacing w:line="360" w:lineRule="auto"/>
        <w:jc w:val="both"/>
        <w:rPr>
          <w:rFonts w:ascii="Palatino Linotype" w:hAnsi="Palatino Linotype"/>
        </w:rPr>
      </w:pPr>
      <w:r>
        <w:rPr>
          <w:rFonts w:ascii="Palatino Linotype" w:hAnsi="Palatino Linotype"/>
        </w:rPr>
        <w:t>Luego entonces se consideró,</w:t>
      </w:r>
      <w:r w:rsidR="00FA79C9" w:rsidRPr="00FA79C9">
        <w:rPr>
          <w:rFonts w:ascii="Palatino Linotype" w:hAnsi="Palatino Linotype"/>
        </w:rPr>
        <w:t xml:space="preserv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14:paraId="0A927C6B" w14:textId="77777777" w:rsidR="003F0929" w:rsidRPr="00EE3BE9" w:rsidRDefault="003F0929" w:rsidP="003F0929">
      <w:pPr>
        <w:spacing w:line="360" w:lineRule="auto"/>
        <w:jc w:val="both"/>
        <w:rPr>
          <w:rFonts w:ascii="Palatino Linotype" w:eastAsia="Palatino Linotype" w:hAnsi="Palatino Linotype" w:cs="Palatino Linotype"/>
        </w:rPr>
      </w:pPr>
    </w:p>
    <w:p w14:paraId="5050A793" w14:textId="3BCDCA3C" w:rsidR="005C4513" w:rsidRPr="00EE3BE9" w:rsidRDefault="00EE3BE9" w:rsidP="005C4513">
      <w:pPr>
        <w:pStyle w:val="Prrafodelista"/>
        <w:tabs>
          <w:tab w:val="left" w:pos="851"/>
        </w:tabs>
        <w:spacing w:line="360" w:lineRule="auto"/>
        <w:ind w:left="0" w:right="49"/>
        <w:jc w:val="both"/>
        <w:rPr>
          <w:rFonts w:ascii="Palatino Linotype" w:hAnsi="Palatino Linotype"/>
        </w:rPr>
      </w:pPr>
      <w:r w:rsidRPr="00EE3BE9">
        <w:rPr>
          <w:rFonts w:ascii="Palatino Linotype" w:hAnsi="Palatino Linotype"/>
        </w:rPr>
        <w:t>Contexto</w:t>
      </w:r>
      <w:r w:rsidR="00187962" w:rsidRPr="00EE3BE9">
        <w:rPr>
          <w:rFonts w:ascii="Palatino Linotype" w:hAnsi="Palatino Linotype"/>
        </w:rPr>
        <w:t xml:space="preserve">, </w:t>
      </w:r>
      <w:r w:rsidRPr="00EE3BE9">
        <w:rPr>
          <w:rFonts w:ascii="Palatino Linotype" w:hAnsi="Palatino Linotype"/>
        </w:rPr>
        <w:t xml:space="preserve">que </w:t>
      </w:r>
      <w:r w:rsidR="00181AA2">
        <w:rPr>
          <w:rFonts w:ascii="Palatino Linotype" w:hAnsi="Palatino Linotype"/>
        </w:rPr>
        <w:t xml:space="preserve">corresponde a un criterio mayoritario del Pleno; sin embargo para esta Ponencia </w:t>
      </w:r>
      <w:proofErr w:type="spellStart"/>
      <w:r w:rsidR="00181AA2">
        <w:rPr>
          <w:rFonts w:ascii="Palatino Linotype" w:hAnsi="Palatino Linotype"/>
        </w:rPr>
        <w:t>Resolutora</w:t>
      </w:r>
      <w:proofErr w:type="spellEnd"/>
      <w:r w:rsidR="00181AA2">
        <w:rPr>
          <w:rFonts w:ascii="Palatino Linotype" w:hAnsi="Palatino Linotype"/>
        </w:rPr>
        <w:t xml:space="preserve">, </w:t>
      </w:r>
      <w:r w:rsidR="00187962" w:rsidRPr="00EE3BE9">
        <w:rPr>
          <w:rFonts w:ascii="Palatino Linotype" w:hAnsi="Palatino Linotype"/>
        </w:rPr>
        <w:t>n</w:t>
      </w:r>
      <w:r w:rsidR="005C4513" w:rsidRPr="00EE3BE9">
        <w:rPr>
          <w:rFonts w:ascii="Palatino Linotype" w:hAnsi="Palatino Linotype"/>
        </w:rPr>
        <w:t xml:space="preserve">o se comparte que se clasifique como reservado el  nombre del Servidor Público, en el caso de procedimientos iniciados </w:t>
      </w:r>
      <w:r w:rsidR="00187962" w:rsidRPr="00EE3BE9">
        <w:rPr>
          <w:rFonts w:ascii="Palatino Linotype" w:hAnsi="Palatino Linotype"/>
        </w:rPr>
        <w:t>con una</w:t>
      </w:r>
      <w:r w:rsidR="005C4513" w:rsidRPr="00EE3BE9">
        <w:rPr>
          <w:rFonts w:ascii="Palatino Linotype" w:hAnsi="Palatino Linotype"/>
        </w:rPr>
        <w:t xml:space="preserve"> resolución ab</w:t>
      </w:r>
      <w:r w:rsidR="00DD7ECC">
        <w:rPr>
          <w:rFonts w:ascii="Palatino Linotype" w:hAnsi="Palatino Linotype"/>
        </w:rPr>
        <w:t xml:space="preserve">solutoria, dado que  los misma no </w:t>
      </w:r>
      <w:r w:rsidR="005C4513" w:rsidRPr="00EE3BE9">
        <w:rPr>
          <w:rFonts w:ascii="Palatino Linotype" w:hAnsi="Palatino Linotype"/>
        </w:rPr>
        <w:t>supone el incu</w:t>
      </w:r>
      <w:r w:rsidR="00776D84">
        <w:rPr>
          <w:rFonts w:ascii="Palatino Linotype" w:hAnsi="Palatino Linotype"/>
        </w:rPr>
        <w:t xml:space="preserve">mplimiento a las obligaciones o </w:t>
      </w:r>
      <w:r w:rsidR="005C4513" w:rsidRPr="00EE3BE9">
        <w:rPr>
          <w:rFonts w:ascii="Palatino Linotype" w:hAnsi="Palatino Linotype"/>
        </w:rPr>
        <w:t>al régimen disciplinario de los elementos integrantes de una institución que de conformidad con nuestra Constitución deben regirse por los principios de honestidad, lealtad, probidad, legalidad y eficacia en el desempeño de sus funciones, lo anterior con base en las siguientes consideraciones:</w:t>
      </w:r>
    </w:p>
    <w:p w14:paraId="41398366" w14:textId="77777777" w:rsidR="005C4513" w:rsidRPr="00EE3BE9" w:rsidRDefault="005C4513" w:rsidP="005C4513">
      <w:pPr>
        <w:pStyle w:val="Prrafodelista"/>
        <w:rPr>
          <w:rFonts w:ascii="Palatino Linotype" w:hAnsi="Palatino Linotype" w:cs="Tahoma"/>
        </w:rPr>
      </w:pPr>
    </w:p>
    <w:p w14:paraId="0AF04681" w14:textId="66B58F6F" w:rsidR="005C4513" w:rsidRPr="00EE3BE9" w:rsidRDefault="005C4513" w:rsidP="005C4513">
      <w:pPr>
        <w:pStyle w:val="Prrafodelista"/>
        <w:spacing w:line="360" w:lineRule="auto"/>
        <w:ind w:left="0"/>
        <w:jc w:val="both"/>
        <w:rPr>
          <w:rFonts w:ascii="Palatino Linotype" w:hAnsi="Palatino Linotype" w:cs="Tahoma"/>
        </w:rPr>
      </w:pPr>
      <w:r w:rsidRPr="00EE3BE9">
        <w:rPr>
          <w:rFonts w:ascii="Palatino Linotype" w:hAnsi="Palatino Linotype" w:cs="Tahoma"/>
        </w:rPr>
        <w:lastRenderedPageBreak/>
        <w:t>Bajo ese criterio, a l</w:t>
      </w:r>
      <w:r w:rsidR="00962796" w:rsidRPr="00EE3BE9">
        <w:rPr>
          <w:rFonts w:ascii="Palatino Linotype" w:hAnsi="Palatino Linotype" w:cs="Tahoma"/>
        </w:rPr>
        <w:t xml:space="preserve">os servidores públicos </w:t>
      </w:r>
      <w:r w:rsidRPr="00EE3BE9">
        <w:rPr>
          <w:rFonts w:ascii="Palatino Linotype" w:hAnsi="Palatino Linotype" w:cs="Tahoma"/>
        </w:rPr>
        <w:t>le</w:t>
      </w:r>
      <w:r w:rsidR="00962796" w:rsidRPr="00EE3BE9">
        <w:rPr>
          <w:rFonts w:ascii="Palatino Linotype" w:hAnsi="Palatino Linotype" w:cs="Tahoma"/>
        </w:rPr>
        <w:t>s</w:t>
      </w:r>
      <w:r w:rsidRPr="00EE3BE9">
        <w:rPr>
          <w:rFonts w:ascii="Palatino Linotype" w:hAnsi="Palatino Linotype" w:cs="Tahoma"/>
        </w:rPr>
        <w:t xml:space="preserv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w:t>
      </w:r>
    </w:p>
    <w:p w14:paraId="25BD6301" w14:textId="77777777" w:rsidR="005C4513" w:rsidRDefault="005C4513" w:rsidP="005C4513">
      <w:pPr>
        <w:pStyle w:val="Prrafodelista"/>
        <w:spacing w:line="360" w:lineRule="auto"/>
        <w:ind w:left="0"/>
        <w:jc w:val="both"/>
        <w:rPr>
          <w:rFonts w:ascii="Palatino Linotype" w:hAnsi="Palatino Linotype" w:cs="Tahoma"/>
        </w:rPr>
      </w:pPr>
      <w:bookmarkStart w:id="2" w:name="_Toc88136406"/>
    </w:p>
    <w:p w14:paraId="52FF5E09" w14:textId="4A515C4E" w:rsidR="00EC694E" w:rsidRPr="00EC694E" w:rsidRDefault="00EC694E" w:rsidP="00EC694E">
      <w:pPr>
        <w:spacing w:line="360" w:lineRule="auto"/>
        <w:jc w:val="both"/>
        <w:rPr>
          <w:rFonts w:ascii="Palatino Linotype" w:hAnsi="Palatino Linotype" w:cs="Tahoma"/>
        </w:rPr>
      </w:pPr>
      <w:r w:rsidRPr="00EC694E">
        <w:rPr>
          <w:rFonts w:ascii="Palatino Linotype" w:hAnsi="Palatino Linotype" w:cs="Tahoma"/>
        </w:rPr>
        <w:t xml:space="preserve">Sin embargo contrario al criterio mayoritario, </w:t>
      </w:r>
      <w:r w:rsidR="00DD7ECC">
        <w:rPr>
          <w:rFonts w:ascii="Palatino Linotype" w:hAnsi="Palatino Linotype" w:cs="Tahoma"/>
        </w:rPr>
        <w:t>-</w:t>
      </w:r>
      <w:r>
        <w:rPr>
          <w:rFonts w:ascii="Palatino Linotype" w:hAnsi="Palatino Linotype" w:cs="Tahoma"/>
        </w:rPr>
        <w:t>se insiste</w:t>
      </w:r>
      <w:r w:rsidR="00DD7ECC">
        <w:rPr>
          <w:rFonts w:ascii="Palatino Linotype" w:hAnsi="Palatino Linotype" w:cs="Tahoma"/>
        </w:rPr>
        <w:t>-</w:t>
      </w:r>
      <w:r>
        <w:rPr>
          <w:rFonts w:ascii="Palatino Linotype" w:hAnsi="Palatino Linotype" w:cs="Tahoma"/>
        </w:rPr>
        <w:t xml:space="preserve"> en que </w:t>
      </w:r>
      <w:r w:rsidRPr="00EC694E">
        <w:rPr>
          <w:rFonts w:ascii="Palatino Linotype" w:hAnsi="Palatino Linotype" w:cs="Tahoma"/>
        </w:rPr>
        <w:t>no se comparte la clasificación como</w:t>
      </w:r>
      <w:r>
        <w:rPr>
          <w:rFonts w:ascii="Palatino Linotype" w:hAnsi="Palatino Linotype" w:cs="Tahoma"/>
        </w:rPr>
        <w:t xml:space="preserve"> </w:t>
      </w:r>
      <w:r w:rsidRPr="00EC694E">
        <w:rPr>
          <w:rFonts w:ascii="Palatino Linotype" w:hAnsi="Palatino Linotype" w:cs="Tahoma"/>
        </w:rPr>
        <w:t>confidencial del nombre y cargo del servidor público, ya que no se aprecia que la</w:t>
      </w:r>
      <w:r>
        <w:rPr>
          <w:rFonts w:ascii="Palatino Linotype" w:hAnsi="Palatino Linotype" w:cs="Tahoma"/>
        </w:rPr>
        <w:t xml:space="preserve"> </w:t>
      </w:r>
      <w:r w:rsidRPr="00EC694E">
        <w:rPr>
          <w:rFonts w:ascii="Palatino Linotype" w:hAnsi="Palatino Linotype" w:cs="Tahoma"/>
        </w:rPr>
        <w:t>información solicitada afecte la esfera privada del servidor público, genere una</w:t>
      </w:r>
      <w:r>
        <w:rPr>
          <w:rFonts w:ascii="Palatino Linotype" w:hAnsi="Palatino Linotype" w:cs="Tahoma"/>
        </w:rPr>
        <w:t xml:space="preserve"> </w:t>
      </w:r>
      <w:r w:rsidRPr="00EC694E">
        <w:rPr>
          <w:rFonts w:ascii="Palatino Linotype" w:hAnsi="Palatino Linotype" w:cs="Tahoma"/>
        </w:rPr>
        <w:t>percepción negativa de esta, ocasionando un perjuicio en su honor, intimidad y</w:t>
      </w:r>
      <w:r>
        <w:rPr>
          <w:rFonts w:ascii="Palatino Linotype" w:hAnsi="Palatino Linotype" w:cs="Tahoma"/>
        </w:rPr>
        <w:t xml:space="preserve"> </w:t>
      </w:r>
      <w:r w:rsidRPr="00EC694E">
        <w:rPr>
          <w:rFonts w:ascii="Palatino Linotype" w:hAnsi="Palatino Linotype" w:cs="Tahoma"/>
        </w:rPr>
        <w:t>buena imagen, o que dañe su vida privada y profesional.</w:t>
      </w:r>
    </w:p>
    <w:p w14:paraId="29C759EF" w14:textId="77777777" w:rsidR="00EC694E" w:rsidRPr="00EC694E" w:rsidRDefault="00EC694E" w:rsidP="00EC694E">
      <w:pPr>
        <w:pStyle w:val="Prrafodelista"/>
        <w:spacing w:line="360" w:lineRule="auto"/>
        <w:jc w:val="both"/>
        <w:rPr>
          <w:rFonts w:ascii="Palatino Linotype" w:hAnsi="Palatino Linotype" w:cs="Tahoma"/>
        </w:rPr>
      </w:pPr>
    </w:p>
    <w:p w14:paraId="0F768EDC" w14:textId="549DD729" w:rsidR="00EC694E" w:rsidRDefault="00EC694E" w:rsidP="00EC694E">
      <w:pPr>
        <w:spacing w:line="360" w:lineRule="auto"/>
        <w:jc w:val="both"/>
        <w:rPr>
          <w:rFonts w:ascii="Palatino Linotype" w:hAnsi="Palatino Linotype" w:cs="Tahoma"/>
        </w:rPr>
      </w:pPr>
      <w:r w:rsidRPr="00EC694E">
        <w:rPr>
          <w:rFonts w:ascii="Palatino Linotype" w:hAnsi="Palatino Linotype" w:cs="Tahoma"/>
        </w:rPr>
        <w:t>Se sostiene tal criterio, toda vez que las determinaciones en donde la conducta</w:t>
      </w:r>
      <w:r>
        <w:rPr>
          <w:rFonts w:ascii="Palatino Linotype" w:hAnsi="Palatino Linotype" w:cs="Tahoma"/>
        </w:rPr>
        <w:t xml:space="preserve"> </w:t>
      </w:r>
      <w:r w:rsidRPr="00EC694E">
        <w:rPr>
          <w:rFonts w:ascii="Palatino Linotype" w:hAnsi="Palatino Linotype" w:cs="Tahoma"/>
        </w:rPr>
        <w:t>investigada no fue contraria a derecho; en las que se logra apreciar los elementos y</w:t>
      </w:r>
      <w:r>
        <w:rPr>
          <w:rFonts w:ascii="Palatino Linotype" w:hAnsi="Palatino Linotype" w:cs="Tahoma"/>
        </w:rPr>
        <w:t xml:space="preserve"> </w:t>
      </w:r>
      <w:r w:rsidRPr="00EC694E">
        <w:rPr>
          <w:rFonts w:ascii="Palatino Linotype" w:hAnsi="Palatino Linotype" w:cs="Tahoma"/>
        </w:rPr>
        <w:t>las circunstancias que llevaron a concluir que a los servidores públicos, no les eran</w:t>
      </w:r>
      <w:r>
        <w:rPr>
          <w:rFonts w:ascii="Palatino Linotype" w:hAnsi="Palatino Linotype" w:cs="Tahoma"/>
        </w:rPr>
        <w:t xml:space="preserve"> </w:t>
      </w:r>
      <w:r w:rsidRPr="00EC694E">
        <w:rPr>
          <w:rFonts w:ascii="Palatino Linotype" w:hAnsi="Palatino Linotype" w:cs="Tahoma"/>
        </w:rPr>
        <w:t>imputables las conductas que se le atribuían, permite la rendición de cuentas del</w:t>
      </w:r>
      <w:r>
        <w:rPr>
          <w:rFonts w:ascii="Palatino Linotype" w:hAnsi="Palatino Linotype" w:cs="Tahoma"/>
        </w:rPr>
        <w:t xml:space="preserve"> </w:t>
      </w:r>
      <w:r w:rsidRPr="00EC694E">
        <w:rPr>
          <w:rFonts w:ascii="Palatino Linotype" w:hAnsi="Palatino Linotype" w:cs="Tahoma"/>
        </w:rPr>
        <w:t>servidor público, pues se podría observar, que dicho servidor público, ha cumplido</w:t>
      </w:r>
      <w:r>
        <w:rPr>
          <w:rFonts w:ascii="Palatino Linotype" w:hAnsi="Palatino Linotype" w:cs="Tahoma"/>
        </w:rPr>
        <w:t xml:space="preserve"> </w:t>
      </w:r>
      <w:r w:rsidRPr="00EC694E">
        <w:rPr>
          <w:rFonts w:ascii="Palatino Linotype" w:hAnsi="Palatino Linotype" w:cs="Tahoma"/>
        </w:rPr>
        <w:t>con sus obligaciones y no ha cometido actos irregulares y ha actuado conforme a las</w:t>
      </w:r>
      <w:r>
        <w:rPr>
          <w:rFonts w:ascii="Palatino Linotype" w:hAnsi="Palatino Linotype" w:cs="Tahoma"/>
        </w:rPr>
        <w:t xml:space="preserve"> </w:t>
      </w:r>
      <w:r w:rsidRPr="00EC694E">
        <w:rPr>
          <w:rFonts w:ascii="Palatino Linotype" w:hAnsi="Palatino Linotype" w:cs="Tahoma"/>
        </w:rPr>
        <w:t>normatividad aplicable.</w:t>
      </w:r>
    </w:p>
    <w:p w14:paraId="171AB7DC" w14:textId="77777777" w:rsidR="00EC694E" w:rsidRPr="00EC694E" w:rsidRDefault="00EC694E" w:rsidP="00EC694E">
      <w:pPr>
        <w:spacing w:line="360" w:lineRule="auto"/>
        <w:jc w:val="both"/>
        <w:rPr>
          <w:rFonts w:ascii="Palatino Linotype" w:hAnsi="Palatino Linotype" w:cs="Tahoma"/>
        </w:rPr>
      </w:pPr>
    </w:p>
    <w:p w14:paraId="6020B195" w14:textId="3C3AC7FA" w:rsidR="00EC694E" w:rsidRDefault="00EC694E" w:rsidP="00EC694E">
      <w:pPr>
        <w:spacing w:line="360" w:lineRule="auto"/>
        <w:jc w:val="both"/>
        <w:rPr>
          <w:rFonts w:ascii="Palatino Linotype" w:hAnsi="Palatino Linotype" w:cs="Tahoma"/>
        </w:rPr>
      </w:pPr>
      <w:r w:rsidRPr="00EC694E">
        <w:rPr>
          <w:rFonts w:ascii="Palatino Linotype" w:hAnsi="Palatino Linotype" w:cs="Tahoma"/>
        </w:rPr>
        <w:t>Lo anterior tomando en consideración la trascendencia de las conductas</w:t>
      </w:r>
      <w:r>
        <w:rPr>
          <w:rFonts w:ascii="Palatino Linotype" w:hAnsi="Palatino Linotype" w:cs="Tahoma"/>
        </w:rPr>
        <w:t xml:space="preserve"> </w:t>
      </w:r>
      <w:r w:rsidRPr="00EC694E">
        <w:rPr>
          <w:rFonts w:ascii="Palatino Linotype" w:hAnsi="Palatino Linotype" w:cs="Tahoma"/>
        </w:rPr>
        <w:t>investigadas en tales procedimientos, toda vez que resultan relevantes por su</w:t>
      </w:r>
      <w:r>
        <w:rPr>
          <w:rFonts w:ascii="Palatino Linotype" w:hAnsi="Palatino Linotype" w:cs="Tahoma"/>
        </w:rPr>
        <w:t xml:space="preserve">  </w:t>
      </w:r>
      <w:r w:rsidRPr="00EC694E">
        <w:rPr>
          <w:rFonts w:ascii="Palatino Linotype" w:hAnsi="Palatino Linotype" w:cs="Tahoma"/>
        </w:rPr>
        <w:t>impacto social o consecuencias jurídicas ya que de conformidad con lo establecido</w:t>
      </w:r>
      <w:r>
        <w:rPr>
          <w:rFonts w:ascii="Palatino Linotype" w:hAnsi="Palatino Linotype" w:cs="Tahoma"/>
        </w:rPr>
        <w:t xml:space="preserve">  </w:t>
      </w:r>
      <w:r w:rsidRPr="00EC694E">
        <w:rPr>
          <w:rFonts w:ascii="Palatino Linotype" w:hAnsi="Palatino Linotype" w:cs="Tahoma"/>
        </w:rPr>
        <w:lastRenderedPageBreak/>
        <w:t>por el artículo 52 de la Ley de Responsabilidades Administrativas del Estado de</w:t>
      </w:r>
      <w:r>
        <w:rPr>
          <w:rFonts w:ascii="Palatino Linotype" w:hAnsi="Palatino Linotype" w:cs="Tahoma"/>
        </w:rPr>
        <w:t xml:space="preserve">  </w:t>
      </w:r>
      <w:r w:rsidRPr="00EC694E">
        <w:rPr>
          <w:rFonts w:ascii="Palatino Linotype" w:hAnsi="Palatino Linotype" w:cs="Tahoma"/>
        </w:rPr>
        <w:t>México y Municipios se consideran faltas administrativas graves de los servidores</w:t>
      </w:r>
      <w:r>
        <w:rPr>
          <w:rFonts w:ascii="Palatino Linotype" w:hAnsi="Palatino Linotype" w:cs="Tahoma"/>
        </w:rPr>
        <w:t xml:space="preserve"> </w:t>
      </w:r>
      <w:r w:rsidRPr="00EC694E">
        <w:rPr>
          <w:rFonts w:ascii="Palatino Linotype" w:hAnsi="Palatino Linotype" w:cs="Tahoma"/>
        </w:rPr>
        <w:t>públicos, mediante cualquier acto u omisión, las siguientes: el cohecho, peculado,</w:t>
      </w:r>
      <w:r>
        <w:rPr>
          <w:rFonts w:ascii="Palatino Linotype" w:hAnsi="Palatino Linotype" w:cs="Tahoma"/>
        </w:rPr>
        <w:t xml:space="preserve"> </w:t>
      </w:r>
      <w:r w:rsidRPr="00EC694E">
        <w:rPr>
          <w:rFonts w:ascii="Palatino Linotype" w:hAnsi="Palatino Linotype" w:cs="Tahoma"/>
        </w:rPr>
        <w:t>desvío de recursos públicos, utilización indebida de información, abuso de</w:t>
      </w:r>
      <w:r>
        <w:rPr>
          <w:rFonts w:ascii="Palatino Linotype" w:hAnsi="Palatino Linotype" w:cs="Tahoma"/>
        </w:rPr>
        <w:t xml:space="preserve"> </w:t>
      </w:r>
      <w:r w:rsidRPr="00EC694E">
        <w:rPr>
          <w:rFonts w:ascii="Palatino Linotype" w:hAnsi="Palatino Linotype" w:cs="Tahoma"/>
        </w:rPr>
        <w:t>funciones, cometer o tolerar conductas de hostigamiento y acoso sexual, actuar bajo</w:t>
      </w:r>
      <w:r>
        <w:rPr>
          <w:rFonts w:ascii="Palatino Linotype" w:hAnsi="Palatino Linotype" w:cs="Tahoma"/>
        </w:rPr>
        <w:t xml:space="preserve"> </w:t>
      </w:r>
      <w:r w:rsidRPr="00EC694E">
        <w:rPr>
          <w:rFonts w:ascii="Palatino Linotype" w:hAnsi="Palatino Linotype" w:cs="Tahoma"/>
        </w:rPr>
        <w:t>conflicto de interés, contratación indebida, enriquecimiento oculto u ocultamiento</w:t>
      </w:r>
      <w:r>
        <w:rPr>
          <w:rFonts w:ascii="Palatino Linotype" w:hAnsi="Palatino Linotype" w:cs="Tahoma"/>
        </w:rPr>
        <w:t xml:space="preserve"> </w:t>
      </w:r>
      <w:r w:rsidRPr="00EC694E">
        <w:rPr>
          <w:rFonts w:ascii="Palatino Linotype" w:hAnsi="Palatino Linotype" w:cs="Tahoma"/>
        </w:rPr>
        <w:t>de conflicto de interés, tráfico de influencias, encubrimiento, desacato, obstrucción</w:t>
      </w:r>
      <w:r>
        <w:rPr>
          <w:rFonts w:ascii="Palatino Linotype" w:hAnsi="Palatino Linotype" w:cs="Tahoma"/>
        </w:rPr>
        <w:t xml:space="preserve"> </w:t>
      </w:r>
      <w:r w:rsidRPr="00EC694E">
        <w:rPr>
          <w:rFonts w:ascii="Palatino Linotype" w:hAnsi="Palatino Linotype" w:cs="Tahoma"/>
        </w:rPr>
        <w:t>de la Justicia.</w:t>
      </w:r>
    </w:p>
    <w:p w14:paraId="60D4313E" w14:textId="77777777" w:rsidR="00181AA2" w:rsidRDefault="00181AA2" w:rsidP="00EC694E">
      <w:pPr>
        <w:spacing w:line="360" w:lineRule="auto"/>
        <w:jc w:val="both"/>
        <w:rPr>
          <w:rFonts w:ascii="Palatino Linotype" w:hAnsi="Palatino Linotype" w:cs="Tahoma"/>
        </w:rPr>
      </w:pPr>
    </w:p>
    <w:p w14:paraId="098152B0" w14:textId="071C7291" w:rsidR="00EC694E" w:rsidRPr="00EC694E" w:rsidRDefault="00EC694E" w:rsidP="00EC694E">
      <w:pPr>
        <w:spacing w:line="360" w:lineRule="auto"/>
        <w:jc w:val="both"/>
        <w:rPr>
          <w:rFonts w:ascii="Palatino Linotype" w:hAnsi="Palatino Linotype" w:cs="Tahoma"/>
        </w:rPr>
      </w:pPr>
      <w:r w:rsidRPr="00EC694E">
        <w:rPr>
          <w:rFonts w:ascii="Palatino Linotype" w:hAnsi="Palatino Linotype" w:cs="Tahoma"/>
        </w:rPr>
        <w:t>Es de hacer notar que varias de las anteriores conductas se encuentran previstas en</w:t>
      </w:r>
      <w:r>
        <w:rPr>
          <w:rFonts w:ascii="Palatino Linotype" w:hAnsi="Palatino Linotype" w:cs="Tahoma"/>
        </w:rPr>
        <w:t xml:space="preserve"> </w:t>
      </w:r>
      <w:r w:rsidRPr="00EC694E">
        <w:rPr>
          <w:rFonts w:ascii="Palatino Linotype" w:hAnsi="Palatino Linotype" w:cs="Tahoma"/>
        </w:rPr>
        <w:t>la Convención de las Naciones Unidas Contra la Corrupción, y que de la misma</w:t>
      </w:r>
      <w:r>
        <w:rPr>
          <w:rFonts w:ascii="Palatino Linotype" w:hAnsi="Palatino Linotype" w:cs="Tahoma"/>
        </w:rPr>
        <w:t xml:space="preserve"> </w:t>
      </w:r>
      <w:r w:rsidRPr="00EC694E">
        <w:rPr>
          <w:rFonts w:ascii="Palatino Linotype" w:hAnsi="Palatino Linotype" w:cs="Tahoma"/>
        </w:rPr>
        <w:t>manera se tratan de delitos en materia de corrupción, los cuales se encuentran reglamentados por el Título Décimo del Código Penal Federal, y que van del</w:t>
      </w:r>
      <w:r>
        <w:rPr>
          <w:rFonts w:ascii="Palatino Linotype" w:hAnsi="Palatino Linotype" w:cs="Tahoma"/>
        </w:rPr>
        <w:t xml:space="preserve"> </w:t>
      </w:r>
      <w:r w:rsidRPr="00EC694E">
        <w:rPr>
          <w:rFonts w:ascii="Palatino Linotype" w:hAnsi="Palatino Linotype" w:cs="Tahoma"/>
        </w:rPr>
        <w:t>artículo 212 al artículo 224.</w:t>
      </w:r>
    </w:p>
    <w:p w14:paraId="414DDD57" w14:textId="77777777" w:rsidR="00EC694E" w:rsidRPr="00EC694E" w:rsidRDefault="00EC694E" w:rsidP="00EC694E">
      <w:pPr>
        <w:pStyle w:val="Prrafodelista"/>
        <w:spacing w:line="360" w:lineRule="auto"/>
        <w:jc w:val="both"/>
        <w:rPr>
          <w:rFonts w:ascii="Palatino Linotype" w:hAnsi="Palatino Linotype" w:cs="Tahoma"/>
        </w:rPr>
      </w:pPr>
    </w:p>
    <w:p w14:paraId="70F265A8" w14:textId="1C498A92" w:rsidR="00EC694E" w:rsidRDefault="00EC694E" w:rsidP="00EC694E">
      <w:pPr>
        <w:spacing w:line="360" w:lineRule="auto"/>
        <w:jc w:val="both"/>
        <w:rPr>
          <w:rFonts w:ascii="Palatino Linotype" w:hAnsi="Palatino Linotype" w:cs="Tahoma"/>
        </w:rPr>
      </w:pPr>
      <w:r w:rsidRPr="00EC694E">
        <w:rPr>
          <w:rFonts w:ascii="Palatino Linotype" w:hAnsi="Palatino Linotype" w:cs="Tahoma"/>
        </w:rPr>
        <w:t>La palabra “</w:t>
      </w:r>
      <w:r w:rsidRPr="003B138A">
        <w:rPr>
          <w:rFonts w:ascii="Palatino Linotype" w:hAnsi="Palatino Linotype" w:cs="Tahoma"/>
          <w:i/>
        </w:rPr>
        <w:t>corrupción</w:t>
      </w:r>
      <w:r w:rsidRPr="00EC694E">
        <w:rPr>
          <w:rFonts w:ascii="Palatino Linotype" w:hAnsi="Palatino Linotype" w:cs="Tahoma"/>
        </w:rPr>
        <w:t>” es definida por la Real Academia Española como la “acción</w:t>
      </w:r>
      <w:r>
        <w:rPr>
          <w:rFonts w:ascii="Palatino Linotype" w:hAnsi="Palatino Linotype" w:cs="Tahoma"/>
        </w:rPr>
        <w:t xml:space="preserve"> </w:t>
      </w:r>
      <w:r w:rsidRPr="00EC694E">
        <w:rPr>
          <w:rFonts w:ascii="Palatino Linotype" w:hAnsi="Palatino Linotype" w:cs="Tahoma"/>
        </w:rPr>
        <w:t>y efecto de corromper o corromperse”, o, para los efectos que nos interesan: “en las</w:t>
      </w:r>
      <w:r>
        <w:rPr>
          <w:rFonts w:ascii="Palatino Linotype" w:hAnsi="Palatino Linotype" w:cs="Tahoma"/>
        </w:rPr>
        <w:t xml:space="preserve"> </w:t>
      </w:r>
      <w:r w:rsidRPr="00EC694E">
        <w:rPr>
          <w:rFonts w:ascii="Palatino Linotype" w:hAnsi="Palatino Linotype" w:cs="Tahoma"/>
        </w:rPr>
        <w:t>organizaciones, especialmente en las públicas, práctica consistente en la utilización</w:t>
      </w:r>
      <w:r>
        <w:rPr>
          <w:rFonts w:ascii="Palatino Linotype" w:hAnsi="Palatino Linotype" w:cs="Tahoma"/>
        </w:rPr>
        <w:t xml:space="preserve"> </w:t>
      </w:r>
      <w:r w:rsidRPr="00EC694E">
        <w:rPr>
          <w:rFonts w:ascii="Palatino Linotype" w:hAnsi="Palatino Linotype" w:cs="Tahoma"/>
        </w:rPr>
        <w:t>de las funciones y medios de aquellas en provecho, económico o de otra índole, de</w:t>
      </w:r>
      <w:r>
        <w:rPr>
          <w:rFonts w:ascii="Palatino Linotype" w:hAnsi="Palatino Linotype" w:cs="Tahoma"/>
        </w:rPr>
        <w:t xml:space="preserve"> </w:t>
      </w:r>
      <w:r w:rsidRPr="00EC694E">
        <w:rPr>
          <w:rFonts w:ascii="Palatino Linotype" w:hAnsi="Palatino Linotype" w:cs="Tahoma"/>
        </w:rPr>
        <w:t>sus gestores”. Esto es, de acuerdo con la Academia Española, los actos de corrupción</w:t>
      </w:r>
      <w:r>
        <w:rPr>
          <w:rFonts w:ascii="Palatino Linotype" w:hAnsi="Palatino Linotype" w:cs="Tahoma"/>
        </w:rPr>
        <w:t xml:space="preserve"> </w:t>
      </w:r>
      <w:r w:rsidRPr="00EC694E">
        <w:rPr>
          <w:rFonts w:ascii="Palatino Linotype" w:hAnsi="Palatino Linotype" w:cs="Tahoma"/>
        </w:rPr>
        <w:t>implican un provecho de cualquier índole por parte de una persona en una</w:t>
      </w:r>
      <w:r>
        <w:rPr>
          <w:rFonts w:ascii="Palatino Linotype" w:hAnsi="Palatino Linotype" w:cs="Tahoma"/>
        </w:rPr>
        <w:t xml:space="preserve"> </w:t>
      </w:r>
      <w:r w:rsidRPr="00EC694E">
        <w:rPr>
          <w:rFonts w:ascii="Palatino Linotype" w:hAnsi="Palatino Linotype" w:cs="Tahoma"/>
        </w:rPr>
        <w:t>organización que abuse de sus funciones.</w:t>
      </w:r>
    </w:p>
    <w:p w14:paraId="21C61B57" w14:textId="77777777" w:rsidR="00EC694E" w:rsidRPr="00EC694E" w:rsidRDefault="00EC694E" w:rsidP="00EC694E">
      <w:pPr>
        <w:spacing w:line="360" w:lineRule="auto"/>
        <w:jc w:val="both"/>
        <w:rPr>
          <w:rFonts w:ascii="Palatino Linotype" w:hAnsi="Palatino Linotype" w:cs="Tahoma"/>
        </w:rPr>
      </w:pPr>
    </w:p>
    <w:p w14:paraId="4DF25273" w14:textId="274C8241" w:rsidR="00EC694E" w:rsidRPr="00EC694E" w:rsidRDefault="00EC694E" w:rsidP="00EC694E">
      <w:pPr>
        <w:spacing w:line="360" w:lineRule="auto"/>
        <w:jc w:val="both"/>
        <w:rPr>
          <w:rFonts w:ascii="Palatino Linotype" w:hAnsi="Palatino Linotype" w:cs="Tahoma"/>
        </w:rPr>
      </w:pPr>
      <w:r w:rsidRPr="00EC694E">
        <w:rPr>
          <w:rFonts w:ascii="Palatino Linotype" w:hAnsi="Palatino Linotype" w:cs="Tahoma"/>
        </w:rPr>
        <w:lastRenderedPageBreak/>
        <w:t>En nuestro país, la corrupción es vista por los ciudadanos como uno de los</w:t>
      </w:r>
      <w:r>
        <w:rPr>
          <w:rFonts w:ascii="Palatino Linotype" w:hAnsi="Palatino Linotype" w:cs="Tahoma"/>
        </w:rPr>
        <w:t xml:space="preserve"> </w:t>
      </w:r>
      <w:r w:rsidRPr="00EC694E">
        <w:rPr>
          <w:rFonts w:ascii="Palatino Linotype" w:hAnsi="Palatino Linotype" w:cs="Tahoma"/>
        </w:rPr>
        <w:t>problemas más grandes.</w:t>
      </w:r>
      <w:r w:rsidR="00DD7ECC">
        <w:rPr>
          <w:rFonts w:ascii="Palatino Linotype" w:hAnsi="Palatino Linotype" w:cs="Tahoma"/>
        </w:rPr>
        <w:t xml:space="preserve"> </w:t>
      </w:r>
      <w:r w:rsidRPr="00EC694E">
        <w:rPr>
          <w:rFonts w:ascii="Palatino Linotype" w:hAnsi="Palatino Linotype" w:cs="Tahoma"/>
        </w:rPr>
        <w:t>De acuerdo con el Instituto Nacional de Estadística y Geografía (INEGI), la</w:t>
      </w:r>
      <w:r>
        <w:rPr>
          <w:rFonts w:ascii="Palatino Linotype" w:hAnsi="Palatino Linotype" w:cs="Tahoma"/>
        </w:rPr>
        <w:t xml:space="preserve"> </w:t>
      </w:r>
      <w:r w:rsidRPr="00EC694E">
        <w:rPr>
          <w:rFonts w:ascii="Palatino Linotype" w:hAnsi="Palatino Linotype" w:cs="Tahoma"/>
        </w:rPr>
        <w:t>corrupción está catalogada por la población como el segundo problema que más les</w:t>
      </w:r>
      <w:r>
        <w:rPr>
          <w:rFonts w:ascii="Palatino Linotype" w:hAnsi="Palatino Linotype" w:cs="Tahoma"/>
        </w:rPr>
        <w:t xml:space="preserve"> </w:t>
      </w:r>
      <w:r w:rsidRPr="00EC694E">
        <w:rPr>
          <w:rFonts w:ascii="Palatino Linotype" w:hAnsi="Palatino Linotype" w:cs="Tahoma"/>
        </w:rPr>
        <w:t>preocupa. En el 2015, 9 de cada 10 personas mayores de 18 años consideró que la</w:t>
      </w:r>
      <w:r>
        <w:rPr>
          <w:rFonts w:ascii="Palatino Linotype" w:hAnsi="Palatino Linotype" w:cs="Tahoma"/>
        </w:rPr>
        <w:t xml:space="preserve"> </w:t>
      </w:r>
      <w:r w:rsidRPr="00EC694E">
        <w:rPr>
          <w:rFonts w:ascii="Palatino Linotype" w:hAnsi="Palatino Linotype" w:cs="Tahoma"/>
        </w:rPr>
        <w:t>corrupción se puede observar frecuentemente en los partidos políticos y en la</w:t>
      </w:r>
      <w:r>
        <w:rPr>
          <w:rFonts w:ascii="Palatino Linotype" w:hAnsi="Palatino Linotype" w:cs="Tahoma"/>
        </w:rPr>
        <w:t xml:space="preserve"> </w:t>
      </w:r>
      <w:r w:rsidRPr="00EC694E">
        <w:rPr>
          <w:rFonts w:ascii="Palatino Linotype" w:hAnsi="Palatino Linotype" w:cs="Tahoma"/>
        </w:rPr>
        <w:t>policía, y el 12.6% de las personas que tuvieron que realizar algún trámite del</w:t>
      </w:r>
      <w:r>
        <w:rPr>
          <w:rFonts w:ascii="Palatino Linotype" w:hAnsi="Palatino Linotype" w:cs="Tahoma"/>
        </w:rPr>
        <w:t xml:space="preserve"> </w:t>
      </w:r>
      <w:r w:rsidRPr="00EC694E">
        <w:rPr>
          <w:rFonts w:ascii="Palatino Linotype" w:hAnsi="Palatino Linotype" w:cs="Tahoma"/>
        </w:rPr>
        <w:t>gobierno, consideran que fueron víctimas de algún acto de corrupción.</w:t>
      </w:r>
    </w:p>
    <w:p w14:paraId="7E8B8634" w14:textId="77777777" w:rsidR="00EC694E" w:rsidRDefault="00EC694E" w:rsidP="00EC694E">
      <w:pPr>
        <w:spacing w:line="360" w:lineRule="auto"/>
        <w:jc w:val="both"/>
        <w:rPr>
          <w:rFonts w:ascii="Palatino Linotype" w:hAnsi="Palatino Linotype" w:cs="Tahoma"/>
        </w:rPr>
      </w:pPr>
    </w:p>
    <w:p w14:paraId="2E77A01D" w14:textId="609054A2" w:rsidR="00EC694E" w:rsidRDefault="00EC694E" w:rsidP="00EC694E">
      <w:pPr>
        <w:spacing w:line="360" w:lineRule="auto"/>
        <w:jc w:val="both"/>
        <w:rPr>
          <w:rFonts w:ascii="Palatino Linotype" w:hAnsi="Palatino Linotype" w:cs="Tahoma"/>
        </w:rPr>
      </w:pPr>
      <w:r w:rsidRPr="00EC694E">
        <w:rPr>
          <w:rFonts w:ascii="Palatino Linotype" w:hAnsi="Palatino Linotype" w:cs="Tahoma"/>
        </w:rPr>
        <w:t>Esto es, la población considera que la corrupción se da en todos los niveles de</w:t>
      </w:r>
      <w:r>
        <w:rPr>
          <w:rFonts w:ascii="Palatino Linotype" w:hAnsi="Palatino Linotype" w:cs="Tahoma"/>
        </w:rPr>
        <w:t xml:space="preserve"> </w:t>
      </w:r>
      <w:r w:rsidRPr="00EC694E">
        <w:rPr>
          <w:rFonts w:ascii="Palatino Linotype" w:hAnsi="Palatino Linotype" w:cs="Tahoma"/>
        </w:rPr>
        <w:t>gobierno, y que es un problema que México tiene en gran medida, a tal grado, que</w:t>
      </w:r>
      <w:r>
        <w:rPr>
          <w:rFonts w:ascii="Palatino Linotype" w:hAnsi="Palatino Linotype" w:cs="Tahoma"/>
        </w:rPr>
        <w:t xml:space="preserve"> </w:t>
      </w:r>
      <w:r w:rsidRPr="00EC694E">
        <w:rPr>
          <w:rFonts w:ascii="Palatino Linotype" w:hAnsi="Palatino Linotype" w:cs="Tahoma"/>
        </w:rPr>
        <w:t>la gente, después de la delincuencia organizada, lo identifica como el problema más</w:t>
      </w:r>
      <w:r>
        <w:rPr>
          <w:rFonts w:ascii="Palatino Linotype" w:hAnsi="Palatino Linotype" w:cs="Tahoma"/>
        </w:rPr>
        <w:t xml:space="preserve"> </w:t>
      </w:r>
      <w:r w:rsidRPr="00EC694E">
        <w:rPr>
          <w:rFonts w:ascii="Palatino Linotype" w:hAnsi="Palatino Linotype" w:cs="Tahoma"/>
        </w:rPr>
        <w:t>grande que tenemos, con el 50.9% de la población señalándolo como tal. Es</w:t>
      </w:r>
      <w:r>
        <w:rPr>
          <w:rFonts w:ascii="Palatino Linotype" w:hAnsi="Palatino Linotype" w:cs="Tahoma"/>
        </w:rPr>
        <w:t xml:space="preserve"> </w:t>
      </w:r>
      <w:r w:rsidRPr="00EC694E">
        <w:rPr>
          <w:rFonts w:ascii="Palatino Linotype" w:hAnsi="Palatino Linotype" w:cs="Tahoma"/>
        </w:rPr>
        <w:t>importante también tomar en cuenta que, desde el 2011, la percepción del mal</w:t>
      </w:r>
      <w:r>
        <w:rPr>
          <w:rFonts w:ascii="Palatino Linotype" w:hAnsi="Palatino Linotype" w:cs="Tahoma"/>
        </w:rPr>
        <w:t xml:space="preserve"> </w:t>
      </w:r>
      <w:r w:rsidRPr="00EC694E">
        <w:rPr>
          <w:rFonts w:ascii="Palatino Linotype" w:hAnsi="Palatino Linotype" w:cs="Tahoma"/>
        </w:rPr>
        <w:t>desempeño del gobierno ha crecido lo cual se puede decir viene de la mano con la</w:t>
      </w:r>
      <w:r>
        <w:rPr>
          <w:rFonts w:ascii="Palatino Linotype" w:hAnsi="Palatino Linotype" w:cs="Tahoma"/>
        </w:rPr>
        <w:t xml:space="preserve"> corrupción.</w:t>
      </w:r>
    </w:p>
    <w:p w14:paraId="55627309" w14:textId="77777777" w:rsidR="002E09FD" w:rsidRPr="00EC694E" w:rsidRDefault="002E09FD" w:rsidP="00EC694E">
      <w:pPr>
        <w:spacing w:line="360" w:lineRule="auto"/>
        <w:jc w:val="both"/>
        <w:rPr>
          <w:rFonts w:ascii="Palatino Linotype" w:hAnsi="Palatino Linotype" w:cs="Tahoma"/>
        </w:rPr>
      </w:pPr>
    </w:p>
    <w:p w14:paraId="40574663" w14:textId="760EDEB4" w:rsidR="00EC694E" w:rsidRPr="00EC694E" w:rsidRDefault="00EC694E" w:rsidP="00EC694E">
      <w:pPr>
        <w:spacing w:line="360" w:lineRule="auto"/>
        <w:jc w:val="both"/>
        <w:rPr>
          <w:rFonts w:ascii="Palatino Linotype" w:hAnsi="Palatino Linotype" w:cs="Tahoma"/>
        </w:rPr>
      </w:pPr>
      <w:r w:rsidRPr="00EC694E">
        <w:rPr>
          <w:rFonts w:ascii="Palatino Linotype" w:hAnsi="Palatino Linotype" w:cs="Tahoma"/>
        </w:rPr>
        <w:t>Y no solo eso, sino que la corrupción afecta también el sector económico del país. De</w:t>
      </w:r>
      <w:r>
        <w:rPr>
          <w:rFonts w:ascii="Palatino Linotype" w:hAnsi="Palatino Linotype" w:cs="Tahoma"/>
        </w:rPr>
        <w:t xml:space="preserve"> </w:t>
      </w:r>
      <w:r w:rsidRPr="00EC694E">
        <w:rPr>
          <w:rFonts w:ascii="Palatino Linotype" w:hAnsi="Palatino Linotype" w:cs="Tahoma"/>
        </w:rPr>
        <w:t>acuerdo con el Estudio de la OCDE sobre Integridad en México, el Instituto</w:t>
      </w:r>
      <w:r>
        <w:rPr>
          <w:rFonts w:ascii="Palatino Linotype" w:hAnsi="Palatino Linotype" w:cs="Tahoma"/>
        </w:rPr>
        <w:t xml:space="preserve"> </w:t>
      </w:r>
      <w:r w:rsidRPr="00EC694E">
        <w:rPr>
          <w:rFonts w:ascii="Palatino Linotype" w:hAnsi="Palatino Linotype" w:cs="Tahoma"/>
        </w:rPr>
        <w:t>Mexicano para la Competitividad (IMCO), estima que el 5% del Producto Interno</w:t>
      </w:r>
      <w:r>
        <w:rPr>
          <w:rFonts w:ascii="Palatino Linotype" w:hAnsi="Palatino Linotype" w:cs="Tahoma"/>
        </w:rPr>
        <w:t xml:space="preserve"> </w:t>
      </w:r>
      <w:r w:rsidRPr="00EC694E">
        <w:rPr>
          <w:rFonts w:ascii="Palatino Linotype" w:hAnsi="Palatino Linotype" w:cs="Tahoma"/>
        </w:rPr>
        <w:t>Bruto de</w:t>
      </w:r>
      <w:r>
        <w:rPr>
          <w:rFonts w:ascii="Palatino Linotype" w:hAnsi="Palatino Linotype" w:cs="Tahoma"/>
        </w:rPr>
        <w:t>l país se pierde por corrupción</w:t>
      </w:r>
      <w:r w:rsidRPr="00EC694E">
        <w:rPr>
          <w:rFonts w:ascii="Palatino Linotype" w:hAnsi="Palatino Linotype" w:cs="Tahoma"/>
        </w:rPr>
        <w:t>.</w:t>
      </w:r>
    </w:p>
    <w:p w14:paraId="2FDC4E8F" w14:textId="77777777" w:rsidR="00EC694E" w:rsidRDefault="00EC694E" w:rsidP="00EC694E">
      <w:pPr>
        <w:spacing w:line="360" w:lineRule="auto"/>
        <w:jc w:val="both"/>
        <w:rPr>
          <w:rFonts w:ascii="Palatino Linotype" w:hAnsi="Palatino Linotype" w:cs="Tahoma"/>
        </w:rPr>
      </w:pPr>
    </w:p>
    <w:p w14:paraId="0FEA709D" w14:textId="269D72AF" w:rsidR="00EC694E" w:rsidRPr="00EC694E" w:rsidRDefault="00EC694E" w:rsidP="00EC694E">
      <w:pPr>
        <w:spacing w:line="360" w:lineRule="auto"/>
        <w:jc w:val="both"/>
        <w:rPr>
          <w:rFonts w:ascii="Palatino Linotype" w:hAnsi="Palatino Linotype" w:cs="Tahoma"/>
        </w:rPr>
      </w:pPr>
      <w:r w:rsidRPr="00EC694E">
        <w:rPr>
          <w:rFonts w:ascii="Palatino Linotype" w:hAnsi="Palatino Linotype" w:cs="Tahoma"/>
        </w:rPr>
        <w:t>En los últimos años, el índice de percepción de la corrupción en nuestro país ha ido</w:t>
      </w:r>
      <w:r>
        <w:rPr>
          <w:rFonts w:ascii="Palatino Linotype" w:hAnsi="Palatino Linotype" w:cs="Tahoma"/>
        </w:rPr>
        <w:t xml:space="preserve"> </w:t>
      </w:r>
      <w:r w:rsidRPr="00EC694E">
        <w:rPr>
          <w:rFonts w:ascii="Palatino Linotype" w:hAnsi="Palatino Linotype" w:cs="Tahoma"/>
        </w:rPr>
        <w:t>empeorando, yendo desde 34 en el 2012, a 31 en el 2015, y 29 en el 20175.</w:t>
      </w:r>
      <w:r>
        <w:rPr>
          <w:rFonts w:ascii="Palatino Linotype" w:hAnsi="Palatino Linotype" w:cs="Tahoma"/>
        </w:rPr>
        <w:t xml:space="preserve"> </w:t>
      </w:r>
      <w:r w:rsidRPr="00EC694E">
        <w:rPr>
          <w:rFonts w:ascii="Palatino Linotype" w:hAnsi="Palatino Linotype" w:cs="Tahoma"/>
        </w:rPr>
        <w:t xml:space="preserve">Como </w:t>
      </w:r>
      <w:r w:rsidRPr="00EC694E">
        <w:rPr>
          <w:rFonts w:ascii="Palatino Linotype" w:hAnsi="Palatino Linotype" w:cs="Tahoma"/>
        </w:rPr>
        <w:lastRenderedPageBreak/>
        <w:t>consecuencia de todo lo anterior, el 27 de mayo del 2015 se publicó en el Diario</w:t>
      </w:r>
      <w:r>
        <w:rPr>
          <w:rFonts w:ascii="Palatino Linotype" w:hAnsi="Palatino Linotype" w:cs="Tahoma"/>
        </w:rPr>
        <w:t xml:space="preserve"> </w:t>
      </w:r>
      <w:r w:rsidRPr="00EC694E">
        <w:rPr>
          <w:rFonts w:ascii="Palatino Linotype" w:hAnsi="Palatino Linotype" w:cs="Tahoma"/>
        </w:rPr>
        <w:t>Oficial de la Federación una reforma constitucional en la que se buscó hacer modificaciones en diversos ámbitos del país, con la finalidad de combatir la</w:t>
      </w:r>
      <w:r>
        <w:rPr>
          <w:rFonts w:ascii="Palatino Linotype" w:hAnsi="Palatino Linotype" w:cs="Tahoma"/>
        </w:rPr>
        <w:t xml:space="preserve"> </w:t>
      </w:r>
      <w:r w:rsidRPr="00EC694E">
        <w:rPr>
          <w:rFonts w:ascii="Palatino Linotype" w:hAnsi="Palatino Linotype" w:cs="Tahoma"/>
        </w:rPr>
        <w:t>corrupción. Ahora, en México, existe un Sistema Nacional Anticorrupción que busca</w:t>
      </w:r>
      <w:r>
        <w:rPr>
          <w:rFonts w:ascii="Palatino Linotype" w:hAnsi="Palatino Linotype" w:cs="Tahoma"/>
        </w:rPr>
        <w:t xml:space="preserve"> </w:t>
      </w:r>
      <w:r w:rsidRPr="00EC694E">
        <w:rPr>
          <w:rFonts w:ascii="Palatino Linotype" w:hAnsi="Palatino Linotype" w:cs="Tahoma"/>
        </w:rPr>
        <w:t>erradicar y prevenir estos actos que, como todos sabemos, se dan en una gran</w:t>
      </w:r>
      <w:r>
        <w:rPr>
          <w:rFonts w:ascii="Palatino Linotype" w:hAnsi="Palatino Linotype" w:cs="Tahoma"/>
        </w:rPr>
        <w:t xml:space="preserve"> </w:t>
      </w:r>
      <w:r w:rsidRPr="00EC694E">
        <w:rPr>
          <w:rFonts w:ascii="Palatino Linotype" w:hAnsi="Palatino Linotype" w:cs="Tahoma"/>
        </w:rPr>
        <w:t>medida en todos los niveles de gobierno.</w:t>
      </w:r>
    </w:p>
    <w:p w14:paraId="4EF422B9" w14:textId="77777777" w:rsidR="00EC694E" w:rsidRDefault="00EC694E" w:rsidP="00EC694E">
      <w:pPr>
        <w:spacing w:line="360" w:lineRule="auto"/>
        <w:jc w:val="both"/>
        <w:rPr>
          <w:rFonts w:ascii="Palatino Linotype" w:hAnsi="Palatino Linotype" w:cs="Tahoma"/>
        </w:rPr>
      </w:pPr>
    </w:p>
    <w:p w14:paraId="1F9E0B86" w14:textId="08F01063" w:rsidR="00EC694E" w:rsidRPr="00EC694E" w:rsidRDefault="00EC694E" w:rsidP="00EC694E">
      <w:pPr>
        <w:spacing w:line="360" w:lineRule="auto"/>
        <w:jc w:val="both"/>
        <w:rPr>
          <w:rFonts w:ascii="Palatino Linotype" w:hAnsi="Palatino Linotype" w:cs="Tahoma"/>
        </w:rPr>
      </w:pPr>
      <w:r w:rsidRPr="00EC694E">
        <w:rPr>
          <w:rFonts w:ascii="Palatino Linotype" w:hAnsi="Palatino Linotype" w:cs="Tahoma"/>
        </w:rPr>
        <w:t>Además, proporcionar dicha información, no genera una afectación a su honor,</w:t>
      </w:r>
      <w:r>
        <w:rPr>
          <w:rFonts w:ascii="Palatino Linotype" w:hAnsi="Palatino Linotype" w:cs="Tahoma"/>
        </w:rPr>
        <w:t xml:space="preserve"> </w:t>
      </w:r>
      <w:r w:rsidRPr="00EC694E">
        <w:rPr>
          <w:rFonts w:ascii="Palatino Linotype" w:hAnsi="Palatino Linotype" w:cs="Tahoma"/>
        </w:rPr>
        <w:t>intimidad o buena imagen, pues contrario a esto, a través de la resolución, es posible</w:t>
      </w:r>
      <w:r>
        <w:rPr>
          <w:rFonts w:ascii="Palatino Linotype" w:hAnsi="Palatino Linotype" w:cs="Tahoma"/>
        </w:rPr>
        <w:t xml:space="preserve"> </w:t>
      </w:r>
      <w:r w:rsidRPr="00EC694E">
        <w:rPr>
          <w:rFonts w:ascii="Palatino Linotype" w:hAnsi="Palatino Linotype" w:cs="Tahoma"/>
        </w:rPr>
        <w:t>conocer que la actuación del servidor público, fue apegada a la normatividad</w:t>
      </w:r>
      <w:r>
        <w:rPr>
          <w:rFonts w:ascii="Palatino Linotype" w:hAnsi="Palatino Linotype" w:cs="Tahoma"/>
        </w:rPr>
        <w:t xml:space="preserve"> </w:t>
      </w:r>
      <w:r w:rsidRPr="00EC694E">
        <w:rPr>
          <w:rFonts w:ascii="Palatino Linotype" w:hAnsi="Palatino Linotype" w:cs="Tahoma"/>
        </w:rPr>
        <w:t>aplicable, esto es, que ha ejercido su cargo, de manera honesta, responsable y</w:t>
      </w:r>
      <w:r>
        <w:rPr>
          <w:rFonts w:ascii="Palatino Linotype" w:hAnsi="Palatino Linotype" w:cs="Tahoma"/>
        </w:rPr>
        <w:t xml:space="preserve"> </w:t>
      </w:r>
      <w:r w:rsidRPr="00EC694E">
        <w:rPr>
          <w:rFonts w:ascii="Palatino Linotype" w:hAnsi="Palatino Linotype" w:cs="Tahoma"/>
        </w:rPr>
        <w:t>conforme a lo establecido en las diversas disposiciones.</w:t>
      </w:r>
    </w:p>
    <w:p w14:paraId="31833A26" w14:textId="41735B56" w:rsidR="00EC694E" w:rsidRPr="00EC694E" w:rsidRDefault="00EC694E" w:rsidP="00EC694E">
      <w:pPr>
        <w:spacing w:line="360" w:lineRule="auto"/>
        <w:jc w:val="both"/>
        <w:rPr>
          <w:rFonts w:ascii="Palatino Linotype" w:hAnsi="Palatino Linotype" w:cs="Tahoma"/>
        </w:rPr>
      </w:pPr>
      <w:r w:rsidRPr="00EC694E">
        <w:rPr>
          <w:rFonts w:ascii="Palatino Linotype" w:hAnsi="Palatino Linotype" w:cs="Tahoma"/>
        </w:rPr>
        <w:t>En ese orden de ideas, dar a conocer la información relativa a las resoluciones</w:t>
      </w:r>
      <w:r>
        <w:rPr>
          <w:rFonts w:ascii="Palatino Linotype" w:hAnsi="Palatino Linotype" w:cs="Tahoma"/>
        </w:rPr>
        <w:t xml:space="preserve"> </w:t>
      </w:r>
      <w:r w:rsidRPr="00EC694E">
        <w:rPr>
          <w:rFonts w:ascii="Palatino Linotype" w:hAnsi="Palatino Linotype" w:cs="Tahoma"/>
        </w:rPr>
        <w:t>absolutorias por faltas administrativas graves, esto es, donde no se hubiera</w:t>
      </w:r>
      <w:r>
        <w:rPr>
          <w:rFonts w:ascii="Palatino Linotype" w:hAnsi="Palatino Linotype" w:cs="Tahoma"/>
        </w:rPr>
        <w:t xml:space="preserve"> </w:t>
      </w:r>
      <w:r w:rsidRPr="00EC694E">
        <w:rPr>
          <w:rFonts w:ascii="Palatino Linotype" w:hAnsi="Palatino Linotype" w:cs="Tahoma"/>
        </w:rPr>
        <w:t>determinado la responsabilidad administrativa de los servidores públicos, en caso</w:t>
      </w:r>
      <w:r>
        <w:rPr>
          <w:rFonts w:ascii="Palatino Linotype" w:hAnsi="Palatino Linotype" w:cs="Tahoma"/>
        </w:rPr>
        <w:t xml:space="preserve"> </w:t>
      </w:r>
      <w:r w:rsidRPr="00EC694E">
        <w:rPr>
          <w:rFonts w:ascii="Palatino Linotype" w:hAnsi="Palatino Linotype" w:cs="Tahoma"/>
        </w:rPr>
        <w:t>de su existencia, en relación con un servidor público no implica una vulneración a</w:t>
      </w:r>
      <w:r>
        <w:rPr>
          <w:rFonts w:ascii="Palatino Linotype" w:hAnsi="Palatino Linotype" w:cs="Tahoma"/>
        </w:rPr>
        <w:t xml:space="preserve"> </w:t>
      </w:r>
      <w:r w:rsidRPr="00EC694E">
        <w:rPr>
          <w:rFonts w:ascii="Palatino Linotype" w:hAnsi="Palatino Linotype" w:cs="Tahoma"/>
        </w:rPr>
        <w:t>su honor o intimidad, ya que dichos procedimientos determinan la falta de</w:t>
      </w:r>
      <w:r>
        <w:rPr>
          <w:rFonts w:ascii="Palatino Linotype" w:hAnsi="Palatino Linotype" w:cs="Tahoma"/>
        </w:rPr>
        <w:t xml:space="preserve"> </w:t>
      </w:r>
      <w:r w:rsidRPr="00EC694E">
        <w:rPr>
          <w:rFonts w:ascii="Palatino Linotype" w:hAnsi="Palatino Linotype" w:cs="Tahoma"/>
        </w:rPr>
        <w:t>elementos para sancionarlo.</w:t>
      </w:r>
    </w:p>
    <w:p w14:paraId="125AA43E" w14:textId="77777777" w:rsidR="00EC694E" w:rsidRPr="00EC694E" w:rsidRDefault="00EC694E" w:rsidP="00EC694E">
      <w:pPr>
        <w:pStyle w:val="Prrafodelista"/>
        <w:spacing w:line="360" w:lineRule="auto"/>
        <w:jc w:val="both"/>
        <w:rPr>
          <w:rFonts w:ascii="Palatino Linotype" w:hAnsi="Palatino Linotype" w:cs="Tahoma"/>
        </w:rPr>
      </w:pPr>
    </w:p>
    <w:p w14:paraId="44844366" w14:textId="0E80F5C1" w:rsidR="00EC694E" w:rsidRDefault="00EC694E" w:rsidP="00EC694E">
      <w:pPr>
        <w:spacing w:line="360" w:lineRule="auto"/>
        <w:jc w:val="both"/>
        <w:rPr>
          <w:rFonts w:ascii="Palatino Linotype" w:hAnsi="Palatino Linotype" w:cs="Tahoma"/>
        </w:rPr>
      </w:pPr>
      <w:r w:rsidRPr="00EC694E">
        <w:rPr>
          <w:rFonts w:ascii="Palatino Linotype" w:hAnsi="Palatino Linotype" w:cs="Tahoma"/>
        </w:rPr>
        <w:t xml:space="preserve">Por otro lado, en la tesis aislada con el rubro </w:t>
      </w:r>
      <w:r w:rsidRPr="00DD7ECC">
        <w:rPr>
          <w:rFonts w:ascii="Palatino Linotype" w:hAnsi="Palatino Linotype" w:cs="Tahoma"/>
          <w:b/>
        </w:rPr>
        <w:t>DERECHO A SER INFORMADO Y DERECHO AL HONOR. ESTÁNDAR PARA DETERMINAR SU PREVALENCIA</w:t>
      </w:r>
      <w:r w:rsidRPr="00EC694E">
        <w:rPr>
          <w:rFonts w:ascii="Palatino Linotype" w:hAnsi="Palatino Linotype" w:cs="Tahoma"/>
        </w:rPr>
        <w:t>, la Suprema Corte de Justicia de la Nación ha señalado que el</w:t>
      </w:r>
      <w:r>
        <w:rPr>
          <w:rFonts w:ascii="Palatino Linotype" w:hAnsi="Palatino Linotype" w:cs="Tahoma"/>
        </w:rPr>
        <w:t xml:space="preserve"> </w:t>
      </w:r>
      <w:r w:rsidRPr="00EC694E">
        <w:rPr>
          <w:rFonts w:ascii="Palatino Linotype" w:hAnsi="Palatino Linotype" w:cs="Tahoma"/>
        </w:rPr>
        <w:t>derecho a la información no es absoluto, pues si bien el Estado tiene la obligación de</w:t>
      </w:r>
      <w:r>
        <w:rPr>
          <w:rFonts w:ascii="Palatino Linotype" w:hAnsi="Palatino Linotype" w:cs="Tahoma"/>
        </w:rPr>
        <w:t xml:space="preserve"> </w:t>
      </w:r>
      <w:r w:rsidRPr="00EC694E">
        <w:rPr>
          <w:rFonts w:ascii="Palatino Linotype" w:hAnsi="Palatino Linotype" w:cs="Tahoma"/>
        </w:rPr>
        <w:lastRenderedPageBreak/>
        <w:t>informar a la población sobre temas de relevancia pública, también debe proteger y garantizar el derecho al honor a la reputación de las personas; por lo que, para que</w:t>
      </w:r>
      <w:r>
        <w:rPr>
          <w:rFonts w:ascii="Palatino Linotype" w:hAnsi="Palatino Linotype" w:cs="Tahoma"/>
        </w:rPr>
        <w:t xml:space="preserve"> </w:t>
      </w:r>
      <w:r w:rsidRPr="00EC694E">
        <w:rPr>
          <w:rFonts w:ascii="Palatino Linotype" w:hAnsi="Palatino Linotype" w:cs="Tahoma"/>
        </w:rPr>
        <w:t>la autoridad pueda difundir ciertos datos, debe cerciorarse que los mismos sean de</w:t>
      </w:r>
      <w:r>
        <w:rPr>
          <w:rFonts w:ascii="Palatino Linotype" w:hAnsi="Palatino Linotype" w:cs="Tahoma"/>
        </w:rPr>
        <w:t xml:space="preserve"> </w:t>
      </w:r>
      <w:r w:rsidRPr="00EC694E">
        <w:rPr>
          <w:rFonts w:ascii="Palatino Linotype" w:hAnsi="Palatino Linotype" w:cs="Tahoma"/>
        </w:rPr>
        <w:t>relevancia pública o interés general, o bien, versen sobre personas con un impacto</w:t>
      </w:r>
      <w:r>
        <w:rPr>
          <w:rFonts w:ascii="Palatino Linotype" w:hAnsi="Palatino Linotype" w:cs="Tahoma"/>
        </w:rPr>
        <w:t xml:space="preserve"> </w:t>
      </w:r>
      <w:r w:rsidRPr="00EC694E">
        <w:rPr>
          <w:rFonts w:ascii="Palatino Linotype" w:hAnsi="Palatino Linotype" w:cs="Tahoma"/>
        </w:rPr>
        <w:t>público o social. Además, la información debe constituir una certera aproximación</w:t>
      </w:r>
      <w:r>
        <w:rPr>
          <w:rFonts w:ascii="Palatino Linotype" w:hAnsi="Palatino Linotype" w:cs="Tahoma"/>
        </w:rPr>
        <w:t xml:space="preserve"> </w:t>
      </w:r>
      <w:r w:rsidRPr="00EC694E">
        <w:rPr>
          <w:rFonts w:ascii="Palatino Linotype" w:hAnsi="Palatino Linotype" w:cs="Tahoma"/>
        </w:rPr>
        <w:t>a la realidad, lo cual puede derivar de que la autoridad emisora de la información la</w:t>
      </w:r>
      <w:r>
        <w:rPr>
          <w:rFonts w:ascii="Palatino Linotype" w:hAnsi="Palatino Linotype" w:cs="Tahoma"/>
        </w:rPr>
        <w:t xml:space="preserve"> </w:t>
      </w:r>
      <w:r w:rsidRPr="00EC694E">
        <w:rPr>
          <w:rFonts w:ascii="Palatino Linotype" w:hAnsi="Palatino Linotype" w:cs="Tahoma"/>
        </w:rPr>
        <w:t>obtenga de investigaciones, informes o estadísticas propios o de otras autoridades,</w:t>
      </w:r>
      <w:r>
        <w:rPr>
          <w:rFonts w:ascii="Palatino Linotype" w:hAnsi="Palatino Linotype" w:cs="Tahoma"/>
        </w:rPr>
        <w:t xml:space="preserve"> </w:t>
      </w:r>
      <w:r w:rsidRPr="00EC694E">
        <w:rPr>
          <w:rFonts w:ascii="Palatino Linotype" w:hAnsi="Palatino Linotype" w:cs="Tahoma"/>
        </w:rPr>
        <w:t>así como, de hechos notorios para la sociedad. Finalmente, debe carecer de toda</w:t>
      </w:r>
      <w:r>
        <w:rPr>
          <w:rFonts w:ascii="Palatino Linotype" w:hAnsi="Palatino Linotype" w:cs="Tahoma"/>
        </w:rPr>
        <w:t xml:space="preserve"> </w:t>
      </w:r>
      <w:r w:rsidRPr="00EC694E">
        <w:rPr>
          <w:rFonts w:ascii="Palatino Linotype" w:hAnsi="Palatino Linotype" w:cs="Tahoma"/>
        </w:rPr>
        <w:t>intervención de juicios o valoraciones subjetivas que no tengan como fin informar a</w:t>
      </w:r>
      <w:r>
        <w:rPr>
          <w:rFonts w:ascii="Palatino Linotype" w:hAnsi="Palatino Linotype" w:cs="Tahoma"/>
        </w:rPr>
        <w:t xml:space="preserve"> </w:t>
      </w:r>
      <w:r w:rsidRPr="00EC694E">
        <w:rPr>
          <w:rFonts w:ascii="Palatino Linotype" w:hAnsi="Palatino Linotype" w:cs="Tahoma"/>
        </w:rPr>
        <w:t>la sociedad, sino que pretendan establecer una postura, opinión o crítica hacia la</w:t>
      </w:r>
      <w:r>
        <w:rPr>
          <w:rFonts w:ascii="Palatino Linotype" w:hAnsi="Palatino Linotype" w:cs="Tahoma"/>
        </w:rPr>
        <w:t xml:space="preserve"> </w:t>
      </w:r>
      <w:r w:rsidRPr="00EC694E">
        <w:rPr>
          <w:rFonts w:ascii="Palatino Linotype" w:hAnsi="Palatino Linotype" w:cs="Tahoma"/>
        </w:rPr>
        <w:t>persona.</w:t>
      </w:r>
    </w:p>
    <w:p w14:paraId="205FEEAE" w14:textId="77777777" w:rsidR="00181AA2" w:rsidRDefault="00181AA2" w:rsidP="00EC694E">
      <w:pPr>
        <w:spacing w:line="360" w:lineRule="auto"/>
        <w:jc w:val="both"/>
        <w:rPr>
          <w:rFonts w:ascii="Palatino Linotype" w:hAnsi="Palatino Linotype" w:cs="Tahoma"/>
        </w:rPr>
      </w:pPr>
    </w:p>
    <w:bookmarkEnd w:id="2"/>
    <w:p w14:paraId="531965BF" w14:textId="12C83D60" w:rsidR="005C4513" w:rsidRPr="00EE3BE9" w:rsidRDefault="002E09FD" w:rsidP="005C4513">
      <w:pPr>
        <w:pStyle w:val="Prrafodelista"/>
        <w:spacing w:line="360" w:lineRule="auto"/>
        <w:ind w:left="0"/>
        <w:jc w:val="both"/>
        <w:rPr>
          <w:rFonts w:ascii="Palatino Linotype" w:hAnsi="Palatino Linotype" w:cs="Tahoma"/>
        </w:rPr>
      </w:pPr>
      <w:r>
        <w:rPr>
          <w:rFonts w:ascii="Palatino Linotype" w:hAnsi="Palatino Linotype" w:cs="Tahoma"/>
        </w:rPr>
        <w:t>Sino más bien a que</w:t>
      </w:r>
      <w:r w:rsidR="006D5287" w:rsidRPr="00EE3BE9">
        <w:rPr>
          <w:rFonts w:ascii="Palatino Linotype" w:hAnsi="Palatino Linotype" w:cs="Tahoma"/>
        </w:rPr>
        <w:t xml:space="preserve"> el servicio público </w:t>
      </w:r>
      <w:r>
        <w:rPr>
          <w:rFonts w:ascii="Palatino Linotype" w:hAnsi="Palatino Linotype" w:cs="Tahoma"/>
        </w:rPr>
        <w:t>es</w:t>
      </w:r>
      <w:r w:rsidR="006D5287" w:rsidRPr="00EE3BE9">
        <w:rPr>
          <w:rFonts w:ascii="Palatino Linotype" w:hAnsi="Palatino Linotype" w:cs="Tahoma"/>
        </w:rPr>
        <w:t>, transparente y efectivo en el cumplimiento de su misió</w:t>
      </w:r>
      <w:r w:rsidR="00EC694E">
        <w:rPr>
          <w:rFonts w:ascii="Palatino Linotype" w:hAnsi="Palatino Linotype" w:cs="Tahoma"/>
        </w:rPr>
        <w:t>n de servir a la comunidad, p</w:t>
      </w:r>
      <w:r w:rsidR="005C4513" w:rsidRPr="00EE3BE9">
        <w:rPr>
          <w:rFonts w:ascii="Palatino Linotype" w:hAnsi="Palatino Linotype" w:cs="Tahoma"/>
        </w:rPr>
        <w:t xml:space="preserve">or tanto, </w:t>
      </w:r>
      <w:r w:rsidR="006D5287" w:rsidRPr="00EE3BE9">
        <w:rPr>
          <w:rFonts w:ascii="Palatino Linotype" w:hAnsi="Palatino Linotype" w:cs="Tahoma"/>
        </w:rPr>
        <w:t>los servidores públicos</w:t>
      </w:r>
      <w:r w:rsidR="005C4513" w:rsidRPr="00EE3BE9">
        <w:rPr>
          <w:rFonts w:ascii="Palatino Linotype" w:hAnsi="Palatino Linotype" w:cs="Tahoma"/>
        </w:rPr>
        <w:t xml:space="preserve"> deben regirse por lo establecido en </w:t>
      </w:r>
      <w:r w:rsidR="00707DB0" w:rsidRPr="00EE3BE9">
        <w:rPr>
          <w:rFonts w:ascii="Palatino Linotype" w:hAnsi="Palatino Linotype" w:cs="Tahoma"/>
        </w:rPr>
        <w:t xml:space="preserve">el marco legal </w:t>
      </w:r>
      <w:r w:rsidR="005C4513" w:rsidRPr="00EE3BE9">
        <w:rPr>
          <w:rFonts w:ascii="Palatino Linotype" w:hAnsi="Palatino Linotype" w:cs="Tahoma"/>
        </w:rPr>
        <w:t xml:space="preserve"> a fin de acreditar el cumplimiento de los principios constitucionales de legalidad, objetividad, eficiencia, profesionalismo, honradez y respeto a los derechos humanos. </w:t>
      </w:r>
    </w:p>
    <w:p w14:paraId="1DCDA665" w14:textId="77777777" w:rsidR="00EE3BE9" w:rsidRPr="00EE3BE9" w:rsidRDefault="00EE3BE9" w:rsidP="005C4513">
      <w:pPr>
        <w:pStyle w:val="Prrafodelista"/>
        <w:spacing w:line="360" w:lineRule="auto"/>
        <w:ind w:left="0"/>
        <w:jc w:val="both"/>
        <w:rPr>
          <w:rFonts w:ascii="Palatino Linotype" w:hAnsi="Palatino Linotype" w:cs="Tahoma"/>
        </w:rPr>
      </w:pPr>
    </w:p>
    <w:p w14:paraId="10613E89" w14:textId="2DAE966D" w:rsidR="005C4513" w:rsidRPr="00EE3BE9" w:rsidRDefault="00EE3BE9" w:rsidP="005C4513">
      <w:pPr>
        <w:pStyle w:val="Prrafodelista"/>
        <w:spacing w:line="360" w:lineRule="auto"/>
        <w:ind w:left="0"/>
        <w:jc w:val="both"/>
        <w:rPr>
          <w:rFonts w:ascii="Palatino Linotype" w:hAnsi="Palatino Linotype"/>
          <w:b/>
        </w:rPr>
      </w:pPr>
      <w:r w:rsidRPr="00EE3BE9">
        <w:rPr>
          <w:rFonts w:ascii="Palatino Linotype" w:hAnsi="Palatino Linotype"/>
          <w:b/>
        </w:rPr>
        <w:t>B. Conclusión</w:t>
      </w:r>
    </w:p>
    <w:p w14:paraId="439ED40C" w14:textId="77777777" w:rsidR="003B138A" w:rsidRDefault="002E09FD" w:rsidP="003B138A">
      <w:pPr>
        <w:pStyle w:val="Textoindependiente"/>
        <w:spacing w:line="360" w:lineRule="auto"/>
        <w:ind w:right="247"/>
        <w:jc w:val="both"/>
      </w:pPr>
      <w:r>
        <w:t xml:space="preserve">No se comparte la clasificación como confidencial del nombre y cargo, área de adscripción y aquellos datos personales que hagan identificable a una persona de los Servidores Públicos absueltos en el caso de procedimientos administrativos iniciados por faltas graves, al considerar la trascendencia de las conductas </w:t>
      </w:r>
      <w:r>
        <w:lastRenderedPageBreak/>
        <w:t>investigadas, que resultan relevantes por su impacto social o consecuencias jurídicas, por ende, entregar la información transparenta la gestión pública y la rendición de cuentas, pues se observa que han cumplido con los principios que rigen el servicio público.</w:t>
      </w:r>
    </w:p>
    <w:p w14:paraId="66438DC3" w14:textId="77777777" w:rsidR="003B138A" w:rsidRDefault="003B138A" w:rsidP="003B138A">
      <w:pPr>
        <w:pStyle w:val="Textoindependiente"/>
        <w:spacing w:line="360" w:lineRule="auto"/>
        <w:ind w:right="247"/>
        <w:jc w:val="both"/>
        <w:rPr>
          <w:rFonts w:eastAsia="Calibri" w:cs="Tahoma"/>
          <w:bCs/>
          <w:lang w:val="es-MX"/>
        </w:rPr>
      </w:pPr>
    </w:p>
    <w:p w14:paraId="75D96328" w14:textId="0004EB9D" w:rsidR="008936B4" w:rsidRPr="00EE3BE9" w:rsidRDefault="008936B4" w:rsidP="009D583D">
      <w:pPr>
        <w:pStyle w:val="Textoindependiente"/>
        <w:spacing w:line="360" w:lineRule="auto"/>
        <w:ind w:right="247"/>
        <w:jc w:val="both"/>
        <w:rPr>
          <w:rFonts w:eastAsia="Calibri" w:cs="Tahoma"/>
          <w:bCs/>
          <w:lang w:val="es-MX"/>
        </w:rPr>
      </w:pPr>
      <w:r w:rsidRPr="00EE3BE9">
        <w:rPr>
          <w:rFonts w:eastAsia="Calibri" w:cs="Tahoma"/>
          <w:bCs/>
          <w:lang w:val="es-MX"/>
        </w:rPr>
        <w:t>Lo anterior expone razones suficientes para la emisión y presentación del presente Voto Particular.---------------------------------------------------------------------------------------------------------------------------------------------------------------</w:t>
      </w:r>
      <w:r w:rsidR="003B138A">
        <w:rPr>
          <w:rFonts w:eastAsia="Calibri" w:cs="Tahoma"/>
          <w:bCs/>
          <w:lang w:val="es-MX"/>
        </w:rPr>
        <w:t xml:space="preserve">--------------------------------------------------------------------------------------------------------------------------------------------- </w:t>
      </w:r>
      <w:bookmarkStart w:id="3" w:name="_GoBack"/>
      <w:bookmarkEnd w:id="3"/>
    </w:p>
    <w:sectPr w:rsidR="008936B4" w:rsidRPr="00EE3BE9"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FA72D" w14:textId="77777777" w:rsidR="00C92139" w:rsidRDefault="00C92139" w:rsidP="00C80F8C">
      <w:r>
        <w:separator/>
      </w:r>
    </w:p>
  </w:endnote>
  <w:endnote w:type="continuationSeparator" w:id="0">
    <w:p w14:paraId="75185D44" w14:textId="77777777" w:rsidR="00C92139" w:rsidRDefault="00C9213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72E0D" w14:textId="77777777" w:rsidR="00C92139" w:rsidRDefault="00C92139" w:rsidP="00C80F8C">
      <w:r>
        <w:separator/>
      </w:r>
    </w:p>
  </w:footnote>
  <w:footnote w:type="continuationSeparator" w:id="0">
    <w:p w14:paraId="1D3F4AFB" w14:textId="77777777" w:rsidR="00C92139" w:rsidRDefault="00C9213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C92139">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08E782C2" w:rsidR="00F47FB5" w:rsidRPr="00F47FB5" w:rsidRDefault="00C92139"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164BA4A9" w14:textId="3891B49F" w:rsidR="0067381F" w:rsidRPr="00104DE0" w:rsidRDefault="00F47FB5" w:rsidP="00F47FB5">
    <w:pPr>
      <w:pStyle w:val="Encabezado"/>
      <w:ind w:left="2835" w:right="-250"/>
      <w:rPr>
        <w:rFonts w:ascii="Palatino Linotype" w:hAnsi="Palatino Linotype" w:cs="Arial"/>
        <w:bCs/>
        <w:lang w:eastAsia="es-MX"/>
      </w:rPr>
    </w:pPr>
    <w:r>
      <w:rPr>
        <w:rFonts w:ascii="Palatino Linotype" w:hAnsi="Palatino Linotype" w:cs="Tahoma"/>
        <w:b/>
      </w:rPr>
      <w:t xml:space="preserve">Recurso de Revisión: </w:t>
    </w:r>
    <w:r w:rsidR="00104DE0" w:rsidRPr="00104DE0">
      <w:rPr>
        <w:rFonts w:ascii="Palatino Linotype" w:hAnsi="Palatino Linotype" w:cs="Tahoma"/>
        <w:bCs/>
        <w:color w:val="0D0D0D" w:themeColor="text1" w:themeTint="F2"/>
        <w:sz w:val="22"/>
        <w:szCs w:val="22"/>
      </w:rPr>
      <w:t>02101/INFOEM/IP/RR/2023</w:t>
    </w:r>
  </w:p>
  <w:p w14:paraId="18A27B0D" w14:textId="6A416B5D" w:rsidR="00F662BC" w:rsidRPr="00104DE0" w:rsidRDefault="00F47FB5" w:rsidP="00F47FB5">
    <w:pPr>
      <w:pStyle w:val="Encabezado"/>
      <w:ind w:left="2835" w:right="-250"/>
      <w:rPr>
        <w:rFonts w:ascii="Palatino Linotype" w:hAnsi="Palatino Linotype" w:cs="Arial"/>
        <w:bCs/>
      </w:rPr>
    </w:pPr>
    <w:r>
      <w:rPr>
        <w:rFonts w:ascii="Palatino Linotype" w:hAnsi="Palatino Linotype" w:cs="Tahoma"/>
        <w:b/>
      </w:rPr>
      <w:t>Sujeto Obligado:</w:t>
    </w:r>
    <w:r>
      <w:rPr>
        <w:rFonts w:ascii="Palatino Linotype" w:eastAsia="Palatino Linotype" w:hAnsi="Palatino Linotype" w:cs="Palatino Linotype"/>
        <w:b/>
      </w:rPr>
      <w:t xml:space="preserve"> </w:t>
    </w:r>
    <w:r w:rsidR="00104DE0" w:rsidRPr="00104DE0">
      <w:rPr>
        <w:rFonts w:ascii="Palatino Linotype" w:eastAsia="Calibri" w:hAnsi="Palatino Linotype" w:cs="Tahoma"/>
        <w:bCs/>
        <w:sz w:val="22"/>
        <w:szCs w:val="22"/>
        <w:lang w:eastAsia="en-US"/>
      </w:rPr>
      <w:t>Ayuntamiento de Tultitlán</w:t>
    </w:r>
  </w:p>
  <w:p w14:paraId="71104997" w14:textId="3C80F015" w:rsidR="00634485" w:rsidRDefault="006822ED" w:rsidP="006822ED">
    <w:pPr>
      <w:pStyle w:val="Encabezado"/>
      <w:tabs>
        <w:tab w:val="clear" w:pos="4252"/>
        <w:tab w:val="clear" w:pos="8504"/>
        <w:tab w:val="left" w:pos="226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C92139">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68E"/>
    <w:multiLevelType w:val="hybridMultilevel"/>
    <w:tmpl w:val="590A6FC8"/>
    <w:lvl w:ilvl="0" w:tplc="E2BE5898">
      <w:start w:val="1"/>
      <w:numFmt w:val="low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BB319F"/>
    <w:multiLevelType w:val="multilevel"/>
    <w:tmpl w:val="A7F85A5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u w:val="non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5"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393706"/>
    <w:multiLevelType w:val="hybridMultilevel"/>
    <w:tmpl w:val="1B68D8B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20"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1C67A4"/>
    <w:multiLevelType w:val="hybridMultilevel"/>
    <w:tmpl w:val="A1C48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31149D"/>
    <w:multiLevelType w:val="multilevel"/>
    <w:tmpl w:val="A67ED35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6"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7"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2"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51647D1"/>
    <w:multiLevelType w:val="hybridMultilevel"/>
    <w:tmpl w:val="EBCCAD4A"/>
    <w:lvl w:ilvl="0" w:tplc="5E323F4C">
      <w:start w:val="1"/>
      <w:numFmt w:val="decimal"/>
      <w:lvlText w:val="%1."/>
      <w:lvlJc w:val="left"/>
      <w:pPr>
        <w:ind w:left="720" w:hanging="360"/>
      </w:pPr>
      <w:rPr>
        <w:rFonts w:ascii="Palatino Linotype" w:eastAsia="Palatino Linotype" w:hAnsi="Palatino Linotype" w:cs="Palatino Linotype"/>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6"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8"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0"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5"/>
  </w:num>
  <w:num w:numId="3">
    <w:abstractNumId w:val="12"/>
  </w:num>
  <w:num w:numId="4">
    <w:abstractNumId w:val="16"/>
  </w:num>
  <w:num w:numId="5">
    <w:abstractNumId w:val="36"/>
  </w:num>
  <w:num w:numId="6">
    <w:abstractNumId w:val="34"/>
  </w:num>
  <w:num w:numId="7">
    <w:abstractNumId w:val="27"/>
  </w:num>
  <w:num w:numId="8">
    <w:abstractNumId w:val="4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4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3"/>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43"/>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5"/>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6"/>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lvlOverride w:ilvl="2"/>
    <w:lvlOverride w:ilvl="3"/>
    <w:lvlOverride w:ilvl="4"/>
    <w:lvlOverride w:ilvl="5"/>
    <w:lvlOverride w:ilvl="6"/>
    <w:lvlOverride w:ilvl="7"/>
    <w:lvlOverride w:ilvl="8"/>
  </w:num>
  <w:num w:numId="39">
    <w:abstractNumId w:val="22"/>
  </w:num>
  <w:num w:numId="4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1"/>
  </w:num>
  <w:num w:numId="43">
    <w:abstractNumId w:val="1"/>
  </w:num>
  <w:num w:numId="44">
    <w:abstractNumId w:val="15"/>
  </w:num>
  <w:num w:numId="45">
    <w:abstractNumId w:val="0"/>
  </w:num>
  <w:num w:numId="46">
    <w:abstractNumId w:val="4"/>
  </w:num>
  <w:num w:numId="47">
    <w:abstractNumId w:val="25"/>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0D34"/>
    <w:rsid w:val="00043D11"/>
    <w:rsid w:val="00055D60"/>
    <w:rsid w:val="00061126"/>
    <w:rsid w:val="0008542A"/>
    <w:rsid w:val="000B37D9"/>
    <w:rsid w:val="000B3FFD"/>
    <w:rsid w:val="000C43E5"/>
    <w:rsid w:val="000C4453"/>
    <w:rsid w:val="000D656A"/>
    <w:rsid w:val="000E27BB"/>
    <w:rsid w:val="00104DE0"/>
    <w:rsid w:val="00105578"/>
    <w:rsid w:val="001112E6"/>
    <w:rsid w:val="00115E7A"/>
    <w:rsid w:val="00135555"/>
    <w:rsid w:val="00181AA2"/>
    <w:rsid w:val="0018216B"/>
    <w:rsid w:val="00187962"/>
    <w:rsid w:val="001960A5"/>
    <w:rsid w:val="001B3D11"/>
    <w:rsid w:val="001C7B07"/>
    <w:rsid w:val="0020666A"/>
    <w:rsid w:val="00216C06"/>
    <w:rsid w:val="002378AC"/>
    <w:rsid w:val="00266831"/>
    <w:rsid w:val="00284217"/>
    <w:rsid w:val="00294490"/>
    <w:rsid w:val="002D5B21"/>
    <w:rsid w:val="002E09FD"/>
    <w:rsid w:val="002E7D97"/>
    <w:rsid w:val="003026CE"/>
    <w:rsid w:val="00312863"/>
    <w:rsid w:val="00326EEA"/>
    <w:rsid w:val="003448FB"/>
    <w:rsid w:val="003B138A"/>
    <w:rsid w:val="003B75EE"/>
    <w:rsid w:val="003C6DAB"/>
    <w:rsid w:val="003D1F47"/>
    <w:rsid w:val="003F0929"/>
    <w:rsid w:val="003F528B"/>
    <w:rsid w:val="00411692"/>
    <w:rsid w:val="00430304"/>
    <w:rsid w:val="0043105B"/>
    <w:rsid w:val="00435FF9"/>
    <w:rsid w:val="00445879"/>
    <w:rsid w:val="0047213D"/>
    <w:rsid w:val="004807CC"/>
    <w:rsid w:val="00484A47"/>
    <w:rsid w:val="00484F6F"/>
    <w:rsid w:val="004B2706"/>
    <w:rsid w:val="004C6733"/>
    <w:rsid w:val="004D0A26"/>
    <w:rsid w:val="004E305D"/>
    <w:rsid w:val="004E7984"/>
    <w:rsid w:val="004F5E4D"/>
    <w:rsid w:val="00502EE6"/>
    <w:rsid w:val="0050559A"/>
    <w:rsid w:val="00513782"/>
    <w:rsid w:val="00524594"/>
    <w:rsid w:val="00524DDD"/>
    <w:rsid w:val="00530898"/>
    <w:rsid w:val="00575235"/>
    <w:rsid w:val="005766FA"/>
    <w:rsid w:val="00592BEE"/>
    <w:rsid w:val="005B05D8"/>
    <w:rsid w:val="005C0271"/>
    <w:rsid w:val="005C4513"/>
    <w:rsid w:val="005C481C"/>
    <w:rsid w:val="005C4ADA"/>
    <w:rsid w:val="005D1946"/>
    <w:rsid w:val="005F3A48"/>
    <w:rsid w:val="00615B7E"/>
    <w:rsid w:val="00621357"/>
    <w:rsid w:val="00634485"/>
    <w:rsid w:val="00665800"/>
    <w:rsid w:val="0067340C"/>
    <w:rsid w:val="0067381F"/>
    <w:rsid w:val="0068101D"/>
    <w:rsid w:val="006822ED"/>
    <w:rsid w:val="00685B0E"/>
    <w:rsid w:val="006A7AB7"/>
    <w:rsid w:val="006B2674"/>
    <w:rsid w:val="006B2A07"/>
    <w:rsid w:val="006D5287"/>
    <w:rsid w:val="006E016F"/>
    <w:rsid w:val="006E6389"/>
    <w:rsid w:val="006E6E65"/>
    <w:rsid w:val="006F0A6E"/>
    <w:rsid w:val="006F254B"/>
    <w:rsid w:val="006F30F8"/>
    <w:rsid w:val="00701B9E"/>
    <w:rsid w:val="00706B53"/>
    <w:rsid w:val="00707DB0"/>
    <w:rsid w:val="0071093C"/>
    <w:rsid w:val="00736C06"/>
    <w:rsid w:val="00760037"/>
    <w:rsid w:val="007617C8"/>
    <w:rsid w:val="00762C20"/>
    <w:rsid w:val="00776D84"/>
    <w:rsid w:val="007A0EB7"/>
    <w:rsid w:val="007A1C9F"/>
    <w:rsid w:val="007B1CFA"/>
    <w:rsid w:val="007B578D"/>
    <w:rsid w:val="007C0652"/>
    <w:rsid w:val="007C766E"/>
    <w:rsid w:val="007D4251"/>
    <w:rsid w:val="007D46B1"/>
    <w:rsid w:val="007D49CE"/>
    <w:rsid w:val="007E2D4F"/>
    <w:rsid w:val="007E4CDF"/>
    <w:rsid w:val="007E70F8"/>
    <w:rsid w:val="00807750"/>
    <w:rsid w:val="00812F10"/>
    <w:rsid w:val="00820022"/>
    <w:rsid w:val="00820034"/>
    <w:rsid w:val="0083108D"/>
    <w:rsid w:val="008421B8"/>
    <w:rsid w:val="00861117"/>
    <w:rsid w:val="00861A61"/>
    <w:rsid w:val="00892AFC"/>
    <w:rsid w:val="008936B4"/>
    <w:rsid w:val="008B0A68"/>
    <w:rsid w:val="008C19BE"/>
    <w:rsid w:val="008C3C4B"/>
    <w:rsid w:val="008D1526"/>
    <w:rsid w:val="008D566B"/>
    <w:rsid w:val="008F67BC"/>
    <w:rsid w:val="00956B18"/>
    <w:rsid w:val="00961995"/>
    <w:rsid w:val="00962796"/>
    <w:rsid w:val="00975EB9"/>
    <w:rsid w:val="00981C38"/>
    <w:rsid w:val="00997CD5"/>
    <w:rsid w:val="009B3D3A"/>
    <w:rsid w:val="009C666B"/>
    <w:rsid w:val="009D10D2"/>
    <w:rsid w:val="009D583D"/>
    <w:rsid w:val="009E155A"/>
    <w:rsid w:val="009F0D8D"/>
    <w:rsid w:val="00A16950"/>
    <w:rsid w:val="00A303B0"/>
    <w:rsid w:val="00A53363"/>
    <w:rsid w:val="00A5360A"/>
    <w:rsid w:val="00A561C5"/>
    <w:rsid w:val="00A610D3"/>
    <w:rsid w:val="00A64683"/>
    <w:rsid w:val="00A74BB7"/>
    <w:rsid w:val="00A7532A"/>
    <w:rsid w:val="00A81140"/>
    <w:rsid w:val="00A873DC"/>
    <w:rsid w:val="00AB78CF"/>
    <w:rsid w:val="00AC0680"/>
    <w:rsid w:val="00AE7763"/>
    <w:rsid w:val="00B014D8"/>
    <w:rsid w:val="00B05E5A"/>
    <w:rsid w:val="00B343D6"/>
    <w:rsid w:val="00B34E17"/>
    <w:rsid w:val="00B53290"/>
    <w:rsid w:val="00B64C7A"/>
    <w:rsid w:val="00B64CFB"/>
    <w:rsid w:val="00B703D7"/>
    <w:rsid w:val="00B7360E"/>
    <w:rsid w:val="00B868A5"/>
    <w:rsid w:val="00B92067"/>
    <w:rsid w:val="00BB071F"/>
    <w:rsid w:val="00BB11DB"/>
    <w:rsid w:val="00BB2AD1"/>
    <w:rsid w:val="00BC1756"/>
    <w:rsid w:val="00BD07E6"/>
    <w:rsid w:val="00BD7483"/>
    <w:rsid w:val="00BE05AB"/>
    <w:rsid w:val="00BF358F"/>
    <w:rsid w:val="00BF68F0"/>
    <w:rsid w:val="00BF6974"/>
    <w:rsid w:val="00BF6E14"/>
    <w:rsid w:val="00C049D1"/>
    <w:rsid w:val="00C156E5"/>
    <w:rsid w:val="00C27236"/>
    <w:rsid w:val="00C65950"/>
    <w:rsid w:val="00C75CBC"/>
    <w:rsid w:val="00C80615"/>
    <w:rsid w:val="00C80F8C"/>
    <w:rsid w:val="00C85F1D"/>
    <w:rsid w:val="00C8760D"/>
    <w:rsid w:val="00C92139"/>
    <w:rsid w:val="00CE0FA6"/>
    <w:rsid w:val="00CE217B"/>
    <w:rsid w:val="00CF3F65"/>
    <w:rsid w:val="00D03369"/>
    <w:rsid w:val="00D20156"/>
    <w:rsid w:val="00D23656"/>
    <w:rsid w:val="00D36ABC"/>
    <w:rsid w:val="00D96441"/>
    <w:rsid w:val="00DC2CB7"/>
    <w:rsid w:val="00DC3082"/>
    <w:rsid w:val="00DD45AC"/>
    <w:rsid w:val="00DD5CD5"/>
    <w:rsid w:val="00DD7ECC"/>
    <w:rsid w:val="00DE1629"/>
    <w:rsid w:val="00DE5C27"/>
    <w:rsid w:val="00E37AE3"/>
    <w:rsid w:val="00E429BA"/>
    <w:rsid w:val="00E54E99"/>
    <w:rsid w:val="00EC694E"/>
    <w:rsid w:val="00EC7D32"/>
    <w:rsid w:val="00EE3BE9"/>
    <w:rsid w:val="00EF3513"/>
    <w:rsid w:val="00F05A30"/>
    <w:rsid w:val="00F1205F"/>
    <w:rsid w:val="00F47FB5"/>
    <w:rsid w:val="00F614DA"/>
    <w:rsid w:val="00F662BC"/>
    <w:rsid w:val="00F717F4"/>
    <w:rsid w:val="00F75892"/>
    <w:rsid w:val="00F9546D"/>
    <w:rsid w:val="00F96A6E"/>
    <w:rsid w:val="00FA1233"/>
    <w:rsid w:val="00FA79C9"/>
    <w:rsid w:val="00FB26E6"/>
    <w:rsid w:val="00FB48D6"/>
    <w:rsid w:val="00FC6C29"/>
    <w:rsid w:val="00FE71A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92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32969003">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78410005">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4874963">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30185258">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17569080">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74497377">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62406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8185800">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7307C-58BC-44B9-A4C9-DCC6A1196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2912</Words>
  <Characters>16022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2023-05-30T00:23:00Z</cp:lastPrinted>
  <dcterms:created xsi:type="dcterms:W3CDTF">2024-03-21T20:55:00Z</dcterms:created>
  <dcterms:modified xsi:type="dcterms:W3CDTF">2024-03-21T20:55:00Z</dcterms:modified>
</cp:coreProperties>
</file>