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2D" w:rsidRDefault="00D1602D" w:rsidP="00D1602D">
      <w:pPr>
        <w:spacing w:after="0" w:line="360" w:lineRule="auto"/>
        <w:jc w:val="both"/>
        <w:rPr>
          <w:rFonts w:ascii="Palatino Linotype" w:eastAsia="Palatino Linotype" w:hAnsi="Palatino Linotype" w:cs="Palatino Linotype"/>
          <w:b/>
          <w:sz w:val="24"/>
          <w:szCs w:val="24"/>
        </w:rPr>
      </w:pPr>
    </w:p>
    <w:p w:rsidR="00A2015A" w:rsidRDefault="00222501" w:rsidP="00D1602D">
      <w:pP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4"/>
          <w:szCs w:val="24"/>
        </w:rPr>
        <w:t>VOTO PARTICULAR CONCURRENTE QUE FORMULAN LOS COMISIONADOS GUADALUPE RAMÍREZ PEÑA Y LUIS GUSTAVO PARRA NORIEGA, EN RELACIÓN CON LA RESOLUCIÓN DICTADA POR EL PLENO DEL INSTITUTO DE TRANSPARENCIA, ACCESO A LA INFORMACIÓN PÚBLICA Y PROTECCIÓN DE DATOS PERSONALES DEL ESTADO DE MÉXICO Y MUNICIPIOS, EN LA CUARTA SESIÓN ORDINARIA DEL PRIMERO DE FEBRERO DE DOS MIL VEINTITRÉS, EN EL RECURSO DE REVISIÓN 14555/INFOEM/IP/RR/2022.</w:t>
      </w:r>
    </w:p>
    <w:p w:rsidR="00D1602D" w:rsidRDefault="00D1602D" w:rsidP="00D1602D">
      <w:pPr>
        <w:spacing w:after="0" w:line="360" w:lineRule="auto"/>
        <w:jc w:val="both"/>
        <w:rPr>
          <w:rFonts w:ascii="Palatino Linotype" w:eastAsia="Palatino Linotype" w:hAnsi="Palatino Linotype" w:cs="Palatino Linotype"/>
          <w:sz w:val="24"/>
          <w:szCs w:val="24"/>
        </w:rPr>
      </w:pPr>
    </w:p>
    <w:p w:rsidR="00A2015A" w:rsidRDefault="00222501" w:rsidP="00D1602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fundamento en lo dispuesto por el artículo 14, fracción XI, del Reglamento del Instituto de Transparencia, Acceso a la Información Pública y Protección de Datos Personales del Estado de México, los </w:t>
      </w:r>
      <w:r>
        <w:rPr>
          <w:rFonts w:ascii="Palatino Linotype" w:eastAsia="Palatino Linotype" w:hAnsi="Palatino Linotype" w:cs="Palatino Linotype"/>
          <w:b/>
          <w:sz w:val="24"/>
          <w:szCs w:val="24"/>
        </w:rPr>
        <w:t>Comisionados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xml:space="preserve"> y </w:t>
      </w:r>
      <w:r>
        <w:rPr>
          <w:rFonts w:ascii="Palatino Linotype" w:eastAsia="Palatino Linotype" w:hAnsi="Palatino Linotype" w:cs="Palatino Linotype"/>
          <w:b/>
          <w:sz w:val="24"/>
          <w:szCs w:val="24"/>
        </w:rPr>
        <w:t>Luis Gustavo Parra Noriega</w:t>
      </w:r>
      <w:r>
        <w:rPr>
          <w:rFonts w:ascii="Palatino Linotype" w:eastAsia="Palatino Linotype" w:hAnsi="Palatino Linotype" w:cs="Palatino Linotype"/>
          <w:sz w:val="24"/>
          <w:szCs w:val="24"/>
        </w:rPr>
        <w:t xml:space="preserve">, emiten </w:t>
      </w:r>
      <w:r>
        <w:rPr>
          <w:rFonts w:ascii="Palatino Linotype" w:eastAsia="Palatino Linotype" w:hAnsi="Palatino Linotype" w:cs="Palatino Linotype"/>
          <w:b/>
          <w:sz w:val="24"/>
          <w:szCs w:val="24"/>
        </w:rPr>
        <w:t>VOTO PARTICULAR CONCURRENTE</w:t>
      </w:r>
      <w:r>
        <w:rPr>
          <w:rFonts w:ascii="Palatino Linotype" w:eastAsia="Palatino Linotype" w:hAnsi="Palatino Linotype" w:cs="Palatino Linotype"/>
          <w:sz w:val="24"/>
          <w:szCs w:val="24"/>
        </w:rPr>
        <w:t xml:space="preserve"> respecto a la resolución dictada en el recurso de revisión número </w:t>
      </w:r>
      <w:r>
        <w:rPr>
          <w:rFonts w:ascii="Palatino Linotype" w:eastAsia="Palatino Linotype" w:hAnsi="Palatino Linotype" w:cs="Palatino Linotype"/>
          <w:b/>
          <w:sz w:val="24"/>
          <w:szCs w:val="24"/>
        </w:rPr>
        <w:t>14555/INFOEM/IP/RR/2022</w:t>
      </w:r>
      <w:r>
        <w:rPr>
          <w:rFonts w:ascii="Palatino Linotype" w:eastAsia="Palatino Linotype" w:hAnsi="Palatino Linotype" w:cs="Palatino Linotype"/>
          <w:sz w:val="24"/>
          <w:szCs w:val="24"/>
        </w:rPr>
        <w:t xml:space="preserve">, pronunciada por el Pleno de este Instituto ante el proyecto presentado por el </w:t>
      </w:r>
      <w:r>
        <w:rPr>
          <w:rFonts w:ascii="Palatino Linotype" w:eastAsia="Palatino Linotype" w:hAnsi="Palatino Linotype" w:cs="Palatino Linotype"/>
          <w:b/>
          <w:sz w:val="24"/>
          <w:szCs w:val="24"/>
        </w:rPr>
        <w:t xml:space="preserve">Comisionado Presidente José Martínez Vilchis, </w:t>
      </w:r>
      <w:r>
        <w:rPr>
          <w:rFonts w:ascii="Palatino Linotype" w:eastAsia="Palatino Linotype" w:hAnsi="Palatino Linotype" w:cs="Palatino Linotype"/>
          <w:sz w:val="24"/>
          <w:szCs w:val="24"/>
        </w:rPr>
        <w:t xml:space="preserve">con base en lo siguiente: </w:t>
      </w:r>
    </w:p>
    <w:p w:rsidR="00A2015A" w:rsidRDefault="00A2015A" w:rsidP="00D1602D">
      <w:pPr>
        <w:spacing w:after="0" w:line="360" w:lineRule="auto"/>
        <w:jc w:val="both"/>
        <w:rPr>
          <w:rFonts w:ascii="Palatino Linotype" w:eastAsia="Palatino Linotype" w:hAnsi="Palatino Linotype" w:cs="Palatino Linotype"/>
          <w:sz w:val="24"/>
          <w:szCs w:val="24"/>
        </w:rPr>
      </w:pPr>
    </w:p>
    <w:p w:rsidR="00A2015A" w:rsidRDefault="00222501" w:rsidP="00D1602D">
      <w:pPr>
        <w:numPr>
          <w:ilvl w:val="0"/>
          <w:numId w:val="2"/>
        </w:numPr>
        <w:spacing w:after="0" w:line="360" w:lineRule="auto"/>
        <w:ind w:left="567"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A2015A" w:rsidRDefault="00A2015A" w:rsidP="00D1602D">
      <w:pPr>
        <w:spacing w:after="0" w:line="360" w:lineRule="auto"/>
        <w:ind w:left="567"/>
        <w:jc w:val="both"/>
        <w:rPr>
          <w:rFonts w:ascii="Palatino Linotype" w:eastAsia="Palatino Linotype" w:hAnsi="Palatino Linotype" w:cs="Palatino Linotype"/>
          <w:b/>
          <w:sz w:val="24"/>
          <w:szCs w:val="24"/>
        </w:rPr>
      </w:pPr>
    </w:p>
    <w:p w:rsidR="00A2015A" w:rsidRDefault="00222501" w:rsidP="00D1602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asunto que nos ocupa, la parte Recurrente solicitó al Ayuntamiento de Tlalmanalco, en su carácter de Sujeto Obligado, le proporcionara la siguiente información: </w:t>
      </w:r>
    </w:p>
    <w:p w:rsidR="00A2015A" w:rsidRDefault="00222501" w:rsidP="00D1602D">
      <w:pPr>
        <w:spacing w:before="120" w:after="0" w:line="276" w:lineRule="auto"/>
        <w:ind w:left="567" w:right="990"/>
        <w:jc w:val="both"/>
        <w:rPr>
          <w:rFonts w:ascii="Palatino Linotype" w:eastAsia="Palatino Linotype" w:hAnsi="Palatino Linotype" w:cs="Palatino Linotype"/>
          <w:i/>
        </w:rPr>
      </w:pPr>
      <w:bookmarkStart w:id="0" w:name="_heading=h.30j0zll" w:colFirst="0" w:colLast="0"/>
      <w:bookmarkEnd w:id="0"/>
      <w:r>
        <w:rPr>
          <w:rFonts w:ascii="Palatino Linotype" w:eastAsia="Palatino Linotype" w:hAnsi="Palatino Linotype" w:cs="Palatino Linotype"/>
          <w:i/>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como su entrega en versión pública. </w:t>
      </w:r>
      <w:r>
        <w:rPr>
          <w:rFonts w:ascii="Palatino Linotype" w:eastAsia="Palatino Linotype" w:hAnsi="Palatino Linotype" w:cs="Palatino Linotype"/>
          <w:b/>
          <w:i/>
          <w:u w:val="single"/>
        </w:rPr>
        <w:t>De la remuneración de todos y cada uno de los servidores públicos de la Administración Publica 2022-2024 del periodo 01 de enero 2022 al 30 de julio 2022 mediante recibos de nómina, recibos de Honorarios y listas de raya de todas la Áreas, Direcciones Coordinaciones incluyendo al Presidente Municipal, Sindico, Regidores, Secretario del Ayuntamiento, Director de Seguridad Pública y Tránsito, Secretario Técnico del Consejo Municipal de Seguridad Publica</w:t>
      </w:r>
      <w:r>
        <w:rPr>
          <w:rFonts w:ascii="Palatino Linotype" w:eastAsia="Palatino Linotype" w:hAnsi="Palatino Linotype" w:cs="Palatino Linotype"/>
          <w:i/>
        </w:rPr>
        <w:t xml:space="preserve">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(Sic) (Énfasis añadido)</w:t>
      </w:r>
    </w:p>
    <w:p w:rsidR="00D1602D" w:rsidRDefault="00D1602D" w:rsidP="00D1602D">
      <w:pPr>
        <w:spacing w:before="120" w:after="0" w:line="360" w:lineRule="auto"/>
        <w:jc w:val="both"/>
        <w:rPr>
          <w:rFonts w:ascii="Palatino Linotype" w:eastAsia="Palatino Linotype" w:hAnsi="Palatino Linotype" w:cs="Palatino Linotype"/>
          <w:sz w:val="24"/>
          <w:szCs w:val="24"/>
        </w:rPr>
      </w:pPr>
    </w:p>
    <w:p w:rsidR="00A2015A" w:rsidRDefault="00222501" w:rsidP="00D1602D">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Sujeto Obligado remitió dos archivos electrónicos, los cuales se describen a continuación: </w:t>
      </w:r>
    </w:p>
    <w:p w:rsidR="00A2015A" w:rsidRDefault="00222501" w:rsidP="00D1602D">
      <w:pPr>
        <w:numPr>
          <w:ilvl w:val="0"/>
          <w:numId w:val="1"/>
        </w:numPr>
        <w:spacing w:after="0" w:line="360" w:lineRule="auto"/>
        <w:ind w:left="567" w:right="990" w:hanging="141"/>
        <w:jc w:val="both"/>
        <w:rPr>
          <w:rFonts w:ascii="Times New Roman" w:eastAsia="Times New Roman" w:hAnsi="Times New Roman" w:cs="Times New Roman"/>
          <w:sz w:val="24"/>
          <w:szCs w:val="24"/>
        </w:rPr>
      </w:pPr>
      <w:r>
        <w:rPr>
          <w:rFonts w:ascii="Palatino Linotype" w:eastAsia="Palatino Linotype" w:hAnsi="Palatino Linotype" w:cs="Palatino Linotype"/>
          <w:b/>
          <w:sz w:val="24"/>
          <w:szCs w:val="24"/>
        </w:rPr>
        <w:t xml:space="preserve">196.- NOMINAS.pdf: </w:t>
      </w:r>
      <w:r>
        <w:rPr>
          <w:rFonts w:ascii="Palatino Linotype" w:eastAsia="Palatino Linotype" w:hAnsi="Palatino Linotype" w:cs="Palatino Linotype"/>
          <w:sz w:val="24"/>
          <w:szCs w:val="24"/>
        </w:rPr>
        <w:t>Consistente en los recibos de nómina del personal adscrito al ayuntamiento de Tlalmanalco, en versión pública.</w:t>
      </w:r>
    </w:p>
    <w:p w:rsidR="00A2015A" w:rsidRDefault="00A2015A" w:rsidP="00D1602D">
      <w:pPr>
        <w:spacing w:after="0" w:line="360" w:lineRule="auto"/>
        <w:ind w:left="567" w:right="990"/>
        <w:jc w:val="both"/>
        <w:rPr>
          <w:rFonts w:ascii="Times New Roman" w:eastAsia="Times New Roman" w:hAnsi="Times New Roman" w:cs="Times New Roman"/>
          <w:sz w:val="24"/>
          <w:szCs w:val="24"/>
        </w:rPr>
      </w:pPr>
    </w:p>
    <w:p w:rsidR="00A2015A" w:rsidRDefault="00222501" w:rsidP="00D1602D">
      <w:pPr>
        <w:numPr>
          <w:ilvl w:val="0"/>
          <w:numId w:val="1"/>
        </w:numPr>
        <w:spacing w:after="0" w:line="360" w:lineRule="auto"/>
        <w:ind w:left="567" w:right="990" w:hanging="14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196 RH.pdf: </w:t>
      </w:r>
      <w:r>
        <w:rPr>
          <w:rFonts w:ascii="Palatino Linotype" w:eastAsia="Palatino Linotype" w:hAnsi="Palatino Linotype" w:cs="Palatino Linotype"/>
          <w:sz w:val="24"/>
          <w:szCs w:val="24"/>
        </w:rPr>
        <w:t>Contiene el oficio número TLAL/RH/461/2022, de fecha cinco de septiembre de dos mil veintidós.</w:t>
      </w:r>
    </w:p>
    <w:p w:rsidR="00D1602D" w:rsidRDefault="00D1602D" w:rsidP="00D1602D">
      <w:pPr>
        <w:spacing w:after="0" w:line="360" w:lineRule="auto"/>
        <w:jc w:val="both"/>
        <w:rPr>
          <w:rFonts w:ascii="Palatino Linotype" w:eastAsia="Palatino Linotype" w:hAnsi="Palatino Linotype" w:cs="Palatino Linotype"/>
          <w:sz w:val="24"/>
          <w:szCs w:val="24"/>
        </w:rPr>
      </w:pPr>
    </w:p>
    <w:p w:rsidR="00A2015A" w:rsidRDefault="00222501" w:rsidP="00D1602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conocido el pronunciamiento del Sujeto Obligado, el ahora Recurrente interpuso el medio de impugnación citado al rubro, inconformándose medularmente por la entrega de la información incompleta, toda vez que no le entregaron lo siguiente: </w:t>
      </w:r>
    </w:p>
    <w:p w:rsidR="00D1602D" w:rsidRDefault="00D1602D" w:rsidP="00D1602D">
      <w:pPr>
        <w:spacing w:before="120" w:after="0" w:line="360" w:lineRule="auto"/>
        <w:jc w:val="both"/>
        <w:rPr>
          <w:rFonts w:ascii="Palatino Linotype" w:eastAsia="Palatino Linotype" w:hAnsi="Palatino Linotype" w:cs="Palatino Linotype"/>
          <w:i/>
          <w:sz w:val="24"/>
          <w:szCs w:val="24"/>
        </w:rPr>
      </w:pPr>
    </w:p>
    <w:p w:rsidR="00A2015A" w:rsidRDefault="00222501" w:rsidP="00D1602D">
      <w:pPr>
        <w:spacing w:before="120"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“Con fundamento en al articulo 179 de LEY DE TRANSPARENCIA Y ACCESO A LA INFORMACIÓN PUBLICA DEL ESTADO DE MÉXICO Y MUNICIPIOS mi inconformidad por la negativa a la información, la respuesta no satisface a lo solicitado la solicitud de la información de la que hace entrega esta incompleta solo entrega los recibos de nomina y</w:t>
      </w:r>
      <w:r>
        <w:rPr>
          <w:rFonts w:ascii="Palatino Linotype" w:eastAsia="Palatino Linotype" w:hAnsi="Palatino Linotype" w:cs="Palatino Linotype"/>
          <w:b/>
          <w:i/>
          <w:sz w:val="24"/>
          <w:szCs w:val="24"/>
        </w:rPr>
        <w:t xml:space="preserve"> omitió la lista de raya y el recibos de honorarias </w:t>
      </w:r>
      <w:r>
        <w:rPr>
          <w:rFonts w:ascii="Palatino Linotype" w:eastAsia="Palatino Linotype" w:hAnsi="Palatino Linotype" w:cs="Palatino Linotype"/>
          <w:i/>
          <w:sz w:val="24"/>
          <w:szCs w:val="24"/>
        </w:rPr>
        <w:t xml:space="preserve">y tampoco manifiesta la inexistencia de la información ademas de que la solicite en versión publica motivo por ser servidores públicos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w:t>
      </w:r>
    </w:p>
    <w:p w:rsidR="00A2015A" w:rsidRDefault="00222501" w:rsidP="00D1602D">
      <w:pPr>
        <w:spacing w:before="120"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Una vez analizadas las constancias que conforman el expediente electrónico, el Comisionado Ponente </w:t>
      </w:r>
      <w:r>
        <w:rPr>
          <w:rFonts w:ascii="Palatino Linotype" w:eastAsia="Palatino Linotype" w:hAnsi="Palatino Linotype" w:cs="Palatino Linotype"/>
          <w:b/>
          <w:sz w:val="24"/>
          <w:szCs w:val="24"/>
          <w:u w:val="single"/>
        </w:rPr>
        <w:t>determinó modificar la respuesta del Sujeto Obligado</w:t>
      </w:r>
      <w:r>
        <w:rPr>
          <w:rFonts w:ascii="Palatino Linotype" w:eastAsia="Palatino Linotype" w:hAnsi="Palatino Linotype" w:cs="Palatino Linotype"/>
          <w:sz w:val="24"/>
          <w:szCs w:val="24"/>
        </w:rPr>
        <w:t xml:space="preserve"> y ordenar la entrega de lo siguiente: </w:t>
      </w:r>
    </w:p>
    <w:p w:rsidR="00D1602D" w:rsidRDefault="00D1602D" w:rsidP="00D1602D">
      <w:pPr>
        <w:spacing w:before="120" w:after="0" w:line="276" w:lineRule="auto"/>
        <w:ind w:left="567" w:right="848"/>
        <w:jc w:val="both"/>
        <w:rPr>
          <w:rFonts w:ascii="Palatino Linotype" w:eastAsia="Palatino Linotype" w:hAnsi="Palatino Linotype" w:cs="Palatino Linotype"/>
          <w:i/>
        </w:rPr>
      </w:pPr>
    </w:p>
    <w:p w:rsidR="00A2015A" w:rsidRDefault="00222501" w:rsidP="00D1602D">
      <w:pPr>
        <w:spacing w:before="120" w:after="0" w:line="276" w:lineRule="auto"/>
        <w:ind w:left="567" w:right="848"/>
        <w:jc w:val="both"/>
        <w:rPr>
          <w:rFonts w:ascii="Palatino Linotype" w:eastAsia="Palatino Linotype" w:hAnsi="Palatino Linotype" w:cs="Palatino Linotype"/>
          <w:i/>
        </w:rPr>
      </w:pPr>
      <w:r>
        <w:rPr>
          <w:rFonts w:ascii="Palatino Linotype" w:eastAsia="Palatino Linotype" w:hAnsi="Palatino Linotype" w:cs="Palatino Linotype"/>
          <w:i/>
        </w:rPr>
        <w:t xml:space="preserve">“PRIMERO. Se </w:t>
      </w:r>
      <w:r>
        <w:rPr>
          <w:rFonts w:ascii="Palatino Linotype" w:eastAsia="Palatino Linotype" w:hAnsi="Palatino Linotype" w:cs="Palatino Linotype"/>
          <w:b/>
          <w:i/>
        </w:rPr>
        <w:t>MODIFICA</w:t>
      </w:r>
      <w:r>
        <w:rPr>
          <w:rFonts w:ascii="Palatino Linotype" w:eastAsia="Palatino Linotype" w:hAnsi="Palatino Linotype" w:cs="Palatino Linotype"/>
          <w:i/>
        </w:rPr>
        <w:t xml:space="preserve"> la respuesta entregada por EL SUJETO OBLIGADO, a la solicitud de información número 00196/TLALMANA/IP/2022, por resultar parcialmente fundados los motivos de inconformidad que arguye EL RECURRENTE, en términos del Considerando CUARTO de la presente resolución. </w:t>
      </w:r>
    </w:p>
    <w:p w:rsidR="00A2015A" w:rsidRDefault="00A2015A" w:rsidP="00D1602D">
      <w:pPr>
        <w:spacing w:before="120" w:after="0" w:line="276" w:lineRule="auto"/>
        <w:ind w:left="567" w:right="848"/>
        <w:jc w:val="both"/>
        <w:rPr>
          <w:rFonts w:ascii="Palatino Linotype" w:eastAsia="Palatino Linotype" w:hAnsi="Palatino Linotype" w:cs="Palatino Linotype"/>
          <w:i/>
        </w:rPr>
      </w:pPr>
    </w:p>
    <w:p w:rsidR="00A2015A" w:rsidRDefault="00222501" w:rsidP="00D1602D">
      <w:pPr>
        <w:spacing w:before="120" w:after="0" w:line="276" w:lineRule="auto"/>
        <w:ind w:left="567" w:right="848"/>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haga entrega al RECURRENTE, a través del Sistema de Acceso a la Información Mexiquense (SAIMEX), en versión pública de ser procedente, de lo siguiente:</w:t>
      </w:r>
    </w:p>
    <w:p w:rsidR="00A2015A" w:rsidRDefault="00222501" w:rsidP="00D1602D">
      <w:pPr>
        <w:spacing w:before="120" w:after="0" w:line="276" w:lineRule="auto"/>
        <w:ind w:left="567" w:right="848"/>
        <w:jc w:val="both"/>
        <w:rPr>
          <w:rFonts w:ascii="Palatino Linotype" w:eastAsia="Palatino Linotype" w:hAnsi="Palatino Linotype" w:cs="Palatino Linotype"/>
          <w:i/>
        </w:rPr>
      </w:pPr>
      <w:r>
        <w:rPr>
          <w:rFonts w:ascii="Palatino Linotype" w:eastAsia="Palatino Linotype" w:hAnsi="Palatino Linotype" w:cs="Palatino Linotype"/>
          <w:i/>
        </w:rPr>
        <w:t xml:space="preserve">1. Comprobantes Fiscales Digitales por Internet (CFDI) por concepto de honorarios del periodo comprendido del primero de enero de dos mil veintidós al treinta de julio de dos mil veintidós. </w:t>
      </w:r>
    </w:p>
    <w:p w:rsidR="00A2015A" w:rsidRDefault="00222501" w:rsidP="00D1602D">
      <w:pPr>
        <w:spacing w:before="120" w:after="0" w:line="276" w:lineRule="auto"/>
        <w:ind w:left="567" w:right="848"/>
        <w:jc w:val="both"/>
        <w:rPr>
          <w:rFonts w:ascii="Palatino Linotype" w:eastAsia="Palatino Linotype" w:hAnsi="Palatino Linotype" w:cs="Palatino Linotype"/>
          <w:i/>
        </w:rPr>
      </w:pPr>
      <w:r>
        <w:rPr>
          <w:rFonts w:ascii="Palatino Linotype" w:eastAsia="Palatino Linotype" w:hAnsi="Palatino Linotype" w:cs="Palatino Linotype"/>
          <w:i/>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 (Sic) (Énfasis añadido)</w:t>
      </w:r>
    </w:p>
    <w:p w:rsidR="00A2015A" w:rsidRDefault="00A2015A" w:rsidP="00D1602D">
      <w:pPr>
        <w:spacing w:before="120" w:after="0" w:line="276" w:lineRule="auto"/>
        <w:ind w:left="567" w:right="848"/>
        <w:jc w:val="both"/>
        <w:rPr>
          <w:rFonts w:ascii="Palatino Linotype" w:eastAsia="Palatino Linotype" w:hAnsi="Palatino Linotype" w:cs="Palatino Linotype"/>
          <w:i/>
        </w:rPr>
      </w:pPr>
    </w:p>
    <w:p w:rsidR="00A2015A" w:rsidRDefault="00222501" w:rsidP="00D1602D">
      <w:pPr>
        <w:numPr>
          <w:ilvl w:val="0"/>
          <w:numId w:val="2"/>
        </w:numPr>
        <w:spacing w:before="120" w:after="0" w:line="360" w:lineRule="auto"/>
        <w:ind w:left="567" w:hanging="283"/>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Razones del Voto Particular Concurrente. </w:t>
      </w:r>
    </w:p>
    <w:p w:rsidR="00A2015A" w:rsidRDefault="00A2015A" w:rsidP="00D1602D">
      <w:pPr>
        <w:spacing w:after="0" w:line="360" w:lineRule="auto"/>
        <w:ind w:left="567"/>
        <w:jc w:val="both"/>
        <w:rPr>
          <w:rFonts w:ascii="Palatino Linotype" w:eastAsia="Palatino Linotype" w:hAnsi="Palatino Linotype" w:cs="Palatino Linotype"/>
          <w:b/>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Para iniciar la emisión del presente voto particular concurrente, conviene mencionar, que si bien, los suscritos comparten en esencia el sentido de la resolución, el punto en disenso es la vista al </w:t>
      </w:r>
      <w:r>
        <w:rPr>
          <w:rFonts w:ascii="Palatino Linotype" w:eastAsia="Palatino Linotype" w:hAnsi="Palatino Linotype" w:cs="Palatino Linotype"/>
          <w:b/>
          <w:sz w:val="24"/>
          <w:szCs w:val="24"/>
        </w:rPr>
        <w:t>Titular de la Contraloría Interna y Órgano de Control y Vigilancia de este Instituto de este Instituto</w:t>
      </w:r>
      <w:r>
        <w:rPr>
          <w:rFonts w:ascii="Palatino Linotype" w:eastAsia="Palatino Linotype" w:hAnsi="Palatino Linotype" w:cs="Palatino Linotype"/>
          <w:sz w:val="24"/>
          <w:szCs w:val="24"/>
        </w:rPr>
        <w:t xml:space="preserve">; pues la Ponencia Resolutora determinó tener por actos consentidos la documentación entregada en respuesta (recibos de nómina);  sin embargo, agregó al estudio, que en respuesta se dejaron visibles los nombres de servidores públicos dedicados a tareas de seguridad pública y por ello ordenó dar vista. </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Lo anterior es así, en virtud de que; en el caso que nos ocupa, el Particular al momento de plantear su motivo de inconformidad señaló lo siguiente: </w:t>
      </w:r>
    </w:p>
    <w:p w:rsidR="00D1602D" w:rsidRDefault="00D1602D" w:rsidP="00D1602D">
      <w:pPr>
        <w:tabs>
          <w:tab w:val="left" w:pos="709"/>
        </w:tabs>
        <w:spacing w:after="0" w:line="360" w:lineRule="auto"/>
        <w:ind w:left="567" w:right="1131"/>
        <w:jc w:val="both"/>
        <w:rPr>
          <w:rFonts w:ascii="Palatino Linotype" w:eastAsia="Palatino Linotype" w:hAnsi="Palatino Linotype" w:cs="Palatino Linotype"/>
          <w:i/>
        </w:rPr>
      </w:pPr>
    </w:p>
    <w:p w:rsidR="00A2015A" w:rsidRDefault="00222501" w:rsidP="00D1602D">
      <w:pPr>
        <w:tabs>
          <w:tab w:val="left" w:pos="709"/>
        </w:tabs>
        <w:spacing w:after="0" w:line="360" w:lineRule="auto"/>
        <w:ind w:left="567" w:right="1131"/>
        <w:jc w:val="both"/>
        <w:rPr>
          <w:rFonts w:ascii="Palatino Linotype" w:eastAsia="Palatino Linotype" w:hAnsi="Palatino Linotype" w:cs="Palatino Linotype"/>
          <w:i/>
        </w:rPr>
      </w:pPr>
      <w:r>
        <w:rPr>
          <w:rFonts w:ascii="Palatino Linotype" w:eastAsia="Palatino Linotype" w:hAnsi="Palatino Linotype" w:cs="Palatino Linotype"/>
          <w:i/>
        </w:rPr>
        <w:t xml:space="preserve">“…la respuesta no satisface a lo solicitado la solicitud de la información de la que hace entrega esta incompleta solo entrega los recibos de nomina y </w:t>
      </w:r>
      <w:r>
        <w:rPr>
          <w:rFonts w:ascii="Palatino Linotype" w:eastAsia="Palatino Linotype" w:hAnsi="Palatino Linotype" w:cs="Palatino Linotype"/>
          <w:b/>
          <w:i/>
          <w:u w:val="single"/>
        </w:rPr>
        <w:t>omitió la lista de raya y el recibos de honorarias</w:t>
      </w:r>
      <w:r>
        <w:rPr>
          <w:rFonts w:ascii="Palatino Linotype" w:eastAsia="Palatino Linotype" w:hAnsi="Palatino Linotype" w:cs="Palatino Linotype"/>
          <w:i/>
        </w:rPr>
        <w:t xml:space="preserve"> y tampoco manifiesta la inexistencia de la información…” (Sic) (Énfasis añadido)</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puede visualizar de la cita insertada, las razones o motivos de inconformidad del Particular resultan claros y precisos; su interés no es inconformarse por la entrega de los documentos que fueron remitidos en respuesta; por el contrario, dejó clara su conformidad con lo entregado, tan es así, que sólo se</w:t>
      </w:r>
      <w:r>
        <w:rPr>
          <w:rFonts w:ascii="Palatino Linotype" w:eastAsia="Palatino Linotype" w:hAnsi="Palatino Linotype" w:cs="Palatino Linotype"/>
        </w:rPr>
        <w:t xml:space="preserve"> </w:t>
      </w:r>
      <w:r>
        <w:rPr>
          <w:rFonts w:ascii="Palatino Linotype" w:eastAsia="Palatino Linotype" w:hAnsi="Palatino Linotype" w:cs="Palatino Linotype"/>
          <w:sz w:val="24"/>
          <w:szCs w:val="24"/>
        </w:rPr>
        <w:lastRenderedPageBreak/>
        <w:t>queja de la entrega de la información incompleta, considerando que faltaron la lista de raya y los recibos por honorarios.</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al aplicar el criterio de actos consentidos, resulta contradictorio estudiar a detalle aquellos documentos entregados en la respuesta que fue consentida y que no forma parte de los actos reclamados. </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se debe considerar que el artículo 195 de la Ley de Transparencia y Acceso a la Información Pública del Estado de México y Municipios, establece lo siguiente: </w:t>
      </w:r>
    </w:p>
    <w:p w:rsidR="00D1602D" w:rsidRDefault="00D1602D" w:rsidP="00D1602D">
      <w:pPr>
        <w:tabs>
          <w:tab w:val="left" w:pos="709"/>
        </w:tabs>
        <w:spacing w:after="0" w:line="276" w:lineRule="auto"/>
        <w:ind w:left="567" w:right="990"/>
        <w:jc w:val="both"/>
        <w:rPr>
          <w:rFonts w:ascii="Palatino Linotype" w:eastAsia="Palatino Linotype" w:hAnsi="Palatino Linotype" w:cs="Palatino Linotype"/>
          <w:i/>
        </w:rPr>
      </w:pP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195. En la tramitación del recurso de revisión se aplicarán supletoriamente las disposiciones contenidas en el Código de Procedimientos Administrativos del Estado de México.” </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atención a ello y a que la Ley que rige nuestra materia no prevé el caso concreto; se debe analizar lo dispuesto en el artículo 195, fracción IV del Código de Procedimientos Administrativos del Estado de México; a la letra dispone: </w:t>
      </w:r>
    </w:p>
    <w:p w:rsidR="00D1602D" w:rsidRDefault="00D1602D" w:rsidP="00D1602D">
      <w:pPr>
        <w:tabs>
          <w:tab w:val="left" w:pos="709"/>
        </w:tabs>
        <w:spacing w:after="0" w:line="276" w:lineRule="auto"/>
        <w:ind w:left="567" w:right="990"/>
        <w:jc w:val="both"/>
        <w:rPr>
          <w:rFonts w:ascii="Palatino Linotype" w:eastAsia="Palatino Linotype" w:hAnsi="Palatino Linotype" w:cs="Palatino Linotype"/>
          <w:i/>
        </w:rPr>
      </w:pP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195.- Es improcedente el recurso: </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t>IV. Contra actos consentidos tácitamente, entendiéndose por éstos cuando el recurso no se haya promovido en el plazo señalado para el efecto;</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p>
    <w:p w:rsidR="00A2015A" w:rsidRDefault="00222501" w:rsidP="00D1602D">
      <w:pPr>
        <w:tabs>
          <w:tab w:val="left" w:pos="709"/>
        </w:tabs>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sz w:val="24"/>
          <w:szCs w:val="24"/>
        </w:rPr>
        <w:t xml:space="preserve">(Énfasis añadido) </w:t>
      </w: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pues, el artículo en cita, es aplicable de forma supletoria a la Ley de la Materia; y del que, se desprende que el Recurso es improcedente en contra de actos que son tácitamente consentidos; y tienen lugar cuando no se atacan; así pues, en el caso que nos ocupa, el Particular no atacó los recibos de nómina entregados en respuesta, toda vez que se reitera, no planteó ningún motivo de inconformidad en su contra; y en consecuencia es improcedente su análisis. </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y número de registro 204707, que a la letra señala: </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ACTOS CONSENTIDOS TACITAMENTE</w:t>
      </w:r>
      <w:r>
        <w:rPr>
          <w:rFonts w:ascii="Palatino Linotype" w:eastAsia="Palatino Linotype" w:hAnsi="Palatino Linotype" w:cs="Palatino Linotype"/>
          <w:i/>
        </w:rPr>
        <w:t xml:space="preserve">. Se presumen así, para los efectos del amparo, los actos del orden civil y administrativo, que no hubieren sido reclamados en esa vía dentro de los plazos que la ley señala. </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bookmarkStart w:id="1" w:name="_heading=h.1fob9te" w:colFirst="0" w:colLast="0"/>
      <w:bookmarkEnd w:id="1"/>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Derivado de lo anterior, cuando los actos no son atacados en las vías y en los plazos correspondientes; se tienen por consentidos tácitamente; y por tanto, su análisis es improcedente; en consecuencia no es procedente su análisis, ni forma ni de fondo, porque no presentan una inconformidad al Particular y por ello, no deben formar parte de la Litis; tan es así que otro criterio denominado </w:t>
      </w:r>
      <w:r>
        <w:rPr>
          <w:rFonts w:ascii="Palatino Linotype" w:eastAsia="Palatino Linotype" w:hAnsi="Palatino Linotype" w:cs="Palatino Linotype"/>
          <w:b/>
          <w:i/>
          <w:sz w:val="24"/>
          <w:szCs w:val="24"/>
        </w:rPr>
        <w:t>ACTOS DERIVADOS DE ACTOS CONSENTIDOS, RAZON DE SU IMPROCEDENCIA</w:t>
      </w:r>
      <w:r>
        <w:rPr>
          <w:rFonts w:ascii="Palatino Linotype" w:eastAsia="Palatino Linotype" w:hAnsi="Palatino Linotype" w:cs="Palatino Linotype"/>
          <w:sz w:val="24"/>
          <w:szCs w:val="24"/>
        </w:rPr>
        <w:t xml:space="preserve">; de la Tesis III. </w:t>
      </w:r>
      <w:r>
        <w:rPr>
          <w:rFonts w:ascii="Palatino Linotype" w:eastAsia="Palatino Linotype" w:hAnsi="Palatino Linotype" w:cs="Palatino Linotype"/>
          <w:sz w:val="24"/>
          <w:szCs w:val="24"/>
        </w:rPr>
        <w:lastRenderedPageBreak/>
        <w:t>1º.A.11K, emitida en la novena época, por los Tribunales Colegiados de Circuitos y, publicada en la Gaceta del Semanario Judicial de la Federación en mayo de 1996, página 582; con número de registro 202345; prevé lo siguiente:</w:t>
      </w:r>
    </w:p>
    <w:p w:rsidR="00D1602D" w:rsidRDefault="00D1602D" w:rsidP="00D1602D">
      <w:pPr>
        <w:tabs>
          <w:tab w:val="left" w:pos="709"/>
        </w:tabs>
        <w:spacing w:after="0" w:line="276" w:lineRule="auto"/>
        <w:ind w:left="567" w:right="990"/>
        <w:jc w:val="both"/>
        <w:rPr>
          <w:rFonts w:ascii="Palatino Linotype" w:eastAsia="Palatino Linotype" w:hAnsi="Palatino Linotype" w:cs="Palatino Linotype"/>
          <w:i/>
        </w:rPr>
      </w:pP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ACTOS DERIVADOS DE ACTOS CONSENTIDOS, RAZON DE SU IMPROCEDENCIA</w:t>
      </w:r>
      <w:r>
        <w:rPr>
          <w:rFonts w:ascii="Palatino Linotype" w:eastAsia="Palatino Linotype" w:hAnsi="Palatino Linotype" w:cs="Palatino Linotype"/>
          <w:i/>
        </w:rPr>
        <w:t xml:space="preserve">. El artículo 73 de la Ley de Amparo, señala: "El juicio de amparo es improcedente: ... XVIII. En los demás casos en que la improcedencia resulte de alguna disposición de la ley." Ahora bien, las fracciones XI y XII del dispositivo en comento, previenen que el juicio constitucional es improcedente contra actos consentidos expresa o tácitamente; por ello, lógica y jurídicamente, debe estimarse improcedente la acción constitucional contra actos que sean consecuencia de otros consentidos, siendo indudable, por tanto, que la causa de mérito emerge de la propia Ley Reglamentaria de los Artículos 103 y 107 Constitucionales.” (Énfasis añadido) </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atención a todo lo anterior; podemos entender a los actos tácitamente consentidos a aquellos que no fueron atacados en los plazos y vías correspondientes; y que estos actos son improcedentes; asimismo, todo aquello que derive de estos actos, también resulta improcedentes y por tanto, no es viable su estudio o análisis; pues procesalmente, tal y como quedó asentado en el presente, resulta improcedente y significa un exceso en la determinación de la Litis. </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robustece con el criterio aplicado en la resolución que nos ocupa, en la que se señaló lo siguiente:</w:t>
      </w:r>
    </w:p>
    <w:p w:rsidR="00D1602D" w:rsidRDefault="00D1602D" w:rsidP="00D1602D">
      <w:pPr>
        <w:tabs>
          <w:tab w:val="left" w:pos="709"/>
        </w:tabs>
        <w:spacing w:after="0" w:line="276" w:lineRule="auto"/>
        <w:ind w:left="567" w:right="990"/>
        <w:jc w:val="both"/>
        <w:rPr>
          <w:rFonts w:ascii="Palatino Linotype" w:eastAsia="Palatino Linotype" w:hAnsi="Palatino Linotype" w:cs="Palatino Linotype"/>
          <w:i/>
        </w:rPr>
      </w:pP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En primer lugar, es de señalar que de los motivos de inconformidad en cita se aprecia que el particular únicamente se inconforma respecto de que no le entregada la lista de raya y el recibo de honorarios, sin que se aprecie inconformidad alguna respecto de los recibos de nómina entregados en respuesta. </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Es así que,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Sirve de sustento, la tesis jurisprudencial número VI.3o.C. J/60, publicada en el Semanario Judicial de la Federación y su Gaceta bajo el número de registro 176,608 que a la letra dice:</w:t>
      </w:r>
    </w:p>
    <w:p w:rsidR="00D1602D" w:rsidRDefault="00D1602D" w:rsidP="00D1602D">
      <w:pPr>
        <w:tabs>
          <w:tab w:val="left" w:pos="709"/>
        </w:tabs>
        <w:spacing w:after="0" w:line="276" w:lineRule="auto"/>
        <w:ind w:left="567" w:right="990"/>
        <w:jc w:val="both"/>
        <w:rPr>
          <w:rFonts w:ascii="Palatino Linotype" w:eastAsia="Palatino Linotype" w:hAnsi="Palatino Linotype" w:cs="Palatino Linotype"/>
          <w:b/>
          <w:i/>
        </w:rPr>
      </w:pP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 xml:space="preserve">“ACTOS CONSENTIDOS. SON LOS QUE NO SE IMPUGNAN MEDIANTE EL RECURSO IDÓNEO. </w:t>
      </w:r>
      <w:r>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De la interpretación del criterio antes citado, se advierte que cuando el particular impugnó la respuesta del SUJETO OBLIGADO, no expresó razón o motivo de inconformidad en contra de todos los rubros solicitados, por tanto, estos deben declararse atendidos, pues se entiende que EL RECURRENTE está conforme con la respuesta proporcionada por EL SUJETO OBLIGADO, al no contravenir la misma. </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Atento a ello, es importante traer a contexto la Tesis Jurisprudencial Número 3ª./J.7/91, Publicada en el Semanario Judicial de la Federación y su Gaceta bajo el número de registro 174,177, que establece lo siguiente:</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 xml:space="preserve">“REVISIÓN EN AMPARO. LOS RESOLUTIVOS NO COMBATIDOS DEBEN DECLARARSE FIRMES. </w:t>
      </w:r>
      <w:r>
        <w:rPr>
          <w:rFonts w:ascii="Palatino Linotype" w:eastAsia="Palatino Linotype" w:hAnsi="Palatino Linotype" w:cs="Palatino Linotype"/>
          <w:i/>
        </w:rPr>
        <w:t xml:space="preserve">Cuando algún resolutivo de la sentencia </w:t>
      </w:r>
      <w:r>
        <w:rPr>
          <w:rFonts w:ascii="Palatino Linotype" w:eastAsia="Palatino Linotype" w:hAnsi="Palatino Linotype" w:cs="Palatino Linotype"/>
          <w:i/>
        </w:rPr>
        <w:lastRenderedPageBreak/>
        <w:t>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2015A" w:rsidRDefault="00222501" w:rsidP="00D1602D">
      <w:pPr>
        <w:tabs>
          <w:tab w:val="left" w:pos="709"/>
        </w:tabs>
        <w:spacing w:after="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Por lo que, la parte de la respuesta referente a los recibos de nómina remitidos en respuesta se consideran actos consentidos y, por tanto, se tiene por colmado dicho rubro de la solicitud</w:t>
      </w:r>
      <w:r>
        <w:rPr>
          <w:rFonts w:ascii="Palatino Linotype" w:eastAsia="Palatino Linotype" w:hAnsi="Palatino Linotype" w:cs="Palatino Linotype"/>
          <w:i/>
        </w:rPr>
        <w:t>.” (Sic) (Énfasis añadido)</w:t>
      </w:r>
    </w:p>
    <w:p w:rsidR="00D1602D" w:rsidRDefault="00D1602D" w:rsidP="00D1602D">
      <w:pPr>
        <w:tabs>
          <w:tab w:val="left" w:pos="709"/>
        </w:tabs>
        <w:spacing w:after="0" w:line="360" w:lineRule="auto"/>
        <w:jc w:val="both"/>
        <w:rPr>
          <w:rFonts w:ascii="Palatino Linotype" w:eastAsia="Palatino Linotype" w:hAnsi="Palatino Linotype" w:cs="Palatino Linotype"/>
          <w:sz w:val="24"/>
          <w:szCs w:val="24"/>
        </w:rPr>
      </w:pP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bookmarkStart w:id="2" w:name="_GoBack"/>
      <w:bookmarkEnd w:id="2"/>
      <w:r>
        <w:rPr>
          <w:rFonts w:ascii="Palatino Linotype" w:eastAsia="Palatino Linotype" w:hAnsi="Palatino Linotype" w:cs="Palatino Linotype"/>
          <w:sz w:val="24"/>
          <w:szCs w:val="24"/>
        </w:rPr>
        <w:t xml:space="preserve">En este entendido, se tuvo por atendido lo entregado y definió la Litis en torno al análisis de la información faltante, es decir, los recibos por honorarios y la lista de raya, teniendo por consentida la documentación entregada respecto a los recibos de nómina; por tanto, no era procedente analizar los nombres de los servidores públicos encargados de las tareas de seguridad pública que se dejaron visibles en respuesta y en consecuencia, resultaba inviable la vista al Titular de la Contraloría Interna y Órgano de Control y Vigilancia de este Instituto; pues es un acto que deriva de un acto consentido y en atención a los criterios antes citados, los actos que derivan de actos consentidos son improcedentes. </w:t>
      </w:r>
    </w:p>
    <w:p w:rsidR="00A2015A" w:rsidRDefault="00222501" w:rsidP="00D1602D">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de todo lo antes expuesto; se emite el presente Voto  Particular Concurrente, pues consideramos que no resulta procedente analizar actos que fueron tácitamente consentidos y en el caso que nos ocupa; no era procedente dar vista a la Contraloría Interna y Órgano de Control y Vigilancia de este Instituto.</w:t>
      </w:r>
      <w:r>
        <w:rPr>
          <w:noProof/>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1244600</wp:posOffset>
                </wp:positionV>
                <wp:extent cx="5295900" cy="6581775"/>
                <wp:effectExtent l="0" t="0" r="0" b="0"/>
                <wp:wrapNone/>
                <wp:docPr id="13" name="Conector recto de flecha 13"/>
                <wp:cNvGraphicFramePr/>
                <a:graphic xmlns:a="http://schemas.openxmlformats.org/drawingml/2006/main">
                  <a:graphicData uri="http://schemas.microsoft.com/office/word/2010/wordprocessingShape">
                    <wps:wsp>
                      <wps:cNvCnPr/>
                      <wps:spPr>
                        <a:xfrm>
                          <a:off x="2702813" y="493875"/>
                          <a:ext cx="5286375" cy="65722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50801</wp:posOffset>
                </wp:positionH>
                <wp:positionV relativeFrom="paragraph">
                  <wp:posOffset>1244600</wp:posOffset>
                </wp:positionV>
                <wp:extent cx="5295900" cy="6581775"/>
                <wp:effectExtent b="0" l="0" r="0" t="0"/>
                <wp:wrapNone/>
                <wp:docPr id="1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295900" cy="6581775"/>
                        </a:xfrm>
                        <a:prstGeom prst="rect"/>
                        <a:ln/>
                      </pic:spPr>
                    </pic:pic>
                  </a:graphicData>
                </a:graphic>
              </wp:anchor>
            </w:drawing>
          </mc:Fallback>
        </mc:AlternateContent>
      </w:r>
    </w:p>
    <w:p w:rsidR="00A2015A" w:rsidRDefault="00222501" w:rsidP="00D1602D">
      <w:pPr>
        <w:spacing w:before="240" w:after="0" w:line="360" w:lineRule="auto"/>
        <w:ind w:right="-3"/>
        <w:jc w:val="both"/>
        <w:rPr>
          <w:rFonts w:ascii="Palatino Linotype" w:eastAsia="Palatino Linotype" w:hAnsi="Palatino Linotype" w:cs="Palatino Linotype"/>
          <w:sz w:val="24"/>
          <w:szCs w:val="24"/>
        </w:rPr>
        <w:sectPr w:rsidR="00A2015A">
          <w:headerReference w:type="even" r:id="rId9"/>
          <w:headerReference w:type="default" r:id="rId10"/>
          <w:footerReference w:type="default" r:id="rId11"/>
          <w:pgSz w:w="12240" w:h="15840"/>
          <w:pgMar w:top="1871" w:right="1327" w:bottom="2836" w:left="1985" w:header="709" w:footer="586" w:gutter="0"/>
          <w:pgNumType w:start="1"/>
          <w:cols w:space="720"/>
        </w:sectPr>
      </w:pPr>
      <w:r>
        <w:rPr>
          <w:rFonts w:ascii="Palatino Linotype" w:eastAsia="Palatino Linotype" w:hAnsi="Palatino Linotype" w:cs="Palatino Linotype"/>
          <w:sz w:val="24"/>
          <w:szCs w:val="24"/>
        </w:rPr>
        <w:lastRenderedPageBreak/>
        <w:t xml:space="preserve">  </w:t>
      </w:r>
    </w:p>
    <w:p w:rsidR="00A2015A" w:rsidRDefault="00A2015A" w:rsidP="00D1602D">
      <w:pPr>
        <w:spacing w:before="240" w:after="0" w:line="360" w:lineRule="auto"/>
        <w:ind w:right="423"/>
        <w:jc w:val="both"/>
        <w:rPr>
          <w:rFonts w:ascii="Palatino Linotype" w:eastAsia="Palatino Linotype" w:hAnsi="Palatino Linotype" w:cs="Palatino Linotype"/>
          <w:sz w:val="24"/>
          <w:szCs w:val="24"/>
        </w:rPr>
      </w:pPr>
    </w:p>
    <w:sectPr w:rsidR="00A2015A">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99C" w:rsidRDefault="0096099C">
      <w:pPr>
        <w:spacing w:after="0" w:line="240" w:lineRule="auto"/>
      </w:pPr>
      <w:r>
        <w:separator/>
      </w:r>
    </w:p>
  </w:endnote>
  <w:endnote w:type="continuationSeparator" w:id="0">
    <w:p w:rsidR="0096099C" w:rsidRDefault="0096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15A" w:rsidRDefault="0022250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10BC3">
      <w:rPr>
        <w:rFonts w:ascii="Arial" w:eastAsia="Arial" w:hAnsi="Arial" w:cs="Arial"/>
        <w:b/>
        <w:noProof/>
        <w:color w:val="000000"/>
        <w:sz w:val="20"/>
        <w:szCs w:val="20"/>
      </w:rPr>
      <w:t>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10BC3">
      <w:rPr>
        <w:rFonts w:ascii="Arial" w:eastAsia="Arial" w:hAnsi="Arial" w:cs="Arial"/>
        <w:b/>
        <w:noProof/>
        <w:color w:val="000000"/>
        <w:sz w:val="20"/>
        <w:szCs w:val="20"/>
      </w:rPr>
      <w:t>12</w:t>
    </w:r>
    <w:r>
      <w:rPr>
        <w:rFonts w:ascii="Arial" w:eastAsia="Arial" w:hAnsi="Arial" w:cs="Arial"/>
        <w:b/>
        <w:color w:val="000000"/>
        <w:sz w:val="20"/>
        <w:szCs w:val="20"/>
      </w:rPr>
      <w:fldChar w:fldCharType="end"/>
    </w:r>
  </w:p>
  <w:p w:rsidR="00A2015A" w:rsidRDefault="00A2015A">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99C" w:rsidRDefault="0096099C">
      <w:pPr>
        <w:spacing w:after="0" w:line="240" w:lineRule="auto"/>
      </w:pPr>
      <w:r>
        <w:separator/>
      </w:r>
    </w:p>
  </w:footnote>
  <w:footnote w:type="continuationSeparator" w:id="0">
    <w:p w:rsidR="0096099C" w:rsidRDefault="00960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15A" w:rsidRDefault="0022250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4667488" cy="4667488"/>
              <wp:effectExtent l="0" t="0" r="0" b="0"/>
              <wp:wrapNone/>
              <wp:docPr id="14" name="Rectángulo 14"/>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wps:spPr>
                    <wps:txbx>
                      <w:txbxContent>
                        <w:p w:rsidR="00A2015A" w:rsidRDefault="00222501">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4667488" cy="4667488"/>
              <wp:effectExtent b="0" l="0" r="0" t="0"/>
              <wp:wrapNone/>
              <wp:docPr id="1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667488" cy="4667488"/>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15A" w:rsidRDefault="0022250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simplePos x="0" y="0"/>
          <wp:positionH relativeFrom="column">
            <wp:posOffset>-1096622</wp:posOffset>
          </wp:positionH>
          <wp:positionV relativeFrom="paragraph">
            <wp:posOffset>-434356</wp:posOffset>
          </wp:positionV>
          <wp:extent cx="7521053" cy="9897494"/>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A2015A" w:rsidRDefault="00A2015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A2015A" w:rsidRDefault="00A2015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A2015A" w:rsidRDefault="0022250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p>
  <w:p w:rsidR="00A2015A" w:rsidRDefault="0022250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14555/INFOEM/IP/RR/2022</w:t>
    </w:r>
  </w:p>
  <w:p w:rsidR="00A2015A" w:rsidRDefault="00A2015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15A" w:rsidRDefault="00A2015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A2015A" w:rsidRDefault="00A2015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A2015A" w:rsidRDefault="00A2015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A2015A" w:rsidRDefault="00A2015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87E75"/>
    <w:multiLevelType w:val="multilevel"/>
    <w:tmpl w:val="68108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99F43CD"/>
    <w:multiLevelType w:val="multilevel"/>
    <w:tmpl w:val="8AAC90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5A"/>
    <w:rsid w:val="00222501"/>
    <w:rsid w:val="007C5A8E"/>
    <w:rsid w:val="00910BC3"/>
    <w:rsid w:val="0096099C"/>
    <w:rsid w:val="00A2015A"/>
    <w:rsid w:val="00D160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B5177-9989-4902-80D3-54D7F458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F9oIyq8853ioGPJLq1Lz7pMuCQ==">AMUW2mW5lNqGT0SkuwsJM8K+sGBsT2Zso72TNeXfxzAdh9KrFVPCJIRcBjOs5gpmwkUqtrQ+7HnwnQceX5Ofrt+N+000IprvhAvAs8k/o2wQAmAQqfVva0JWVpNM08bztRU94j/RNDqESXld77QB0Gk/5VTX9nV0gw==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2281</Words>
  <Characters>12548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2023-02-07T21:42:00Z</dcterms:created>
  <dcterms:modified xsi:type="dcterms:W3CDTF">2023-02-07T21:42:00Z</dcterms:modified>
</cp:coreProperties>
</file>