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72F5A" w14:textId="61603087" w:rsidR="00461D83" w:rsidRPr="00A77118" w:rsidRDefault="00461D83" w:rsidP="00461D83">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Pr>
          <w:rFonts w:ascii="Palatino Linotype" w:hAnsi="Palatino Linotype"/>
          <w:b/>
          <w:lang w:val="es-ES_tradnl"/>
        </w:rPr>
        <w:t>16085</w:t>
      </w:r>
      <w:r w:rsidRPr="00A77118">
        <w:rPr>
          <w:rFonts w:ascii="Palatino Linotype" w:hAnsi="Palatino Linotype"/>
          <w:b/>
          <w:lang w:val="es-ES_tradnl"/>
        </w:rPr>
        <w:t>/INFOEM/IP/RR/20</w:t>
      </w:r>
      <w:r>
        <w:rPr>
          <w:rFonts w:ascii="Palatino Linotype" w:hAnsi="Palatino Linotype"/>
          <w:b/>
          <w:lang w:val="es-ES_tradnl"/>
        </w:rPr>
        <w:t>22</w:t>
      </w:r>
      <w:r w:rsidRPr="00A77118">
        <w:rPr>
          <w:rFonts w:ascii="Palatino Linotype" w:hAnsi="Palatino Linotype" w:cs="Tahoma"/>
          <w:b/>
        </w:rPr>
        <w:t xml:space="preserve">, PROMOVIDO EN CONTRA DEL </w:t>
      </w:r>
      <w:r w:rsidRPr="0094507E">
        <w:rPr>
          <w:rFonts w:ascii="Palatino Linotype" w:hAnsi="Palatino Linotype" w:cs="Tahoma"/>
          <w:b/>
        </w:rPr>
        <w:t xml:space="preserve">AYUNTAMIENTO DE </w:t>
      </w:r>
      <w:r>
        <w:rPr>
          <w:rFonts w:ascii="Palatino Linotype" w:hAnsi="Palatino Linotype" w:cs="Tahoma"/>
          <w:b/>
        </w:rPr>
        <w:t>TENANCINGO</w:t>
      </w:r>
      <w:r w:rsidRPr="00A77118">
        <w:rPr>
          <w:rFonts w:ascii="Palatino Linotype" w:hAnsi="Palatino Linotype" w:cs="Tahoma"/>
          <w:b/>
        </w:rPr>
        <w:t xml:space="preserve">. </w:t>
      </w:r>
    </w:p>
    <w:p w14:paraId="7760456A" w14:textId="77777777" w:rsidR="00461D83" w:rsidRPr="00C62611" w:rsidRDefault="00461D83" w:rsidP="00461D83">
      <w:pPr>
        <w:spacing w:after="0" w:line="360" w:lineRule="auto"/>
        <w:contextualSpacing/>
        <w:jc w:val="both"/>
        <w:rPr>
          <w:rFonts w:ascii="Palatino Linotype" w:hAnsi="Palatino Linotype" w:cs="Tahoma"/>
          <w:sz w:val="18"/>
        </w:rPr>
      </w:pPr>
    </w:p>
    <w:p w14:paraId="4353FCC7" w14:textId="6B6664A8" w:rsidR="00461D83" w:rsidRPr="00A77118" w:rsidRDefault="00461D83" w:rsidP="00461D83">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Pr>
          <w:rFonts w:ascii="Palatino Linotype" w:hAnsi="Palatino Linotype"/>
          <w:b/>
          <w:lang w:val="es-ES_tradnl"/>
        </w:rPr>
        <w:t>16085</w:t>
      </w:r>
      <w:r w:rsidRPr="00A77118">
        <w:rPr>
          <w:rFonts w:ascii="Palatino Linotype" w:hAnsi="Palatino Linotype"/>
          <w:b/>
          <w:lang w:val="es-ES_tradnl"/>
        </w:rPr>
        <w:t>/INFOEM/IP/RR/20</w:t>
      </w:r>
      <w:r>
        <w:rPr>
          <w:rFonts w:ascii="Palatino Linotype" w:hAnsi="Palatino Linotype"/>
          <w:b/>
          <w:lang w:val="es-ES_tradnl"/>
        </w:rPr>
        <w:t>22.</w:t>
      </w:r>
    </w:p>
    <w:p w14:paraId="08153AAF" w14:textId="77777777" w:rsidR="00461D83" w:rsidRPr="00C62611" w:rsidRDefault="00461D83" w:rsidP="00461D83">
      <w:pPr>
        <w:spacing w:after="0" w:line="360" w:lineRule="auto"/>
        <w:contextualSpacing/>
        <w:jc w:val="both"/>
        <w:rPr>
          <w:rFonts w:ascii="Palatino Linotype" w:hAnsi="Palatino Linotype" w:cs="Tahoma"/>
          <w:sz w:val="18"/>
        </w:rPr>
      </w:pPr>
    </w:p>
    <w:p w14:paraId="3178FDA1" w14:textId="0FAEFD3B" w:rsidR="00461D83" w:rsidRDefault="00461D83" w:rsidP="00461D83">
      <w:pPr>
        <w:spacing w:after="0" w:line="360" w:lineRule="auto"/>
        <w:contextualSpacing/>
        <w:jc w:val="both"/>
        <w:rPr>
          <w:rFonts w:ascii="Palatino Linotype" w:hAnsi="Palatino Linotype" w:cs="Arial"/>
        </w:rPr>
      </w:pPr>
      <w:r w:rsidRPr="00A77118">
        <w:rPr>
          <w:rFonts w:ascii="Palatino Linotype" w:hAnsi="Palatino Linotype" w:cs="Tahoma"/>
        </w:rPr>
        <w:t xml:space="preserve">Como se desprende de la Resolución que nos ocupa, </w:t>
      </w:r>
      <w:r>
        <w:rPr>
          <w:rFonts w:ascii="Palatino Linotype" w:hAnsi="Palatino Linotype" w:cs="Tahoma"/>
        </w:rPr>
        <w:t xml:space="preserve">parte de la información solicitada consistió en documentos consistentes en la licencia de funcionamiento de un </w:t>
      </w:r>
      <w:r w:rsidR="002251ED">
        <w:rPr>
          <w:rFonts w:ascii="Palatino Linotype" w:hAnsi="Palatino Linotype" w:cs="Tahoma"/>
        </w:rPr>
        <w:t>establecimiento</w:t>
      </w:r>
      <w:r>
        <w:rPr>
          <w:rFonts w:ascii="Palatino Linotype" w:hAnsi="Palatino Linotype" w:cs="Tahoma"/>
        </w:rPr>
        <w:t>,  por lo que de</w:t>
      </w:r>
      <w:r w:rsidRPr="00A77118">
        <w:rPr>
          <w:rFonts w:ascii="Palatino Linotype" w:hAnsi="Palatino Linotype" w:cs="Tahoma"/>
        </w:rPr>
        <w:t>l estudio realizado</w:t>
      </w:r>
      <w:r>
        <w:rPr>
          <w:rFonts w:ascii="Palatino Linotype" w:hAnsi="Palatino Linotype" w:cs="Tahoma"/>
        </w:rPr>
        <w:t xml:space="preserve"> por la Ponencia Resolutora, </w:t>
      </w:r>
      <w:r w:rsidR="00232A2B">
        <w:rPr>
          <w:rFonts w:ascii="Palatino Linotype" w:hAnsi="Palatino Linotype" w:cs="Tahoma"/>
        </w:rPr>
        <w:t xml:space="preserve">este </w:t>
      </w:r>
      <w:r w:rsidR="00AA63AA">
        <w:rPr>
          <w:rFonts w:ascii="Palatino Linotype" w:hAnsi="Palatino Linotype" w:cs="Tahoma"/>
        </w:rPr>
        <w:t>I</w:t>
      </w:r>
      <w:r w:rsidR="00232A2B">
        <w:rPr>
          <w:rFonts w:ascii="Palatino Linotype" w:hAnsi="Palatino Linotype" w:cs="Tahoma"/>
        </w:rPr>
        <w:t xml:space="preserve">nstituto </w:t>
      </w:r>
      <w:r>
        <w:rPr>
          <w:rFonts w:ascii="Palatino Linotype" w:hAnsi="Palatino Linotype" w:cs="Tahoma"/>
        </w:rPr>
        <w:t>determinó ordenar la entrega de la información solicitada,</w:t>
      </w:r>
      <w:r w:rsidR="00232A2B">
        <w:rPr>
          <w:rFonts w:ascii="Palatino Linotype" w:hAnsi="Palatino Linotype" w:cs="Tahoma"/>
        </w:rPr>
        <w:t xml:space="preserve"> con el acuerdo de clasificación </w:t>
      </w:r>
      <w:r w:rsidR="00AA63AA">
        <w:rPr>
          <w:rFonts w:ascii="Palatino Linotype" w:hAnsi="Palatino Linotype" w:cs="Tahoma"/>
        </w:rPr>
        <w:t>correspondiente</w:t>
      </w:r>
      <w:r w:rsidR="00232A2B">
        <w:rPr>
          <w:rFonts w:ascii="Palatino Linotype" w:hAnsi="Palatino Linotype" w:cs="Tahoma"/>
        </w:rPr>
        <w:t>,</w:t>
      </w:r>
      <w:r>
        <w:rPr>
          <w:rFonts w:ascii="Palatino Linotype" w:hAnsi="Palatino Linotype" w:cs="Tahoma"/>
        </w:rPr>
        <w:t xml:space="preserve"> sin embargo en el estudio de la resolución se </w:t>
      </w:r>
      <w:r w:rsidR="00F039FF">
        <w:rPr>
          <w:rFonts w:ascii="Palatino Linotype" w:hAnsi="Palatino Linotype" w:cs="Tahoma"/>
        </w:rPr>
        <w:t xml:space="preserve">determinó </w:t>
      </w:r>
      <w:r>
        <w:rPr>
          <w:rFonts w:ascii="Palatino Linotype" w:hAnsi="Palatino Linotype" w:cs="Arial"/>
        </w:rPr>
        <w:t>la clasificación de la Clave Catastral</w:t>
      </w:r>
      <w:r w:rsidRPr="00A77118">
        <w:rPr>
          <w:rFonts w:ascii="Palatino Linotype" w:hAnsi="Palatino Linotype" w:cs="Arial"/>
        </w:rPr>
        <w:t>,</w:t>
      </w:r>
      <w:r>
        <w:rPr>
          <w:rFonts w:ascii="Palatino Linotype" w:hAnsi="Palatino Linotype" w:cs="Arial"/>
        </w:rPr>
        <w:t xml:space="preserve"> </w:t>
      </w:r>
      <w:r w:rsidR="00F039FF">
        <w:rPr>
          <w:rFonts w:ascii="Palatino Linotype" w:hAnsi="Palatino Linotype" w:cs="Arial"/>
        </w:rPr>
        <w:t xml:space="preserve">información que desde mi perspectiva debe ser considerada de naturaleza pública, </w:t>
      </w:r>
      <w:r>
        <w:rPr>
          <w:rFonts w:ascii="Palatino Linotype" w:hAnsi="Palatino Linotype" w:cs="Arial"/>
        </w:rPr>
        <w:t xml:space="preserve">de acuerdo </w:t>
      </w:r>
      <w:r w:rsidR="00F039FF">
        <w:rPr>
          <w:rFonts w:ascii="Palatino Linotype" w:hAnsi="Palatino Linotype" w:cs="Arial"/>
        </w:rPr>
        <w:t>con</w:t>
      </w:r>
      <w:r>
        <w:rPr>
          <w:rFonts w:ascii="Palatino Linotype" w:hAnsi="Palatino Linotype" w:cs="Arial"/>
        </w:rPr>
        <w:t xml:space="preserve"> las siguientes consideraciones:</w:t>
      </w:r>
    </w:p>
    <w:p w14:paraId="09A6C9DB" w14:textId="77777777" w:rsidR="00461D83" w:rsidRDefault="00461D83" w:rsidP="00461D83">
      <w:pPr>
        <w:spacing w:line="360" w:lineRule="auto"/>
        <w:ind w:right="-93"/>
        <w:contextualSpacing/>
        <w:jc w:val="both"/>
        <w:rPr>
          <w:rFonts w:ascii="Palatino Linotype" w:hAnsi="Palatino Linotype" w:cs="Arial"/>
        </w:rPr>
      </w:pPr>
    </w:p>
    <w:p w14:paraId="5E9A8B28" w14:textId="77777777" w:rsidR="00461D83" w:rsidRPr="00031B63" w:rsidRDefault="00461D83" w:rsidP="00461D83">
      <w:pPr>
        <w:spacing w:line="360" w:lineRule="auto"/>
        <w:ind w:right="-93"/>
        <w:contextualSpacing/>
        <w:jc w:val="both"/>
        <w:rPr>
          <w:rFonts w:ascii="Palatino Linotype" w:hAnsi="Palatino Linotype" w:cs="Arial"/>
        </w:rPr>
      </w:pPr>
      <w:r>
        <w:rPr>
          <w:rFonts w:ascii="Palatino Linotype" w:hAnsi="Palatino Linotype" w:cs="Arial"/>
        </w:rPr>
        <w:t>D</w:t>
      </w:r>
      <w:r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w:t>
      </w:r>
      <w:r w:rsidRPr="00031B63">
        <w:rPr>
          <w:rFonts w:ascii="Palatino Linotype" w:hAnsi="Palatino Linotype" w:cs="Arial"/>
        </w:rPr>
        <w:lastRenderedPageBreak/>
        <w:t>inmuebles; por lo que, integrado de dieciséis caracteres, los primeros tres identifican el código del municipio, los dos siguientes a la zona catastral, los subsecuentes tres a la manzana y los últimos dos, posiciones identifican el número de lote o predio.</w:t>
      </w:r>
    </w:p>
    <w:p w14:paraId="69D96B00" w14:textId="77777777" w:rsidR="00461D83" w:rsidRPr="00C62611" w:rsidRDefault="00461D83" w:rsidP="00461D83">
      <w:pPr>
        <w:spacing w:line="360" w:lineRule="auto"/>
        <w:ind w:right="-93"/>
        <w:contextualSpacing/>
        <w:jc w:val="both"/>
        <w:rPr>
          <w:rFonts w:ascii="Palatino Linotype" w:hAnsi="Palatino Linotype" w:cs="Arial"/>
          <w:sz w:val="20"/>
        </w:rPr>
      </w:pPr>
    </w:p>
    <w:p w14:paraId="54EAC74D" w14:textId="77777777" w:rsidR="00461D83" w:rsidRDefault="00461D83" w:rsidP="00461D83">
      <w:pPr>
        <w:spacing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no a algún particular, salvo que se acompañe con el nombre de este; de lo contrario, por sí sola no identifica a ninguna persona. En este sentido al hacer identificable a un inmueble que ha obtenido una licencia es que se debe considerar que 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uso y aprovechamiento tales como el coeficiente de ocupación del suelo, el coeficiente de utilización del suelo, la altura máxima de edificación, el número de cajones de estacionamiento</w:t>
      </w:r>
      <w:r>
        <w:rPr>
          <w:rFonts w:ascii="Palatino Linotype" w:hAnsi="Palatino Linotype" w:cs="Arial"/>
        </w:rPr>
        <w:t xml:space="preserve"> o incluso </w:t>
      </w:r>
      <w:r w:rsidRPr="002D62ED">
        <w:rPr>
          <w:rFonts w:ascii="Palatino Linotype" w:hAnsi="Palatino Linotype" w:cs="Arial"/>
        </w:rPr>
        <w:t xml:space="preserve">alineamiento y número oficial, </w:t>
      </w:r>
      <w:r>
        <w:rPr>
          <w:rFonts w:ascii="Palatino Linotype" w:hAnsi="Palatino Linotype" w:cs="Arial"/>
        </w:rPr>
        <w:t xml:space="preserve">de ser el caso y según la licencia que se haya otorgado, </w:t>
      </w:r>
      <w:r w:rsidRPr="002D62ED">
        <w:rPr>
          <w:rFonts w:ascii="Palatino Linotype" w:hAnsi="Palatino Linotype" w:cs="Arial"/>
        </w:rPr>
        <w:t>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Reglamento del Libro Quinto del Código Administrativo del Estado de México</w:t>
      </w:r>
      <w:r>
        <w:rPr>
          <w:rFonts w:ascii="Palatino Linotype" w:hAnsi="Palatino Linotype" w:cs="Arial"/>
        </w:rPr>
        <w:t>.</w:t>
      </w:r>
    </w:p>
    <w:p w14:paraId="4DECA8D1" w14:textId="77777777" w:rsidR="00461D83" w:rsidRPr="00C62611" w:rsidRDefault="00461D83" w:rsidP="00461D83">
      <w:pPr>
        <w:spacing w:line="360" w:lineRule="auto"/>
        <w:ind w:right="-93"/>
        <w:contextualSpacing/>
        <w:jc w:val="both"/>
        <w:rPr>
          <w:rFonts w:ascii="Palatino Linotype" w:hAnsi="Palatino Linotype" w:cs="Arial"/>
          <w:sz w:val="18"/>
        </w:rPr>
      </w:pPr>
    </w:p>
    <w:p w14:paraId="0B153D95" w14:textId="77777777" w:rsidR="00461D83" w:rsidRDefault="00461D83" w:rsidP="00461D83">
      <w:pPr>
        <w:spacing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que obra en las licencias que expida un Ayuntamiento que conceden derechos a sus titulares, como a tener un número, a construir a dar un uso determinado al predio, a instalar un comercio, etc., si bien, corresponden a inmuebles de particulares, todas esas actividades tienen impacto en la comunidad, por lo ello, la importancia de que las licencias que se entregan en ejercicio del derecho de acceso a la información cuenten con todos los datos indispensables para poder corroborar que los inmuebles se encuentran dentro del registro del municipio y por lo tanto cumplen los requisitos de legalidad como, el hecho de que corresponde al inmueble del que se solicita la información. </w:t>
      </w:r>
    </w:p>
    <w:p w14:paraId="48E846EF" w14:textId="77777777" w:rsidR="00461D83" w:rsidRDefault="00461D83" w:rsidP="00461D83">
      <w:pPr>
        <w:spacing w:line="360" w:lineRule="auto"/>
        <w:ind w:right="-93"/>
        <w:contextualSpacing/>
        <w:jc w:val="both"/>
        <w:rPr>
          <w:rFonts w:ascii="Palatino Linotype" w:hAnsi="Palatino Linotype" w:cs="Arial"/>
        </w:rPr>
      </w:pPr>
      <w:r>
        <w:rPr>
          <w:rFonts w:ascii="Palatino Linotype" w:hAnsi="Palatino Linotype" w:cs="Arial"/>
        </w:rPr>
        <w:lastRenderedPageBreak/>
        <w:t xml:space="preserve">Este dato, además resulta ser de interés para la comunidad ya que determina en donde se ubica un inmueble y permite verificar si este cumple con las disposiciones legales, según el tipo de licencia que se haya concedido, incluso, la inexistencia de las licencias, indica al particular que la construcción, instalación de un comercio o uso de suelo, están al margen de la ley, por ello, todos los datos que permite identificar de manera inequívoca al inmueble deben ser públicos, no se deja de lado que la expansión geográfica en la Entidad, en muchas zonas hace compleja la ubicación al existir muchas calles con los mismos nombres, números repetidos o predios en los que es difícil identificar dónde inician y terminan.   </w:t>
      </w:r>
    </w:p>
    <w:p w14:paraId="11F61572" w14:textId="77777777" w:rsidR="00461D83" w:rsidRDefault="00461D83" w:rsidP="00461D83">
      <w:pPr>
        <w:spacing w:line="360" w:lineRule="auto"/>
        <w:ind w:right="-93"/>
        <w:contextualSpacing/>
        <w:jc w:val="both"/>
        <w:rPr>
          <w:rFonts w:ascii="Palatino Linotype" w:hAnsi="Palatino Linotype" w:cs="Arial"/>
        </w:rPr>
      </w:pPr>
    </w:p>
    <w:p w14:paraId="28A168FE" w14:textId="77777777" w:rsidR="00461D83" w:rsidRPr="006069D4" w:rsidRDefault="00461D83" w:rsidP="00461D83">
      <w:pPr>
        <w:spacing w:after="0" w:line="360" w:lineRule="auto"/>
        <w:contextualSpacing/>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w:t>
      </w:r>
      <w:r>
        <w:rPr>
          <w:rFonts w:ascii="Palatino Linotype" w:eastAsia="Calibri" w:hAnsi="Palatino Linotype" w:cs="Tahoma"/>
          <w:color w:val="000000"/>
        </w:rPr>
        <w:t xml:space="preserve">de las licencias, </w:t>
      </w:r>
      <w:r w:rsidRPr="006069D4">
        <w:rPr>
          <w:rFonts w:ascii="Palatino Linotype" w:eastAsia="Calibri" w:hAnsi="Palatino Linotype" w:cs="Tahoma"/>
          <w:color w:val="000000"/>
        </w:rPr>
        <w:t>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5345A30D" w14:textId="77777777" w:rsidR="00461D83" w:rsidRDefault="00461D83" w:rsidP="00461D83">
      <w:pPr>
        <w:spacing w:after="0" w:line="360" w:lineRule="auto"/>
        <w:ind w:left="567" w:right="567"/>
        <w:contextualSpacing/>
        <w:jc w:val="center"/>
        <w:rPr>
          <w:rFonts w:ascii="Palatino Linotype" w:eastAsia="Calibri" w:hAnsi="Palatino Linotype" w:cs="Tahoma"/>
          <w:b/>
          <w:i/>
          <w:color w:val="000000"/>
          <w:sz w:val="20"/>
        </w:rPr>
      </w:pPr>
    </w:p>
    <w:p w14:paraId="318D0E34" w14:textId="77777777" w:rsidR="00461D83" w:rsidRPr="006069D4" w:rsidRDefault="00461D83" w:rsidP="00461D83">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0B66AAA0" w14:textId="77777777" w:rsidR="00461D83" w:rsidRPr="006069D4" w:rsidRDefault="00461D83" w:rsidP="00461D83">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7CAC6568" w14:textId="77777777" w:rsidR="00461D83" w:rsidRPr="006069D4" w:rsidRDefault="00461D83" w:rsidP="00461D83">
      <w:pPr>
        <w:spacing w:after="0" w:line="360" w:lineRule="auto"/>
        <w:ind w:left="567" w:right="567"/>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7CBB4A34" w14:textId="77777777" w:rsidR="00461D83" w:rsidRPr="006069D4" w:rsidRDefault="00461D83" w:rsidP="00461D83">
      <w:pPr>
        <w:spacing w:after="0" w:line="360" w:lineRule="auto"/>
        <w:ind w:left="567" w:right="567"/>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024DDD8" w14:textId="77777777" w:rsidR="00461D83" w:rsidRDefault="00461D83" w:rsidP="00461D83">
      <w:pPr>
        <w:spacing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lastRenderedPageBreak/>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515FAAE4" w14:textId="77777777" w:rsidR="00461D83" w:rsidRDefault="00461D83" w:rsidP="00461D83">
      <w:pPr>
        <w:spacing w:line="360" w:lineRule="auto"/>
        <w:ind w:right="-93"/>
        <w:contextualSpacing/>
        <w:jc w:val="both"/>
        <w:rPr>
          <w:rFonts w:ascii="Palatino Linotype" w:eastAsia="Times New Roman" w:hAnsi="Palatino Linotype" w:cs="Tahoma"/>
          <w:lang w:val="es-MX" w:eastAsia="es-ES"/>
        </w:rPr>
      </w:pPr>
    </w:p>
    <w:p w14:paraId="5E2BDDBE"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3E6B7F6"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552C2E75" w14:textId="6468C8CF"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 xml:space="preserve">En </w:t>
      </w:r>
      <w:r w:rsidR="00F039FF" w:rsidRPr="0015718C">
        <w:rPr>
          <w:rFonts w:ascii="Palatino Linotype" w:hAnsi="Palatino Linotype" w:cs="Arial"/>
        </w:rPr>
        <w:t>ese mismo sentido y</w:t>
      </w:r>
      <w:r w:rsidR="00F039FF">
        <w:rPr>
          <w:rFonts w:ascii="Palatino Linotype" w:hAnsi="Palatino Linotype" w:cs="Arial"/>
        </w:rPr>
        <w:t>,</w:t>
      </w:r>
      <w:r w:rsidR="00F039FF" w:rsidRPr="0015718C">
        <w:rPr>
          <w:rFonts w:ascii="Palatino Linotype" w:hAnsi="Palatino Linotype" w:cs="Arial"/>
        </w:rPr>
        <w:t xml:space="preserve"> aten</w:t>
      </w:r>
      <w:r w:rsidR="00F039FF">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w:t>
      </w:r>
      <w:bookmarkStart w:id="0" w:name="_GoBack"/>
      <w:bookmarkEnd w:id="0"/>
      <w:r w:rsidRPr="0015718C">
        <w:rPr>
          <w:rFonts w:ascii="Palatino Linotype" w:hAnsi="Palatino Linotype" w:cs="Arial"/>
        </w:rPr>
        <w:t xml:space="preserve">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AFF3365"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4B636AF4" w14:textId="77777777" w:rsidR="00461D83"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lastRenderedPageBreak/>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400AF47F" w14:textId="77777777" w:rsidR="00461D83" w:rsidRPr="0015718C" w:rsidRDefault="00461D83" w:rsidP="00461D83">
      <w:pPr>
        <w:spacing w:line="360" w:lineRule="auto"/>
        <w:ind w:right="-93"/>
        <w:contextualSpacing/>
        <w:jc w:val="both"/>
        <w:rPr>
          <w:rFonts w:ascii="Palatino Linotype" w:hAnsi="Palatino Linotype" w:cs="Arial"/>
        </w:rPr>
      </w:pPr>
    </w:p>
    <w:p w14:paraId="7F528E84" w14:textId="77777777" w:rsidR="00461D83" w:rsidRPr="0015718C" w:rsidRDefault="00461D83" w:rsidP="00461D83">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1D324AC0" w14:textId="77777777" w:rsidR="00461D83" w:rsidRDefault="00461D83" w:rsidP="00461D83">
      <w:pPr>
        <w:spacing w:line="360" w:lineRule="auto"/>
        <w:ind w:right="-93"/>
        <w:contextualSpacing/>
        <w:jc w:val="both"/>
        <w:rPr>
          <w:rFonts w:ascii="Palatino Linotype" w:hAnsi="Palatino Linotype" w:cs="Arial"/>
        </w:rPr>
      </w:pPr>
    </w:p>
    <w:p w14:paraId="2D6A77B3" w14:textId="77777777" w:rsidR="00461D83" w:rsidRPr="0015718C" w:rsidRDefault="00461D83" w:rsidP="00461D83">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687EE099" w14:textId="77777777" w:rsidR="00461D83" w:rsidRPr="00C62611" w:rsidRDefault="00461D83" w:rsidP="00461D83">
      <w:pPr>
        <w:spacing w:line="360" w:lineRule="auto"/>
        <w:ind w:right="-93"/>
        <w:contextualSpacing/>
        <w:jc w:val="both"/>
        <w:rPr>
          <w:rFonts w:ascii="Palatino Linotype" w:hAnsi="Palatino Linotype" w:cs="Arial"/>
          <w:sz w:val="18"/>
        </w:rPr>
      </w:pPr>
    </w:p>
    <w:p w14:paraId="667B2DDD"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1E9B60C9" w14:textId="77777777" w:rsidR="00461D83" w:rsidRPr="00C62611" w:rsidRDefault="00461D83" w:rsidP="00461D83">
      <w:pPr>
        <w:spacing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49DCCF44" w14:textId="77777777" w:rsidR="00461D83"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37085226" w14:textId="77777777" w:rsidR="00461D83" w:rsidRPr="0015718C" w:rsidRDefault="00461D83" w:rsidP="00461D83">
      <w:pPr>
        <w:spacing w:line="360" w:lineRule="auto"/>
        <w:ind w:right="-93"/>
        <w:contextualSpacing/>
        <w:jc w:val="both"/>
        <w:rPr>
          <w:rFonts w:ascii="Palatino Linotype" w:hAnsi="Palatino Linotype" w:cs="Arial"/>
        </w:rPr>
      </w:pPr>
    </w:p>
    <w:p w14:paraId="55444B9A"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además de que las mismas se expiden de acuerdo a lo que se encuentra autorizado en el Plan de Desarrollo Municipal correspondiente</w:t>
      </w:r>
      <w:r w:rsidRPr="0015718C">
        <w:rPr>
          <w:rFonts w:ascii="Palatino Linotype" w:hAnsi="Palatino Linotype" w:cs="Arial"/>
        </w:rPr>
        <w:t>.</w:t>
      </w:r>
    </w:p>
    <w:p w14:paraId="38153DF2" w14:textId="77777777" w:rsidR="00461D83" w:rsidRPr="00C62611" w:rsidRDefault="00461D83" w:rsidP="00461D83">
      <w:pPr>
        <w:spacing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21F62F14"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Pr>
          <w:rFonts w:ascii="Palatino Linotype" w:hAnsi="Palatino Linotype" w:cs="Arial"/>
        </w:rPr>
        <w:t xml:space="preserve">se debe cumplir con los requisitos establecidos para otorgar una licencia ya sea </w:t>
      </w:r>
      <w:r w:rsidRPr="0015718C">
        <w:rPr>
          <w:rFonts w:ascii="Palatino Linotype" w:hAnsi="Palatino Linotype" w:cs="Arial"/>
        </w:rPr>
        <w:t>de</w:t>
      </w:r>
      <w:r>
        <w:rPr>
          <w:rFonts w:ascii="Palatino Linotype" w:hAnsi="Palatino Linotype" w:cs="Arial"/>
        </w:rPr>
        <w:t xml:space="preserve"> uso o cambio de uso</w:t>
      </w:r>
      <w:r w:rsidRPr="0015718C">
        <w:rPr>
          <w:rFonts w:ascii="Palatino Linotype" w:hAnsi="Palatino Linotype" w:cs="Arial"/>
        </w:rPr>
        <w:t xml:space="preserve"> suelo</w:t>
      </w:r>
      <w:r>
        <w:rPr>
          <w:rFonts w:ascii="Palatino Linotype" w:hAnsi="Palatino Linotype" w:cs="Arial"/>
        </w:rPr>
        <w:t xml:space="preserve"> determinado para </w:t>
      </w:r>
      <w:r>
        <w:rPr>
          <w:rFonts w:ascii="Palatino Linotype" w:hAnsi="Palatino Linotype" w:cs="Arial"/>
        </w:rPr>
        <w:lastRenderedPageBreak/>
        <w:t>ciertas zonas</w:t>
      </w:r>
      <w:r w:rsidRPr="0015718C">
        <w:rPr>
          <w:rFonts w:ascii="Palatino Linotype" w:hAnsi="Palatino Linotype" w:cs="Arial"/>
        </w:rPr>
        <w:t xml:space="preserve">, ya sea porque se destinan para uso habitacional o comercial y el tipo de construcciones y su destino, aunque sean propiedad de un particular, </w:t>
      </w:r>
      <w:r>
        <w:rPr>
          <w:rFonts w:ascii="Palatino Linotype" w:hAnsi="Palatino Linotype" w:cs="Arial"/>
        </w:rPr>
        <w:t>para construcción alineamiento o funcionamiento, etc.</w:t>
      </w:r>
      <w:r w:rsidRPr="0015718C">
        <w:rPr>
          <w:rFonts w:ascii="Palatino Linotype" w:hAnsi="Palatino Linotype" w:cs="Arial"/>
        </w:rPr>
        <w:t xml:space="preserve"> </w:t>
      </w:r>
      <w:r>
        <w:rPr>
          <w:rFonts w:ascii="Palatino Linotype" w:hAnsi="Palatino Linotype" w:cs="Arial"/>
        </w:rPr>
        <w:t>Esto porque cualquier tipo de licencia que se expida en beneficio de un particular para afectar de determinada forma su inmueble tiene impacto en la comunidad donde vive</w:t>
      </w:r>
      <w:r w:rsidRPr="0015718C">
        <w:rPr>
          <w:rFonts w:ascii="Palatino Linotype" w:hAnsi="Palatino Linotype" w:cs="Arial"/>
        </w:rPr>
        <w:t xml:space="preserve">. </w:t>
      </w:r>
    </w:p>
    <w:p w14:paraId="7C78D4A6" w14:textId="77777777" w:rsidR="00461D83" w:rsidRPr="0015718C"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4282E1F6" w14:textId="77777777" w:rsidR="00461D83" w:rsidRDefault="00461D83" w:rsidP="00461D83">
      <w:pPr>
        <w:spacing w:line="360" w:lineRule="auto"/>
        <w:ind w:right="-93"/>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en razón de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Pr>
          <w:rFonts w:ascii="Palatino Linotype" w:hAnsi="Palatino Linotype" w:cs="Arial"/>
        </w:rPr>
        <w:t>documentos</w:t>
      </w:r>
      <w:r w:rsidRPr="0015718C">
        <w:rPr>
          <w:rFonts w:ascii="Palatino Linotype" w:hAnsi="Palatino Linotype" w:cs="Arial"/>
        </w:rPr>
        <w:t>, al existir interés púbico debe prevalecer la publicidad.</w:t>
      </w:r>
      <w:r>
        <w:rPr>
          <w:rFonts w:ascii="Palatino Linotype" w:hAnsi="Palatino Linotype" w:cs="Arial"/>
        </w:rPr>
        <w:t xml:space="preserve"> </w:t>
      </w:r>
      <w:r w:rsidRPr="00B91D58">
        <w:rPr>
          <w:rFonts w:ascii="Palatino Linotype" w:hAnsi="Palatino Linotype" w:cs="Arial"/>
        </w:rPr>
        <w:t>Así, en el caso en estudio, la clave catastral permite identificar, que la ubicación del inmueble corresponde con la</w:t>
      </w:r>
      <w:r>
        <w:rPr>
          <w:rFonts w:ascii="Palatino Linotype" w:hAnsi="Palatino Linotype" w:cs="Arial"/>
        </w:rPr>
        <w:t xml:space="preserve">s licencias solicitadas y que está </w:t>
      </w:r>
      <w:r w:rsidRPr="00B91D58">
        <w:rPr>
          <w:rFonts w:ascii="Palatino Linotype" w:hAnsi="Palatino Linotype" w:cs="Arial"/>
        </w:rPr>
        <w:t>debidamente registrada ante la autoridad catastral; por lo tanto, es información de acceso a público</w:t>
      </w:r>
      <w:r>
        <w:rPr>
          <w:rFonts w:ascii="Palatino Linotype" w:hAnsi="Palatino Linotype" w:cs="Arial"/>
        </w:rPr>
        <w:t>, al estar vinculada a una autorización que constituye un acto de autoridad.</w:t>
      </w:r>
    </w:p>
    <w:p w14:paraId="3223655F" w14:textId="77777777" w:rsidR="00461D83" w:rsidRDefault="00461D83" w:rsidP="00461D83">
      <w:pPr>
        <w:spacing w:line="360" w:lineRule="auto"/>
        <w:ind w:right="-93"/>
        <w:contextualSpacing/>
        <w:jc w:val="both"/>
        <w:rPr>
          <w:rFonts w:ascii="Palatino Linotype" w:hAnsi="Palatino Linotype" w:cs="Arial"/>
        </w:rPr>
      </w:pPr>
    </w:p>
    <w:p w14:paraId="12F4C089" w14:textId="77777777" w:rsidR="00461D83" w:rsidRPr="00031B63" w:rsidRDefault="00461D83" w:rsidP="00461D83">
      <w:pPr>
        <w:spacing w:line="360" w:lineRule="auto"/>
        <w:ind w:right="-93"/>
        <w:contextualSpacing/>
        <w:jc w:val="both"/>
        <w:rPr>
          <w:rFonts w:ascii="Palatino Linotype" w:hAnsi="Palatino Linotype" w:cs="Arial"/>
        </w:rPr>
      </w:pPr>
      <w:r w:rsidRPr="00B91D58">
        <w:rPr>
          <w:rFonts w:ascii="Palatino Linotype" w:hAnsi="Palatino Linotype" w:cs="Arial"/>
        </w:rPr>
        <w:t>Por lo tanto, la clave catastral</w:t>
      </w:r>
      <w:r>
        <w:rPr>
          <w:rFonts w:ascii="Palatino Linotype" w:hAnsi="Palatino Linotype" w:cs="Arial"/>
        </w:rPr>
        <w:t xml:space="preserve"> resulta ser</w:t>
      </w:r>
      <w:r w:rsidRPr="00B91D58">
        <w:rPr>
          <w:rFonts w:ascii="Palatino Linotype" w:hAnsi="Palatino Linotype" w:cs="Arial"/>
        </w:rPr>
        <w:t xml:space="preserve"> de naturaleza pública</w:t>
      </w:r>
      <w:r>
        <w:rPr>
          <w:rFonts w:ascii="Palatino Linotype" w:hAnsi="Palatino Linotype" w:cs="Arial"/>
        </w:rPr>
        <w:t xml:space="preserve"> cuando obra en licencias expedidas por el Ayuntamiento</w:t>
      </w:r>
      <w:r w:rsidRPr="00B91D58">
        <w:rPr>
          <w:rFonts w:ascii="Palatino Linotype" w:hAnsi="Palatino Linotype" w:cs="Arial"/>
        </w:rPr>
        <w:t xml:space="preserve">, </w:t>
      </w:r>
      <w:r>
        <w:rPr>
          <w:rFonts w:ascii="Palatino Linotype" w:hAnsi="Palatino Linotype" w:cs="Arial"/>
        </w:rPr>
        <w:t xml:space="preserve">en ese sentido, este Órgano Garante debe realizar el análisis correspondiente aun cuando no se solicite expresamente, </w:t>
      </w:r>
      <w:r w:rsidRPr="00B91D58">
        <w:rPr>
          <w:rFonts w:ascii="Palatino Linotype" w:hAnsi="Palatino Linotype" w:cs="Arial"/>
        </w:rPr>
        <w:t xml:space="preserve">pues con dicho dato se </w:t>
      </w:r>
      <w:r>
        <w:rPr>
          <w:rFonts w:ascii="Palatino Linotype" w:hAnsi="Palatino Linotype" w:cs="Arial"/>
        </w:rPr>
        <w:t xml:space="preserve">permite </w:t>
      </w:r>
      <w:r w:rsidRPr="00B91D58">
        <w:rPr>
          <w:rFonts w:ascii="Palatino Linotype" w:hAnsi="Palatino Linotype" w:cs="Arial"/>
        </w:rPr>
        <w:t xml:space="preserve">identificar la correcta ubicación del </w:t>
      </w:r>
      <w:r>
        <w:rPr>
          <w:rFonts w:ascii="Palatino Linotype" w:hAnsi="Palatino Linotype" w:cs="Arial"/>
        </w:rPr>
        <w:t>inmueble</w:t>
      </w:r>
      <w:r w:rsidRPr="00B91D58">
        <w:rPr>
          <w:rFonts w:ascii="Palatino Linotype" w:hAnsi="Palatino Linotype" w:cs="Arial"/>
        </w:rPr>
        <w:t>; por lo que, resulta procedente la clasificación, en términos del artículo 143, fracción I</w:t>
      </w:r>
      <w:r>
        <w:rPr>
          <w:rFonts w:ascii="Palatino Linotype" w:hAnsi="Palatino Linotype" w:cs="Arial"/>
        </w:rPr>
        <w:t>,</w:t>
      </w:r>
      <w:r w:rsidRPr="00B91D58">
        <w:rPr>
          <w:rFonts w:ascii="Palatino Linotype" w:hAnsi="Palatino Linotype" w:cs="Arial"/>
        </w:rPr>
        <w:t xml:space="preserve"> de la Ley de Transparencia y Acceso a la Información Pública del Estado de México y Municipios.</w:t>
      </w:r>
    </w:p>
    <w:p w14:paraId="528B0523" w14:textId="77777777" w:rsidR="00461D83" w:rsidRDefault="00461D83" w:rsidP="00461D83">
      <w:pPr>
        <w:spacing w:line="360" w:lineRule="auto"/>
        <w:ind w:right="-93"/>
        <w:contextualSpacing/>
        <w:jc w:val="both"/>
        <w:rPr>
          <w:rFonts w:ascii="Palatino Linotype" w:hAnsi="Palatino Linotype" w:cs="Tahoma"/>
          <w:bCs/>
          <w:iCs/>
        </w:rPr>
      </w:pPr>
    </w:p>
    <w:p w14:paraId="3A50E07D" w14:textId="77777777" w:rsidR="00461D83" w:rsidRPr="00C45D9A" w:rsidRDefault="00461D83" w:rsidP="00461D83">
      <w:pPr>
        <w:spacing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4BC0EDE8" w14:textId="77777777" w:rsidR="00461D83" w:rsidRDefault="00461D83" w:rsidP="00461D83">
      <w:pPr>
        <w:spacing w:line="360" w:lineRule="auto"/>
        <w:ind w:right="-93"/>
        <w:contextualSpacing/>
        <w:jc w:val="both"/>
        <w:rPr>
          <w:rFonts w:ascii="Palatino Linotype" w:hAnsi="Palatino Linotype" w:cs="Tahoma"/>
          <w:b/>
        </w:rPr>
      </w:pPr>
    </w:p>
    <w:p w14:paraId="4373B699" w14:textId="77777777" w:rsidR="00461D83" w:rsidRDefault="00461D83" w:rsidP="00461D83">
      <w:pPr>
        <w:spacing w:after="0" w:line="360" w:lineRule="auto"/>
        <w:contextualSpacing/>
        <w:rPr>
          <w:rFonts w:ascii="Palatino Linotype" w:hAnsi="Palatino Linotype" w:cs="Tahoma"/>
          <w:b/>
        </w:rPr>
      </w:pPr>
    </w:p>
    <w:p w14:paraId="4930D2D7" w14:textId="77777777" w:rsidR="00461D83" w:rsidRDefault="00461D83" w:rsidP="00461D83">
      <w:pPr>
        <w:spacing w:after="0" w:line="360" w:lineRule="auto"/>
        <w:contextualSpacing/>
        <w:rPr>
          <w:rFonts w:ascii="Palatino Linotype" w:hAnsi="Palatino Linotype" w:cs="Tahoma"/>
          <w:b/>
        </w:rPr>
      </w:pPr>
    </w:p>
    <w:p w14:paraId="711551FA" w14:textId="77777777" w:rsidR="00461D83" w:rsidRDefault="00461D83" w:rsidP="00461D83">
      <w:pPr>
        <w:spacing w:after="0" w:line="360" w:lineRule="auto"/>
        <w:contextualSpacing/>
        <w:rPr>
          <w:rFonts w:ascii="Palatino Linotype" w:hAnsi="Palatino Linotype" w:cs="Tahoma"/>
          <w:b/>
        </w:rPr>
      </w:pPr>
    </w:p>
    <w:p w14:paraId="59F6D5C9" w14:textId="77777777" w:rsidR="00461D83" w:rsidRDefault="00461D83" w:rsidP="00461D83">
      <w:pPr>
        <w:spacing w:after="0" w:line="360" w:lineRule="auto"/>
        <w:contextualSpacing/>
        <w:rPr>
          <w:rFonts w:ascii="Palatino Linotype" w:hAnsi="Palatino Linotype" w:cs="Tahoma"/>
          <w:b/>
        </w:rPr>
      </w:pPr>
    </w:p>
    <w:p w14:paraId="6D74647F" w14:textId="77777777" w:rsidR="00461D83" w:rsidRDefault="00461D83" w:rsidP="00461D83">
      <w:pPr>
        <w:spacing w:after="0" w:line="360" w:lineRule="auto"/>
        <w:contextualSpacing/>
        <w:rPr>
          <w:rFonts w:ascii="Palatino Linotype" w:hAnsi="Palatino Linotype" w:cs="Tahoma"/>
          <w:b/>
        </w:rPr>
      </w:pPr>
    </w:p>
    <w:p w14:paraId="25404C3B" w14:textId="77777777" w:rsidR="00461D83" w:rsidRDefault="00461D83" w:rsidP="00461D83">
      <w:pPr>
        <w:spacing w:after="0" w:line="360" w:lineRule="auto"/>
        <w:contextualSpacing/>
        <w:rPr>
          <w:rFonts w:ascii="Palatino Linotype" w:hAnsi="Palatino Linotype" w:cs="Tahoma"/>
          <w:b/>
        </w:rPr>
      </w:pPr>
    </w:p>
    <w:p w14:paraId="2EB94315" w14:textId="77777777" w:rsidR="00461D83" w:rsidRDefault="00461D83" w:rsidP="00461D83">
      <w:pPr>
        <w:spacing w:after="0" w:line="360" w:lineRule="auto"/>
        <w:contextualSpacing/>
        <w:rPr>
          <w:rFonts w:ascii="Palatino Linotype" w:hAnsi="Palatino Linotype" w:cs="Tahoma"/>
          <w:b/>
        </w:rPr>
      </w:pPr>
    </w:p>
    <w:p w14:paraId="144F59B1" w14:textId="77777777" w:rsidR="00461D83" w:rsidRDefault="00461D83" w:rsidP="00461D83">
      <w:pPr>
        <w:spacing w:after="0" w:line="360" w:lineRule="auto"/>
        <w:contextualSpacing/>
        <w:rPr>
          <w:rFonts w:ascii="Palatino Linotype" w:hAnsi="Palatino Linotype" w:cs="Tahoma"/>
          <w:b/>
        </w:rPr>
      </w:pPr>
    </w:p>
    <w:p w14:paraId="4330A5B4" w14:textId="77777777" w:rsidR="00461D83" w:rsidRDefault="00461D83" w:rsidP="00461D83">
      <w:pPr>
        <w:spacing w:after="0" w:line="360" w:lineRule="auto"/>
        <w:contextualSpacing/>
        <w:rPr>
          <w:rFonts w:ascii="Palatino Linotype" w:hAnsi="Palatino Linotype" w:cs="Tahoma"/>
          <w:b/>
        </w:rPr>
      </w:pPr>
    </w:p>
    <w:p w14:paraId="3C51D264" w14:textId="77777777" w:rsidR="00461D83" w:rsidRDefault="00461D83" w:rsidP="00461D83">
      <w:pPr>
        <w:spacing w:after="0" w:line="360" w:lineRule="auto"/>
        <w:contextualSpacing/>
        <w:rPr>
          <w:rFonts w:ascii="Palatino Linotype" w:hAnsi="Palatino Linotype" w:cs="Tahoma"/>
          <w:b/>
        </w:rPr>
      </w:pPr>
    </w:p>
    <w:p w14:paraId="2A0124AA" w14:textId="77777777" w:rsidR="00461D83" w:rsidRDefault="00461D83" w:rsidP="00461D83">
      <w:pPr>
        <w:spacing w:after="0" w:line="360" w:lineRule="auto"/>
        <w:contextualSpacing/>
        <w:rPr>
          <w:rFonts w:ascii="Palatino Linotype" w:hAnsi="Palatino Linotype" w:cs="Tahoma"/>
          <w:b/>
        </w:rPr>
      </w:pPr>
    </w:p>
    <w:p w14:paraId="08E85B89" w14:textId="77777777" w:rsidR="00461D83" w:rsidRDefault="00461D83" w:rsidP="00461D83">
      <w:pPr>
        <w:spacing w:after="0" w:line="360" w:lineRule="auto"/>
        <w:contextualSpacing/>
        <w:rPr>
          <w:rFonts w:ascii="Palatino Linotype" w:hAnsi="Palatino Linotype" w:cs="Tahoma"/>
          <w:b/>
        </w:rPr>
      </w:pPr>
    </w:p>
    <w:p w14:paraId="550C5F13" w14:textId="77777777" w:rsidR="00461D83" w:rsidRDefault="00461D83" w:rsidP="00461D83">
      <w:pPr>
        <w:spacing w:after="0" w:line="360" w:lineRule="auto"/>
        <w:contextualSpacing/>
        <w:rPr>
          <w:rFonts w:ascii="Palatino Linotype" w:hAnsi="Palatino Linotype" w:cs="Tahoma"/>
          <w:b/>
        </w:rPr>
      </w:pPr>
    </w:p>
    <w:p w14:paraId="56A8409B" w14:textId="77777777" w:rsidR="00461D83" w:rsidRDefault="00461D83" w:rsidP="00461D83">
      <w:pPr>
        <w:spacing w:after="0" w:line="360" w:lineRule="auto"/>
        <w:contextualSpacing/>
        <w:rPr>
          <w:rFonts w:ascii="Palatino Linotype" w:hAnsi="Palatino Linotype" w:cs="Tahoma"/>
          <w:b/>
        </w:rPr>
      </w:pPr>
    </w:p>
    <w:p w14:paraId="0FC358F2" w14:textId="77777777" w:rsidR="00461D83" w:rsidRDefault="00461D83" w:rsidP="00461D83">
      <w:pPr>
        <w:spacing w:after="0" w:line="360" w:lineRule="auto"/>
        <w:contextualSpacing/>
        <w:rPr>
          <w:rFonts w:ascii="Palatino Linotype" w:hAnsi="Palatino Linotype" w:cs="Tahoma"/>
          <w:b/>
        </w:rPr>
      </w:pPr>
    </w:p>
    <w:p w14:paraId="5437FF33" w14:textId="77777777" w:rsidR="00461D83" w:rsidRPr="004A5C04" w:rsidRDefault="00461D83" w:rsidP="00461D83">
      <w:pPr>
        <w:spacing w:after="0" w:line="360" w:lineRule="auto"/>
        <w:contextualSpacing/>
        <w:rPr>
          <w:rFonts w:ascii="Palatino Linotype" w:hAnsi="Palatino Linotype" w:cs="Tahoma"/>
          <w:b/>
        </w:rPr>
      </w:pPr>
    </w:p>
    <w:p w14:paraId="034625B7" w14:textId="77777777" w:rsidR="00461D83" w:rsidRDefault="00461D83" w:rsidP="00461D83">
      <w:pPr>
        <w:spacing w:line="360" w:lineRule="auto"/>
        <w:ind w:right="-93"/>
        <w:contextualSpacing/>
        <w:jc w:val="both"/>
        <w:rPr>
          <w:rFonts w:ascii="Palatino Linotype" w:hAnsi="Palatino Linotype" w:cs="Tahoma"/>
        </w:rPr>
      </w:pPr>
    </w:p>
    <w:p w14:paraId="35219D52" w14:textId="77777777" w:rsidR="00461D83" w:rsidRPr="003D2BF4" w:rsidRDefault="00461D83" w:rsidP="00461D83"/>
    <w:p w14:paraId="5365D0D0" w14:textId="43E191A3" w:rsidR="00CE7148" w:rsidRDefault="00CE7148"/>
    <w:sectPr w:rsidR="00CE7148"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FC10C" w14:textId="77777777" w:rsidR="001A2033" w:rsidRDefault="001A2033" w:rsidP="00461D83">
      <w:pPr>
        <w:spacing w:after="0" w:line="240" w:lineRule="auto"/>
      </w:pPr>
      <w:r>
        <w:separator/>
      </w:r>
    </w:p>
  </w:endnote>
  <w:endnote w:type="continuationSeparator" w:id="0">
    <w:p w14:paraId="065F64F1" w14:textId="77777777" w:rsidR="001A2033" w:rsidRDefault="001A2033" w:rsidP="0046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DA35E40" w14:textId="77777777" w:rsidR="00AC333A" w:rsidRDefault="00AA63A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039FF">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39FF">
              <w:rPr>
                <w:b/>
                <w:bCs/>
                <w:noProof/>
              </w:rPr>
              <w:t>7</w:t>
            </w:r>
            <w:r>
              <w:rPr>
                <w:b/>
                <w:bCs/>
                <w:sz w:val="24"/>
                <w:szCs w:val="24"/>
              </w:rPr>
              <w:fldChar w:fldCharType="end"/>
            </w:r>
          </w:p>
        </w:sdtContent>
      </w:sdt>
    </w:sdtContent>
  </w:sdt>
  <w:p w14:paraId="3F63893A" w14:textId="77777777" w:rsidR="00AC333A" w:rsidRDefault="001A20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D7406" w14:textId="77777777" w:rsidR="001A2033" w:rsidRDefault="001A2033" w:rsidP="00461D83">
      <w:pPr>
        <w:spacing w:after="0" w:line="240" w:lineRule="auto"/>
      </w:pPr>
      <w:r>
        <w:separator/>
      </w:r>
    </w:p>
  </w:footnote>
  <w:footnote w:type="continuationSeparator" w:id="0">
    <w:p w14:paraId="4087B553" w14:textId="77777777" w:rsidR="001A2033" w:rsidRDefault="001A2033" w:rsidP="00461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060A" w14:textId="77777777" w:rsidR="00A80C30" w:rsidRDefault="001A2033">
    <w:pPr>
      <w:pStyle w:val="Encabezado"/>
    </w:pPr>
    <w:r>
      <w:rPr>
        <w:noProof/>
      </w:rPr>
      <w:pict w14:anchorId="659D2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961"/>
    </w:tblGrid>
    <w:tr w:rsidR="0077694E" w:rsidRPr="001106EA" w14:paraId="3A113995" w14:textId="77777777" w:rsidTr="00461D83">
      <w:trPr>
        <w:trHeight w:val="1843"/>
      </w:trPr>
      <w:tc>
        <w:tcPr>
          <w:tcW w:w="4253" w:type="dxa"/>
          <w:vAlign w:val="bottom"/>
        </w:tcPr>
        <w:p w14:paraId="746C5FF0" w14:textId="77777777" w:rsidR="0077694E" w:rsidRDefault="00AA63AA" w:rsidP="00285C7B">
          <w:pPr>
            <w:pStyle w:val="Encabezado"/>
            <w:tabs>
              <w:tab w:val="clear" w:pos="4252"/>
              <w:tab w:val="center" w:pos="2614"/>
            </w:tabs>
            <w:ind w:left="-255"/>
          </w:pPr>
          <w:r>
            <w:rPr>
              <w:noProof/>
              <w:sz w:val="10"/>
              <w:szCs w:val="10"/>
              <w:lang w:val="es-MX" w:eastAsia="es-MX"/>
            </w:rPr>
            <w:drawing>
              <wp:inline distT="0" distB="0" distL="0" distR="0" wp14:anchorId="3E914636" wp14:editId="663F5F9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7CA95D17" w14:textId="77777777" w:rsidR="00285C7B" w:rsidRDefault="001A2033" w:rsidP="00285C7B">
          <w:pPr>
            <w:pStyle w:val="Encabezado"/>
            <w:tabs>
              <w:tab w:val="clear" w:pos="4252"/>
              <w:tab w:val="center" w:pos="2614"/>
            </w:tabs>
            <w:ind w:left="-255"/>
          </w:pPr>
        </w:p>
      </w:tc>
      <w:tc>
        <w:tcPr>
          <w:tcW w:w="4961" w:type="dxa"/>
          <w:vAlign w:val="center"/>
        </w:tcPr>
        <w:p w14:paraId="08653292" w14:textId="77777777" w:rsidR="001106EA" w:rsidRPr="00B9745A" w:rsidRDefault="001A2033" w:rsidP="00285C7B">
          <w:pPr>
            <w:pStyle w:val="Encabezado"/>
            <w:ind w:right="-250"/>
            <w:jc w:val="both"/>
            <w:rPr>
              <w:rFonts w:ascii="Palatino Linotype" w:hAnsi="Palatino Linotype" w:cs="Tahoma"/>
            </w:rPr>
          </w:pPr>
        </w:p>
        <w:p w14:paraId="2D51BE37" w14:textId="77777777" w:rsidR="001106EA" w:rsidRPr="00B9745A" w:rsidRDefault="00AA63AA"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33FB2025" w14:textId="3284CFD4" w:rsidR="009D36B8" w:rsidRDefault="00AA63AA"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461D83">
            <w:rPr>
              <w:rFonts w:ascii="Palatino Linotype" w:hAnsi="Palatino Linotype"/>
              <w:lang w:val="es-MX"/>
            </w:rPr>
            <w:t>16085</w:t>
          </w:r>
          <w:r w:rsidRPr="00F34C61">
            <w:rPr>
              <w:rFonts w:ascii="Palatino Linotype" w:hAnsi="Palatino Linotype"/>
              <w:lang w:val="es-MX"/>
            </w:rPr>
            <w:t>/INFOEM/IP/RR/202</w:t>
          </w:r>
          <w:r>
            <w:rPr>
              <w:rFonts w:ascii="Palatino Linotype" w:hAnsi="Palatino Linotype"/>
              <w:lang w:val="es-MX"/>
            </w:rPr>
            <w:t>2</w:t>
          </w:r>
        </w:p>
        <w:p w14:paraId="440CEEF4" w14:textId="7247D781" w:rsidR="00100065" w:rsidRDefault="00AA63AA"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Pr="00F34C61">
            <w:rPr>
              <w:rFonts w:ascii="Palatino Linotype" w:hAnsi="Palatino Linotype"/>
              <w:bCs/>
              <w:lang w:val="es-MX"/>
            </w:rPr>
            <w:t>Ayuntamiento de</w:t>
          </w:r>
          <w:r>
            <w:rPr>
              <w:rFonts w:ascii="Palatino Linotype" w:hAnsi="Palatino Linotype"/>
              <w:bCs/>
              <w:lang w:val="es-MX"/>
            </w:rPr>
            <w:t xml:space="preserve"> </w:t>
          </w:r>
          <w:r w:rsidR="00461D83">
            <w:rPr>
              <w:rFonts w:ascii="Palatino Linotype" w:hAnsi="Palatino Linotype"/>
              <w:bCs/>
              <w:lang w:val="es-MX"/>
            </w:rPr>
            <w:t>Tenancingo</w:t>
          </w:r>
        </w:p>
        <w:p w14:paraId="3F37D35E" w14:textId="7750051B" w:rsidR="00E42618" w:rsidRPr="00E42618" w:rsidRDefault="00AA63AA" w:rsidP="00E42618">
          <w:pPr>
            <w:pStyle w:val="Encabezado"/>
            <w:ind w:left="-108" w:right="-250"/>
            <w:jc w:val="both"/>
            <w:rPr>
              <w:rFonts w:ascii="Palatino Linotype" w:hAnsi="Palatino Linotype" w:cs="Arial"/>
              <w:szCs w:val="20"/>
            </w:rPr>
          </w:pPr>
          <w:r w:rsidRPr="00B9745A">
            <w:rPr>
              <w:rFonts w:ascii="Palatino Linotype" w:hAnsi="Palatino Linotype" w:cs="Tahoma"/>
              <w:b/>
            </w:rPr>
            <w:t xml:space="preserve">Comisionado Ponente: </w:t>
          </w:r>
          <w:r w:rsidR="00461D83">
            <w:rPr>
              <w:rFonts w:ascii="Palatino Linotype" w:hAnsi="Palatino Linotype" w:cs="Arial"/>
              <w:szCs w:val="20"/>
            </w:rPr>
            <w:t>José Martínez Vilchis</w:t>
          </w:r>
          <w:r>
            <w:rPr>
              <w:rFonts w:ascii="Palatino Linotype" w:hAnsi="Palatino Linotype" w:cs="Arial"/>
              <w:szCs w:val="20"/>
            </w:rPr>
            <w:t xml:space="preserve"> </w:t>
          </w:r>
        </w:p>
        <w:p w14:paraId="5BB496FC" w14:textId="77777777" w:rsidR="00285C7B" w:rsidRPr="00285C7B" w:rsidRDefault="001A2033" w:rsidP="00285C7B">
          <w:pPr>
            <w:pStyle w:val="Encabezado"/>
            <w:ind w:left="-108" w:right="-250"/>
            <w:jc w:val="both"/>
            <w:rPr>
              <w:rFonts w:ascii="Palatino Linotype" w:hAnsi="Palatino Linotype"/>
              <w:bCs/>
              <w:lang w:val="es-ES_tradnl"/>
            </w:rPr>
          </w:pPr>
        </w:p>
      </w:tc>
    </w:tr>
  </w:tbl>
  <w:p w14:paraId="41DAE285" w14:textId="77777777" w:rsidR="00D55429" w:rsidRPr="001106EA" w:rsidRDefault="001A2033">
    <w:pPr>
      <w:pStyle w:val="Encabezado"/>
      <w:rPr>
        <w:sz w:val="2"/>
        <w:szCs w:val="2"/>
      </w:rPr>
    </w:pPr>
    <w:r>
      <w:rPr>
        <w:noProof/>
      </w:rPr>
      <w:pict w14:anchorId="58619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A32A" w14:textId="77777777" w:rsidR="00A80C30" w:rsidRDefault="001A2033">
    <w:pPr>
      <w:pStyle w:val="Encabezado"/>
    </w:pPr>
    <w:r>
      <w:rPr>
        <w:noProof/>
      </w:rPr>
      <w:pict w14:anchorId="32A5A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83"/>
    <w:rsid w:val="001A2033"/>
    <w:rsid w:val="002251ED"/>
    <w:rsid w:val="00232A2B"/>
    <w:rsid w:val="00264675"/>
    <w:rsid w:val="00461D83"/>
    <w:rsid w:val="006971A5"/>
    <w:rsid w:val="00AA63AA"/>
    <w:rsid w:val="00CE7148"/>
    <w:rsid w:val="00F03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1D6CBE"/>
  <w15:chartTrackingRefBased/>
  <w15:docId w15:val="{A6765A50-DFE8-40C5-956A-0339B98C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D83"/>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D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1D83"/>
    <w:rPr>
      <w:kern w:val="0"/>
      <w:lang w:val="es-ES"/>
      <w14:ligatures w14:val="none"/>
    </w:rPr>
  </w:style>
  <w:style w:type="paragraph" w:styleId="Piedepgina">
    <w:name w:val="footer"/>
    <w:basedOn w:val="Normal"/>
    <w:link w:val="PiedepginaCar"/>
    <w:uiPriority w:val="99"/>
    <w:unhideWhenUsed/>
    <w:rsid w:val="00461D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1D83"/>
    <w:rPr>
      <w:kern w:val="0"/>
      <w:lang w:val="es-ES"/>
      <w14:ligatures w14:val="none"/>
    </w:rPr>
  </w:style>
  <w:style w:type="table" w:styleId="Tablaconcuadrcula">
    <w:name w:val="Table Grid"/>
    <w:basedOn w:val="Tablanormal"/>
    <w:uiPriority w:val="59"/>
    <w:rsid w:val="00461D83"/>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1735</Words>
  <Characters>9546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2023-06-30T00:06:00Z</dcterms:created>
  <dcterms:modified xsi:type="dcterms:W3CDTF">2023-07-03T18:06:00Z</dcterms:modified>
</cp:coreProperties>
</file>